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Agarwal Shefali</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1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7"/>
              </w:rPr>
              <w:t>C/O FATE THERAPEUTICS, INC.</w:t>
            </w:r>
          </w:p>
        </w:tc>
        <w:tc>
          <w:tcPr>
            <w:tcW w:w="122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9"/>
              </w:rPr>
              <w:t>12278 SCRIPPS SUMMIT DRIVE</w:t>
            </w:r>
          </w:p>
        </w:tc>
        <w:tc>
          <w:tcPr>
            <w:tcW w:w="122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3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92131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60" w:type="dxa"/>
            <w:vAlign w:val="bottom"/>
          </w:tcPr>
          <w:p>
            <w:pPr>
              <w:ind w:left="160"/>
              <w:spacing w:after="0"/>
              <w:rPr>
                <w:sz w:val="20"/>
                <w:szCs w:val="20"/>
                <w:color w:val="auto"/>
              </w:rPr>
            </w:pPr>
            <w:r>
              <w:rPr>
                <w:rFonts w:ascii="Arial" w:cs="Arial" w:eastAsia="Arial" w:hAnsi="Arial"/>
                <w:sz w:val="13"/>
                <w:szCs w:val="13"/>
                <w:color w:val="auto"/>
              </w:rPr>
              <w:t>(State)</w:t>
            </w:r>
          </w:p>
        </w:tc>
        <w:tc>
          <w:tcPr>
            <w:tcW w:w="122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FATE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FATE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340" w:type="dxa"/>
            <w:vAlign w:val="bottom"/>
            <w:tcBorders>
              <w:bottom w:val="single" w:sz="8" w:color="2C2C2C"/>
            </w:tcBorders>
          </w:tcPr>
          <w:p>
            <w:pPr>
              <w:spacing w:after="0"/>
              <w:rPr>
                <w:sz w:val="9"/>
                <w:szCs w:val="9"/>
                <w:color w:val="auto"/>
              </w:rPr>
            </w:pPr>
          </w:p>
        </w:tc>
        <w:tc>
          <w:tcPr>
            <w:tcW w:w="13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06/07/2024</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13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06/07/2024</w:t>
            </w:r>
          </w:p>
        </w:tc>
        <w:tc>
          <w:tcPr>
            <w:tcW w:w="1100" w:type="dxa"/>
            <w:vAlign w:val="bottom"/>
          </w:tcPr>
          <w:p>
            <w:pPr>
              <w:spacing w:after="0"/>
              <w:rPr>
                <w:sz w:val="16"/>
                <w:szCs w:val="16"/>
                <w:color w:val="auto"/>
              </w:rPr>
            </w:pPr>
          </w:p>
        </w:tc>
        <w:tc>
          <w:tcPr>
            <w:tcW w:w="78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06/07/2034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40,000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a grant of options pursuant to the terms of the Issuer's Amended and Restated Non-Employee Director Compensation Policy which provides for annual equity grants to the Issuer's non-employee directors on the date of the Issuer's Annual Meeting of Stockholders.</w:t>
      </w:r>
    </w:p>
    <w:p>
      <w:pPr>
        <w:spacing w:after="0" w:line="17" w:lineRule="exact"/>
        <w:rPr>
          <w:rFonts w:ascii="Times New Roman" w:cs="Times New Roman" w:eastAsia="Times New Roman" w:hAnsi="Times New Roman"/>
          <w:sz w:val="13"/>
          <w:szCs w:val="13"/>
          <w:color w:val="008000"/>
        </w:rPr>
      </w:pPr>
    </w:p>
    <w:p>
      <w:pPr>
        <w:ind w:left="40" w:right="5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on the earlier of (i) June 7, 2025 or (ii) the date of the Issuer's 2025 Annual Meeting of Stockholders, subject to the Reporting Person's continued service on the Issuer's Board of Directors.</w:t>
      </w:r>
    </w:p>
    <w:p>
      <w:pPr>
        <w:spacing w:after="0" w:line="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Cindy Tahl, as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46830" TargetMode="External"/><Relationship Id="rId13" Type="http://schemas.openxmlformats.org/officeDocument/2006/relationships/hyperlink" Target="http://www.sec.gov/cgi-bin/browse-edgar?action=getcompany&amp;CIK=00014343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2024-06-11T15:30:16Z</dcterms:created>
  <dcterms:modified xsi:type="dcterms:W3CDTF">2024-06-11T15:30:16Z</dcterms:modified>
</cp:coreProperties>
</file>