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Valamehr Bahram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FATE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12278 SCRIPPS SUMMIT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FATE THERAPEUTICS INC</w:t>
              </w:r>
            </w:hyperlink>
            <w:r>
              <w:rPr/>
              <w:t xml:space="preserve"> [ </w:t>
            </w:r>
            <w:r>
              <w:rPr>
                <w:rFonts w:ascii="Times;serif" w:hAnsi="Times;serif"/>
                <w:color w:val="0000FF"/>
                <w:sz w:val="24"/>
                <w:shd w:fill="FFFFFF" w:val="clear"/>
              </w:rPr>
              <w:t>FATE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43,947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2.4598</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591,815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Required number of shares sold by the Reporting Person to cover tax withholding obligations in connection with the vesting of 75,000 shares of Common Stock underlying RSUs granted to the Reporting Person on July 29, 2024. These sales were automatically executed pursuant to an irrevocable election by the Reporting Person to satisfy tax withholding obligations through "sell-to-cover" transactions and were not made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of the shares sold ranging from $2.415 to $2.540 per share. The Reporting Person will provide, upon request by the Commission staff, the Issuer, or a security holder of the Issuer, full information regarding the number of shares sold at each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Cindy Tahl,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177" TargetMode="External"/><Relationship Id="rId5" Type="http://schemas.openxmlformats.org/officeDocument/2006/relationships/hyperlink" Target="http://www.sec.gov/cgi-bin/browse-edgar?action=getcompany&amp;CIK=00014343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3777</Characters>
  <CharactersWithSpaces>4403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