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 w:lineRule="exact"/>
        <w:rPr>
          <w:sz w:val="24"/>
          <w:szCs w:val="24"/>
          <w:color w:val="auto"/>
        </w:rPr>
      </w:pPr>
    </w:p>
    <w:p>
      <w:pPr>
        <w:ind w:left="3920" w:right="1800" w:hanging="3863"/>
        <w:spacing w:after="0" w:line="312" w:lineRule="auto"/>
        <w:tabs>
          <w:tab w:leader="none" w:pos="65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29" w:lineRule="exact"/>
        <w:rPr>
          <w:sz w:val="24"/>
          <w:szCs w:val="24"/>
          <w:color w:val="auto"/>
        </w:rPr>
      </w:pPr>
    </w:p>
    <w:p>
      <w:pPr>
        <w:ind w:left="660" w:hanging="603"/>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jc w:val="center"/>
        <w:spacing w:after="0"/>
        <w:tabs>
          <w:tab w:leader="none" w:pos="700" w:val="left"/>
          <w:tab w:leader="none" w:pos="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001-36076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FATE THERAPEUTICS,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620" w:type="dxa"/>
            <w:vAlign w:val="bottom"/>
          </w:tcPr>
          <w:p>
            <w:pPr>
              <w:jc w:val="center"/>
              <w:ind w:left="1829"/>
              <w:spacing w:after="0"/>
              <w:rPr>
                <w:sz w:val="20"/>
                <w:szCs w:val="20"/>
                <w:color w:val="auto"/>
              </w:rPr>
            </w:pPr>
            <w:r>
              <w:rPr>
                <w:rFonts w:ascii="Arial" w:cs="Arial" w:eastAsia="Arial" w:hAnsi="Arial"/>
                <w:sz w:val="16"/>
                <w:szCs w:val="16"/>
                <w:b w:val="1"/>
                <w:bCs w:val="1"/>
                <w:color w:val="auto"/>
                <w:w w:val="91"/>
              </w:rPr>
              <w:t>Delaware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tcPr>
          <w:p>
            <w:pPr>
              <w:jc w:val="right"/>
              <w:ind w:right="2290"/>
              <w:spacing w:after="0"/>
              <w:rPr>
                <w:sz w:val="20"/>
                <w:szCs w:val="20"/>
                <w:color w:val="auto"/>
              </w:rPr>
            </w:pPr>
            <w:r>
              <w:rPr>
                <w:rFonts w:ascii="Arial" w:cs="Arial" w:eastAsia="Arial" w:hAnsi="Arial"/>
                <w:sz w:val="16"/>
                <w:szCs w:val="16"/>
                <w:b w:val="1"/>
                <w:bCs w:val="1"/>
                <w:color w:val="auto"/>
              </w:rPr>
              <w:t>65-1311552</w:t>
            </w:r>
          </w:p>
        </w:tc>
        <w:tc>
          <w:tcPr>
            <w:tcW w:w="0" w:type="dxa"/>
            <w:vAlign w:val="bottom"/>
          </w:tcPr>
          <w:p>
            <w:pPr>
              <w:spacing w:after="0"/>
              <w:rPr>
                <w:sz w:val="1"/>
                <w:szCs w:val="1"/>
                <w:color w:val="auto"/>
              </w:rPr>
            </w:pPr>
          </w:p>
        </w:tc>
      </w:tr>
      <w:tr>
        <w:trPr>
          <w:trHeight w:val="150"/>
        </w:trPr>
        <w:tc>
          <w:tcPr>
            <w:tcW w:w="3620" w:type="dxa"/>
            <w:vAlign w:val="bottom"/>
          </w:tcPr>
          <w:p>
            <w:pPr>
              <w:jc w:val="center"/>
              <w:ind w:left="1829"/>
              <w:spacing w:after="0"/>
              <w:rPr>
                <w:sz w:val="20"/>
                <w:szCs w:val="20"/>
                <w:color w:val="auto"/>
              </w:rPr>
            </w:pPr>
            <w:r>
              <w:rPr>
                <w:rFonts w:ascii="Arial" w:cs="Arial" w:eastAsia="Arial" w:hAnsi="Arial"/>
                <w:sz w:val="13"/>
                <w:szCs w:val="13"/>
                <w:b w:val="1"/>
                <w:bCs w:val="1"/>
                <w:color w:val="auto"/>
                <w:w w:val="87"/>
              </w:rPr>
              <w:t>(State or other jurisdiction of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60" w:type="dxa"/>
            <w:vAlign w:val="bottom"/>
          </w:tcPr>
          <w:p>
            <w:pPr>
              <w:jc w:val="center"/>
              <w:ind w:right="2170"/>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620" w:type="dxa"/>
            <w:vAlign w:val="bottom"/>
          </w:tcPr>
          <w:p>
            <w:pPr>
              <w:jc w:val="center"/>
              <w:ind w:left="1829"/>
              <w:spacing w:after="0"/>
              <w:rPr>
                <w:sz w:val="20"/>
                <w:szCs w:val="20"/>
                <w:color w:val="auto"/>
              </w:rPr>
            </w:pPr>
            <w:r>
              <w:rPr>
                <w:rFonts w:ascii="Arial" w:cs="Arial" w:eastAsia="Arial" w:hAnsi="Arial"/>
                <w:sz w:val="13"/>
                <w:szCs w:val="13"/>
                <w:b w:val="1"/>
                <w:bCs w:val="1"/>
                <w:color w:val="auto"/>
                <w:w w:val="88"/>
              </w:rPr>
              <w:t>incorporation or organization)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2170"/>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07"/>
        </w:trPr>
        <w:tc>
          <w:tcPr>
            <w:tcW w:w="6980" w:type="dxa"/>
            <w:vAlign w:val="bottom"/>
            <w:gridSpan w:val="5"/>
          </w:tcPr>
          <w:p>
            <w:pPr>
              <w:jc w:val="center"/>
              <w:ind w:right="1460"/>
              <w:spacing w:after="0"/>
              <w:rPr>
                <w:sz w:val="20"/>
                <w:szCs w:val="20"/>
                <w:color w:val="auto"/>
              </w:rPr>
            </w:pPr>
            <w:r>
              <w:rPr>
                <w:rFonts w:ascii="Arial" w:cs="Arial" w:eastAsia="Arial" w:hAnsi="Arial"/>
                <w:sz w:val="16"/>
                <w:szCs w:val="16"/>
                <w:b w:val="1"/>
                <w:bCs w:val="1"/>
                <w:color w:val="auto"/>
                <w:w w:val="92"/>
              </w:rPr>
              <w:t>12278 Scripps Summit Drive, San Diego, California</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tcPr>
          <w:p>
            <w:pPr>
              <w:jc w:val="right"/>
              <w:ind w:right="2470"/>
              <w:spacing w:after="0"/>
              <w:rPr>
                <w:sz w:val="20"/>
                <w:szCs w:val="20"/>
                <w:color w:val="auto"/>
              </w:rPr>
            </w:pPr>
            <w:r>
              <w:rPr>
                <w:rFonts w:ascii="Arial" w:cs="Arial" w:eastAsia="Arial" w:hAnsi="Arial"/>
                <w:sz w:val="16"/>
                <w:szCs w:val="16"/>
                <w:b w:val="1"/>
                <w:bCs w:val="1"/>
                <w:color w:val="auto"/>
              </w:rPr>
              <w:t>92131</w:t>
            </w:r>
          </w:p>
        </w:tc>
        <w:tc>
          <w:tcPr>
            <w:tcW w:w="0" w:type="dxa"/>
            <w:vAlign w:val="bottom"/>
          </w:tcPr>
          <w:p>
            <w:pPr>
              <w:spacing w:after="0"/>
              <w:rPr>
                <w:sz w:val="1"/>
                <w:szCs w:val="1"/>
                <w:color w:val="auto"/>
              </w:rPr>
            </w:pPr>
          </w:p>
        </w:tc>
      </w:tr>
      <w:tr>
        <w:trPr>
          <w:trHeight w:val="179"/>
        </w:trPr>
        <w:tc>
          <w:tcPr>
            <w:tcW w:w="6980" w:type="dxa"/>
            <w:vAlign w:val="bottom"/>
            <w:gridSpan w:val="5"/>
          </w:tcPr>
          <w:p>
            <w:pPr>
              <w:jc w:val="center"/>
              <w:ind w:right="146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tcPr>
          <w:p>
            <w:pPr>
              <w:jc w:val="center"/>
              <w:ind w:right="2170"/>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p>
        </w:tc>
        <w:tc>
          <w:tcPr>
            <w:tcW w:w="312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3"/>
              </w:rPr>
              <w:t>(858) 875-1800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p>
        </w:tc>
        <w:tc>
          <w:tcPr>
            <w:tcW w:w="4100" w:type="dxa"/>
            <w:vAlign w:val="bottom"/>
            <w:gridSpan w:val="7"/>
          </w:tcPr>
          <w:p>
            <w:pPr>
              <w:jc w:val="center"/>
              <w:ind w:right="3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3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3620" w:type="dxa"/>
            <w:vAlign w:val="bottom"/>
            <w:tcBorders>
              <w:left w:val="single" w:sz="8" w:color="auto"/>
              <w:bottom w:val="single" w:sz="8" w:color="auto"/>
            </w:tcBorders>
          </w:tcPr>
          <w:p>
            <w:pPr>
              <w:jc w:val="center"/>
              <w:ind w:left="89"/>
              <w:spacing w:after="0" w:line="136" w:lineRule="exact"/>
              <w:rPr>
                <w:sz w:val="20"/>
                <w:szCs w:val="20"/>
                <w:color w:val="auto"/>
              </w:rPr>
            </w:pPr>
            <w:r>
              <w:rPr>
                <w:rFonts w:ascii="Arial" w:cs="Arial" w:eastAsia="Arial" w:hAnsi="Arial"/>
                <w:sz w:val="13"/>
                <w:szCs w:val="13"/>
                <w:b w:val="1"/>
                <w:bCs w:val="1"/>
                <w:color w:val="auto"/>
                <w:w w:val="83"/>
              </w:rPr>
              <w:t>Title of each class</w:t>
            </w:r>
          </w:p>
        </w:tc>
        <w:tc>
          <w:tcPr>
            <w:tcW w:w="1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86"/>
              </w:rPr>
              <w:t>Trading symbol(s)</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jc w:val="center"/>
              <w:ind w:right="410"/>
              <w:spacing w:after="0" w:line="136" w:lineRule="exact"/>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bottom w:val="single" w:sz="8" w:color="auto"/>
            </w:tcBorders>
          </w:tcPr>
          <w:p>
            <w:pPr>
              <w:jc w:val="center"/>
              <w:ind w:left="69"/>
              <w:spacing w:after="0"/>
              <w:rPr>
                <w:sz w:val="20"/>
                <w:szCs w:val="20"/>
                <w:color w:val="auto"/>
              </w:rPr>
            </w:pPr>
            <w:r>
              <w:rPr>
                <w:rFonts w:ascii="Arial" w:cs="Arial" w:eastAsia="Arial" w:hAnsi="Arial"/>
                <w:sz w:val="16"/>
                <w:szCs w:val="16"/>
                <w:b w:val="1"/>
                <w:bCs w:val="1"/>
                <w:color w:val="auto"/>
                <w:w w:val="91"/>
              </w:rPr>
              <w:t>Common Stock, $0.001 par value</w:t>
            </w:r>
          </w:p>
        </w:tc>
        <w:tc>
          <w:tcPr>
            <w:tcW w:w="1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FATE</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6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6"/>
                <w:szCs w:val="16"/>
                <w:b w:val="1"/>
                <w:bCs w:val="1"/>
                <w:color w:val="auto"/>
                <w:w w:val="97"/>
              </w:rPr>
              <w:t>NASDAQ Global Market</w:t>
            </w:r>
          </w:p>
        </w:tc>
        <w:tc>
          <w:tcPr>
            <w:tcW w:w="0" w:type="dxa"/>
            <w:vAlign w:val="bottom"/>
          </w:tcPr>
          <w:p>
            <w:pPr>
              <w:spacing w:after="0"/>
              <w:rPr>
                <w:sz w:val="1"/>
                <w:szCs w:val="1"/>
                <w:color w:val="auto"/>
              </w:rPr>
            </w:pPr>
          </w:p>
        </w:tc>
      </w:tr>
      <w:tr>
        <w:trPr>
          <w:trHeight w:val="250"/>
        </w:trPr>
        <w:tc>
          <w:tcPr>
            <w:tcW w:w="7980" w:type="dxa"/>
            <w:vAlign w:val="bottom"/>
            <w:gridSpan w:val="9"/>
          </w:tcPr>
          <w:p>
            <w:pPr>
              <w:jc w:val="center"/>
              <w:ind w:left="3189"/>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4500" w:type="dxa"/>
            <w:vAlign w:val="bottom"/>
            <w:gridSpan w:val="3"/>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vMerge w:val="restart"/>
          </w:tcPr>
          <w:p>
            <w:pPr>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60" w:type="dxa"/>
            <w:vAlign w:val="bottom"/>
            <w:vMerge w:val="restart"/>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214"/>
        </w:trPr>
        <w:tc>
          <w:tcPr>
            <w:tcW w:w="6980" w:type="dxa"/>
            <w:vAlign w:val="bottom"/>
            <w:gridSpan w:val="5"/>
          </w:tcPr>
          <w:p>
            <w:pPr>
              <w:ind w:left="52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280" w:type="dxa"/>
            <w:vAlign w:val="bottom"/>
          </w:tcPr>
          <w:p>
            <w:pPr>
              <w:spacing w:after="0"/>
              <w:rPr>
                <w:sz w:val="20"/>
                <w:szCs w:val="20"/>
                <w:color w:val="auto"/>
              </w:rPr>
            </w:pPr>
            <w:r>
              <w:rPr>
                <w:rFonts w:ascii="Arial" w:cs="Arial" w:eastAsia="Arial" w:hAnsi="Arial"/>
                <w:sz w:val="13"/>
                <w:szCs w:val="13"/>
                <w:color w:val="auto"/>
              </w:rPr>
              <w:t>Yes</w:t>
            </w:r>
          </w:p>
        </w:tc>
        <w:tc>
          <w:tcPr>
            <w:tcW w:w="240" w:type="dxa"/>
            <w:vAlign w:val="bottom"/>
            <w:vMerge w:val="continue"/>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or</w:t>
            </w:r>
          </w:p>
        </w:tc>
        <w:tc>
          <w:tcPr>
            <w:tcW w:w="260" w:type="dxa"/>
            <w:vAlign w:val="bottom"/>
          </w:tcPr>
          <w:p>
            <w:pPr>
              <w:ind w:left="40"/>
              <w:spacing w:after="0"/>
              <w:rPr>
                <w:sz w:val="20"/>
                <w:szCs w:val="20"/>
                <w:color w:val="auto"/>
              </w:rPr>
            </w:pPr>
            <w:r>
              <w:rPr>
                <w:rFonts w:ascii="Arial" w:cs="Arial" w:eastAsia="Arial" w:hAnsi="Arial"/>
                <w:sz w:val="13"/>
                <w:szCs w:val="13"/>
                <w:color w:val="auto"/>
              </w:rPr>
              <w:t>No</w:t>
            </w: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ind w:left="52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280" w:type="dxa"/>
            <w:vAlign w:val="bottom"/>
          </w:tcPr>
          <w:p>
            <w:pPr>
              <w:ind w:left="60"/>
              <w:spacing w:after="0"/>
              <w:rPr>
                <w:sz w:val="20"/>
                <w:szCs w:val="20"/>
                <w:color w:val="auto"/>
              </w:rPr>
            </w:pPr>
            <w:r>
              <w:rPr>
                <w:rFonts w:ascii="Arial" w:cs="Arial" w:eastAsia="Arial" w:hAnsi="Arial"/>
                <w:sz w:val="13"/>
                <w:szCs w:val="13"/>
                <w:color w:val="auto"/>
                <w:w w:val="89"/>
              </w:rPr>
              <w:t>Yes</w:t>
            </w:r>
          </w:p>
        </w:tc>
        <w:tc>
          <w:tcPr>
            <w:tcW w:w="24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220" w:type="dxa"/>
            <w:vAlign w:val="bottom"/>
          </w:tcPr>
          <w:p>
            <w:pPr>
              <w:ind w:left="60"/>
              <w:spacing w:after="0"/>
              <w:rPr>
                <w:sz w:val="20"/>
                <w:szCs w:val="20"/>
                <w:color w:val="auto"/>
              </w:rPr>
            </w:pPr>
            <w:r>
              <w:rPr>
                <w:rFonts w:ascii="Arial" w:cs="Arial" w:eastAsia="Arial" w:hAnsi="Arial"/>
                <w:sz w:val="13"/>
                <w:szCs w:val="13"/>
                <w:color w:val="auto"/>
              </w:rPr>
              <w:t>or</w:t>
            </w:r>
          </w:p>
        </w:tc>
        <w:tc>
          <w:tcPr>
            <w:tcW w:w="260" w:type="dxa"/>
            <w:vAlign w:val="bottom"/>
          </w:tcPr>
          <w:p>
            <w:pPr>
              <w:ind w:left="100"/>
              <w:spacing w:after="0"/>
              <w:rPr>
                <w:sz w:val="20"/>
                <w:szCs w:val="20"/>
                <w:color w:val="auto"/>
              </w:rPr>
            </w:pPr>
            <w:r>
              <w:rPr>
                <w:rFonts w:ascii="Arial" w:cs="Arial" w:eastAsia="Arial" w:hAnsi="Arial"/>
                <w:sz w:val="13"/>
                <w:szCs w:val="13"/>
                <w:color w:val="auto"/>
                <w:w w:val="83"/>
              </w:rPr>
              <w:t>No</w:t>
            </w:r>
          </w:p>
        </w:tc>
        <w:tc>
          <w:tcPr>
            <w:tcW w:w="326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right="100" w:firstLine="509"/>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or No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right="260" w:firstLine="509"/>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right="600" w:firstLine="509"/>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26"/>
        </w:trPr>
        <w:tc>
          <w:tcPr>
            <w:tcW w:w="2240" w:type="dxa"/>
            <w:vAlign w:val="bottom"/>
          </w:tcPr>
          <w:p>
            <w:pPr>
              <w:spacing w:after="0"/>
              <w:rPr>
                <w:sz w:val="20"/>
                <w:szCs w:val="20"/>
                <w:color w:val="auto"/>
              </w:rPr>
            </w:pPr>
            <w:r>
              <w:rPr>
                <w:rFonts w:ascii="Arial" w:cs="Arial" w:eastAsia="Arial" w:hAnsi="Arial"/>
                <w:sz w:val="15"/>
                <w:szCs w:val="15"/>
                <w:color w:val="auto"/>
              </w:rPr>
              <w:t>Non-accelerated filer</w:t>
            </w:r>
          </w:p>
        </w:tc>
        <w:tc>
          <w:tcPr>
            <w:tcW w:w="33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27"/>
        </w:trPr>
        <w:tc>
          <w:tcPr>
            <w:tcW w:w="22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45" w:lineRule="exact"/>
        <w:rPr>
          <w:sz w:val="24"/>
          <w:szCs w:val="24"/>
          <w:color w:val="auto"/>
        </w:rPr>
      </w:pPr>
    </w:p>
    <w:p>
      <w:pPr>
        <w:ind w:right="180" w:firstLine="509"/>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right="240" w:firstLine="509"/>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right="300" w:firstLine="509"/>
        <w:spacing w:after="0" w:line="168"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right="440" w:firstLine="509"/>
        <w:spacing w:after="0" w:line="168"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ind w:left="520"/>
        <w:spacing w:after="0" w:line="175" w:lineRule="exact"/>
        <w:tabs>
          <w:tab w:leader="none" w:pos="6200" w:val="left"/>
          <w:tab w:leader="none" w:pos="67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45" w:lineRule="exact"/>
        <w:rPr>
          <w:sz w:val="24"/>
          <w:szCs w:val="24"/>
          <w:color w:val="auto"/>
        </w:rPr>
      </w:pPr>
    </w:p>
    <w:p>
      <w:pPr>
        <w:ind w:right="40" w:firstLine="509"/>
        <w:spacing w:after="0" w:line="278" w:lineRule="auto"/>
        <w:rPr>
          <w:sz w:val="20"/>
          <w:szCs w:val="20"/>
          <w:color w:val="auto"/>
        </w:rPr>
      </w:pPr>
      <w:r>
        <w:rPr>
          <w:rFonts w:ascii="Arial" w:cs="Arial" w:eastAsia="Arial" w:hAnsi="Arial"/>
          <w:sz w:val="12"/>
          <w:szCs w:val="12"/>
          <w:color w:val="auto"/>
        </w:rPr>
        <w:t>The aggregate market value of the common stock held by non-affiliates of the registrant was approximately $2,340,000,000 as of June 30, 2022 based upon the closing sale price on The Nasdaq Global Market reported for such date. Shares of common stock held by each executive officer and director and certain holders of more than 10% of the outstanding shares of the registrant’s common stock have been excluded in that such persons may be deemed to be affiliates. Shares of common stock held by other persons, including certain other holders of more than 10% of the outstanding shares of common stock, have not been excluded in that such persons are not deemed to be affiliates. This determination of affiliate status is not necessarily a conclusive determination for other purposes.</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The number of outstanding shares of the registrant’s common stock, par value $0.001 per share, as of February 22, 2023 was 98,161,823.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6" w:lineRule="exact"/>
        <w:rPr>
          <w:sz w:val="24"/>
          <w:szCs w:val="24"/>
          <w:color w:val="auto"/>
        </w:rPr>
      </w:pPr>
    </w:p>
    <w:p>
      <w:pPr>
        <w:jc w:val="both"/>
        <w:ind w:right="140" w:firstLine="509"/>
        <w:spacing w:after="0" w:line="256"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or SEC, on or before the date 120 days after the conclusion of the registrant’s fiscal year ended December 31, 2022 pursuant to Regulation 14A in connection with the registrant’s 2023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8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w w:val="99"/>
              </w:rPr>
              <w:t>FATE THERAPEUTICS, INC.</w:t>
            </w: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8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w w:val="93"/>
              </w:rPr>
              <w:t>Annual Report on Form 10-K</w:t>
            </w:r>
          </w:p>
        </w:tc>
        <w:tc>
          <w:tcPr>
            <w:tcW w:w="6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80" w:type="dxa"/>
            <w:vAlign w:val="bottom"/>
            <w:gridSpan w:val="11"/>
          </w:tcPr>
          <w:p>
            <w:pPr>
              <w:jc w:val="center"/>
              <w:ind w:right="238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6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8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212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6"/>
              </w:rPr>
              <w:t>RISK FACTOR SUMMARY</w:t>
            </w:r>
          </w:p>
        </w:tc>
        <w:tc>
          <w:tcPr>
            <w:tcW w:w="8420" w:type="dxa"/>
            <w:vAlign w:val="bottom"/>
            <w:gridSpan w:val="1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10540" w:type="dxa"/>
            <w:vAlign w:val="bottom"/>
            <w:gridSpan w:val="32"/>
          </w:tcPr>
          <w:p>
            <w:pPr>
              <w:spacing w:after="0"/>
              <w:rPr>
                <w:sz w:val="20"/>
                <w:szCs w:val="20"/>
                <w:color w:val="auto"/>
              </w:rPr>
            </w:pPr>
            <w:r>
              <w:rPr>
                <w:rFonts w:ascii="Arial" w:cs="Arial" w:eastAsia="Arial" w:hAnsi="Arial"/>
                <w:sz w:val="18"/>
                <w:szCs w:val="18"/>
                <w:color w:val="0000FF"/>
              </w:rPr>
              <w:t>FORWARD-LOOKING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Borders>
              <w:top w:val="single" w:sz="8" w:color="0000EE"/>
            </w:tcBorders>
          </w:tcPr>
          <w:p>
            <w:pPr>
              <w:spacing w:after="0"/>
              <w:rPr>
                <w:sz w:val="19"/>
                <w:szCs w:val="19"/>
                <w:color w:val="auto"/>
              </w:rPr>
            </w:pPr>
          </w:p>
        </w:tc>
        <w:tc>
          <w:tcPr>
            <w:tcW w:w="102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w:t>
            </w:r>
          </w:p>
        </w:tc>
        <w:tc>
          <w:tcPr>
            <w:tcW w:w="8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20" w:type="dxa"/>
            <w:vAlign w:val="bottom"/>
            <w:tcBorders>
              <w:top w:val="single" w:sz="8" w:color="0000EE"/>
            </w:tcBorders>
          </w:tcPr>
          <w:p>
            <w:pPr>
              <w:spacing w:after="0"/>
              <w:rPr>
                <w:sz w:val="19"/>
                <w:szCs w:val="19"/>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4"/>
          </w:tcPr>
          <w:p>
            <w:pPr>
              <w:spacing w:after="0"/>
              <w:rPr>
                <w:sz w:val="19"/>
                <w:szCs w:val="19"/>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4"/>
              </w:rPr>
              <w:t>Business</w:t>
            </w:r>
          </w:p>
        </w:tc>
        <w:tc>
          <w:tcPr>
            <w:tcW w:w="20" w:type="dxa"/>
            <w:vAlign w:val="bottom"/>
            <w:tcBorders>
              <w:bottom w:val="single" w:sz="8" w:color="0000EE"/>
            </w:tcBorders>
          </w:tcPr>
          <w:p>
            <w:pPr>
              <w:spacing w:after="0"/>
              <w:rPr>
                <w:sz w:val="19"/>
                <w:szCs w:val="19"/>
                <w:color w:val="auto"/>
              </w:rPr>
            </w:pPr>
          </w:p>
        </w:tc>
        <w:tc>
          <w:tcPr>
            <w:tcW w:w="8860" w:type="dxa"/>
            <w:vAlign w:val="bottom"/>
            <w:gridSpan w:val="2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bottom w:val="single" w:sz="8" w:color="0000EE"/>
            </w:tcBorders>
          </w:tcPr>
          <w:p>
            <w:pPr>
              <w:spacing w:after="0"/>
              <w:rPr>
                <w:sz w:val="19"/>
                <w:szCs w:val="19"/>
                <w:color w:val="auto"/>
              </w:rPr>
            </w:pPr>
          </w:p>
        </w:tc>
        <w:tc>
          <w:tcPr>
            <w:tcW w:w="8600" w:type="dxa"/>
            <w:vAlign w:val="bottom"/>
            <w:gridSpan w:val="20"/>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Unresolved Staff Comments</w:t>
            </w:r>
          </w:p>
        </w:tc>
        <w:tc>
          <w:tcPr>
            <w:tcW w:w="7480" w:type="dxa"/>
            <w:vAlign w:val="bottom"/>
            <w:gridSpan w:val="11"/>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27"/>
          </w:tcPr>
          <w:p>
            <w:pPr>
              <w:spacing w:after="0"/>
              <w:rPr>
                <w:sz w:val="20"/>
                <w:szCs w:val="20"/>
                <w:color w:val="auto"/>
              </w:rPr>
            </w:pPr>
            <w:r>
              <w:rPr>
                <w:rFonts w:ascii="Arial" w:cs="Arial" w:eastAsia="Arial" w:hAnsi="Arial"/>
                <w:sz w:val="18"/>
                <w:szCs w:val="18"/>
                <w:color w:val="0000FF"/>
              </w:rPr>
              <w:t>Properties</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520" w:type="dxa"/>
            <w:vAlign w:val="bottom"/>
            <w:gridSpan w:val="27"/>
          </w:tcPr>
          <w:p>
            <w:pPr>
              <w:spacing w:after="0"/>
              <w:rPr>
                <w:sz w:val="20"/>
                <w:szCs w:val="20"/>
                <w:color w:val="auto"/>
              </w:rPr>
            </w:pPr>
            <w:r>
              <w:rPr>
                <w:rFonts w:ascii="Arial" w:cs="Arial" w:eastAsia="Arial" w:hAnsi="Arial"/>
                <w:sz w:val="18"/>
                <w:szCs w:val="18"/>
                <w:color w:val="0000FF"/>
              </w:rPr>
              <w:t>Legal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520" w:type="dxa"/>
            <w:vAlign w:val="bottom"/>
            <w:gridSpan w:val="27"/>
          </w:tcPr>
          <w:p>
            <w:pPr>
              <w:spacing w:after="0"/>
              <w:rPr>
                <w:sz w:val="20"/>
                <w:szCs w:val="20"/>
                <w:color w:val="auto"/>
              </w:rPr>
            </w:pPr>
            <w:r>
              <w:rPr>
                <w:rFonts w:ascii="Arial" w:cs="Arial" w:eastAsia="Arial" w:hAnsi="Arial"/>
                <w:sz w:val="18"/>
                <w:szCs w:val="18"/>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tcBorders>
              <w:bottom w:val="single" w:sz="8" w:color="0000EE"/>
            </w:tcBorders>
          </w:tcPr>
          <w:p>
            <w:pPr>
              <w:spacing w:after="0"/>
              <w:rPr>
                <w:sz w:val="19"/>
                <w:szCs w:val="19"/>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360" w:type="dxa"/>
            <w:vAlign w:val="bottom"/>
            <w:gridSpan w:val="3"/>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684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w:t>
            </w:r>
          </w:p>
        </w:tc>
        <w:tc>
          <w:tcPr>
            <w:tcW w:w="268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20" w:type="dxa"/>
            <w:vAlign w:val="bottom"/>
            <w:gridSpan w:val="27"/>
          </w:tcPr>
          <w:p>
            <w:pPr>
              <w:spacing w:after="0" w:line="196" w:lineRule="exact"/>
              <w:rPr>
                <w:sz w:val="20"/>
                <w:szCs w:val="20"/>
                <w:color w:val="auto"/>
              </w:rPr>
            </w:pPr>
            <w:r>
              <w:rPr>
                <w:rFonts w:ascii="Arial" w:cs="Arial" w:eastAsia="Arial" w:hAnsi="Arial"/>
                <w:sz w:val="18"/>
                <w:szCs w:val="18"/>
                <w:color w:val="0000FF"/>
              </w:rPr>
              <w:t>Equity Securities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2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[Reserved]</w:t>
            </w:r>
          </w:p>
        </w:tc>
        <w:tc>
          <w:tcPr>
            <w:tcW w:w="8300" w:type="dxa"/>
            <w:vAlign w:val="bottom"/>
            <w:gridSpan w:val="18"/>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6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60" w:type="dxa"/>
            <w:vAlign w:val="bottom"/>
            <w:gridSpan w:val="6"/>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520" w:type="dxa"/>
            <w:vAlign w:val="bottom"/>
            <w:gridSpan w:val="27"/>
          </w:tcPr>
          <w:p>
            <w:pPr>
              <w:spacing w:after="0"/>
              <w:rPr>
                <w:sz w:val="20"/>
                <w:szCs w:val="20"/>
                <w:color w:val="auto"/>
              </w:rPr>
            </w:pPr>
            <w:r>
              <w:rPr>
                <w:rFonts w:ascii="Arial" w:cs="Arial" w:eastAsia="Arial" w:hAnsi="Arial"/>
                <w:sz w:val="18"/>
                <w:szCs w:val="18"/>
                <w:color w:val="0000FF"/>
              </w:rPr>
              <w:t>Financial Statements and Supplementary Data</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520" w:type="dxa"/>
            <w:vAlign w:val="bottom"/>
            <w:gridSpan w:val="27"/>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Controls and Procedures</w:t>
            </w:r>
          </w:p>
        </w:tc>
        <w:tc>
          <w:tcPr>
            <w:tcW w:w="306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Other Information</w:t>
            </w:r>
          </w:p>
        </w:tc>
        <w:tc>
          <w:tcPr>
            <w:tcW w:w="7760" w:type="dxa"/>
            <w:vAlign w:val="bottom"/>
            <w:gridSpan w:val="15"/>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520" w:type="dxa"/>
            <w:vAlign w:val="bottom"/>
            <w:gridSpan w:val="27"/>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20" w:type="dxa"/>
            <w:vAlign w:val="bottom"/>
            <w:tcBorders>
              <w:bottom w:val="single" w:sz="8" w:color="0000EE"/>
            </w:tcBorders>
          </w:tcPr>
          <w:p>
            <w:pPr>
              <w:spacing w:after="0"/>
              <w:rPr>
                <w:sz w:val="19"/>
                <w:szCs w:val="19"/>
                <w:color w:val="auto"/>
              </w:rPr>
            </w:pP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28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520" w:type="dxa"/>
            <w:vAlign w:val="bottom"/>
            <w:gridSpan w:val="27"/>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89"/>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60" w:type="dxa"/>
            <w:vAlign w:val="bottom"/>
            <w:tcBorders>
              <w:top w:val="single" w:sz="8" w:color="0000FF"/>
            </w:tcBorders>
            <w:gridSpan w:val="6"/>
          </w:tcPr>
          <w:p>
            <w:pPr>
              <w:spacing w:after="0"/>
              <w:rPr>
                <w:sz w:val="19"/>
                <w:szCs w:val="19"/>
                <w:color w:val="auto"/>
              </w:rPr>
            </w:pPr>
          </w:p>
        </w:tc>
        <w:tc>
          <w:tcPr>
            <w:tcW w:w="5440" w:type="dxa"/>
            <w:vAlign w:val="bottom"/>
            <w:gridSpan w:val="7"/>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520" w:type="dxa"/>
            <w:vAlign w:val="bottom"/>
            <w:gridSpan w:val="27"/>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Principal Accounting Fees and Services</w:t>
            </w:r>
          </w:p>
        </w:tc>
        <w:tc>
          <w:tcPr>
            <w:tcW w:w="408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Borders>
              <w:bottom w:val="single" w:sz="8" w:color="0000EE"/>
            </w:tcBorders>
          </w:tcPr>
          <w:p>
            <w:pPr>
              <w:spacing w:after="0"/>
              <w:rPr>
                <w:sz w:val="19"/>
                <w:szCs w:val="19"/>
                <w:color w:val="auto"/>
              </w:rPr>
            </w:pP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IV</w:t>
            </w:r>
          </w:p>
        </w:tc>
        <w:tc>
          <w:tcPr>
            <w:tcW w:w="300" w:type="dxa"/>
            <w:vAlign w:val="bottom"/>
            <w:gridSpan w:val="2"/>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6360" w:type="dxa"/>
            <w:vAlign w:val="bottom"/>
            <w:gridSpan w:val="9"/>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520" w:type="dxa"/>
            <w:vAlign w:val="bottom"/>
            <w:gridSpan w:val="27"/>
          </w:tcPr>
          <w:p>
            <w:pPr>
              <w:spacing w:after="0"/>
              <w:rPr>
                <w:sz w:val="20"/>
                <w:szCs w:val="20"/>
                <w:color w:val="auto"/>
              </w:rPr>
            </w:pPr>
            <w:r>
              <w:rPr>
                <w:rFonts w:ascii="Arial" w:cs="Arial" w:eastAsia="Arial" w:hAnsi="Arial"/>
                <w:sz w:val="18"/>
                <w:szCs w:val="18"/>
                <w:color w:val="0000FF"/>
              </w:rPr>
              <w:t>Form 10-K Summary</w:t>
            </w: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gridSpan w:val="10"/>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32"/>
          </w:tcPr>
          <w:p>
            <w:pPr>
              <w:spacing w:after="0"/>
              <w:rPr>
                <w:sz w:val="20"/>
                <w:szCs w:val="20"/>
                <w:color w:val="auto"/>
              </w:rPr>
            </w:pPr>
            <w:r>
              <w:rPr>
                <w:rFonts w:ascii="Arial" w:cs="Arial" w:eastAsia="Arial" w:hAnsi="Arial"/>
                <w:sz w:val="18"/>
                <w:szCs w:val="18"/>
                <w:color w:val="0000FF"/>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79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common stock.</w:t>
      </w:r>
    </w:p>
    <w:p>
      <w:pPr>
        <w:spacing w:after="0" w:line="63" w:lineRule="exact"/>
        <w:rPr>
          <w:sz w:val="20"/>
          <w:szCs w:val="20"/>
          <w:color w:val="auto"/>
        </w:rPr>
      </w:pPr>
    </w:p>
    <w:p>
      <w:pPr>
        <w:ind w:left="1020" w:right="140" w:hanging="503"/>
        <w:spacing w:after="0" w:line="30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represent a novel therapeutic approach to treating cancer and autoimmune disorders and may cause undesirable side effects or have other properties that could delay or halt their clinical development, prevent their regulatory approval, limit their commercial potential or result in significant negative consequences. If we fail to complete the preclinical or clinical development of, or to obtain regulatory approval for, our product candidates on a timely basis or at all, our business would be significantly harmed.</w:t>
      </w:r>
    </w:p>
    <w:p>
      <w:pPr>
        <w:spacing w:after="0" w:line="49" w:lineRule="exact"/>
        <w:rPr>
          <w:rFonts w:ascii="Arial" w:cs="Arial" w:eastAsia="Arial" w:hAnsi="Arial"/>
          <w:sz w:val="16"/>
          <w:szCs w:val="16"/>
          <w:color w:val="auto"/>
        </w:rPr>
      </w:pPr>
    </w:p>
    <w:p>
      <w:pPr>
        <w:ind w:left="1020" w:right="3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 induced pluripotent stem cell (iPSC) technology and gene-editing technology in the creation of our product candidates. Both technologies are relatively new technologies, which makes it difficult to predict the time and cost of product candidate development and obtaining regulatory approval. If we are unable to use these technologies in the creation of our product candidates, our business would be significantly harmed.</w:t>
      </w:r>
    </w:p>
    <w:p>
      <w:pPr>
        <w:spacing w:after="0" w:line="78" w:lineRule="exact"/>
        <w:rPr>
          <w:rFonts w:ascii="Arial" w:cs="Arial" w:eastAsia="Arial" w:hAnsi="Arial"/>
          <w:sz w:val="18"/>
          <w:szCs w:val="18"/>
          <w:color w:val="auto"/>
        </w:rPr>
      </w:pPr>
    </w:p>
    <w:p>
      <w:pPr>
        <w:ind w:left="1020" w:right="200" w:hanging="503"/>
        <w:spacing w:after="0" w:line="25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delays in initiating, conducting or completing our clinical trials, including due to difficulties enrolling patients in our clinical trials, securing adequate clinical supply of our product candidates, and obtaining sufficient quantities of other components and supplies necessary for the conduct of our clinical trials, including agents such as cyclophosphamide or fludarabine which are often required to condition patients for treatment with our product candidates, or certain monoclonal antibodies which are intended for administration to patients in combination with our product candidates in certain of our clinical trials, and we may not be able to initiate, conduct or complete them at all.</w:t>
      </w:r>
    </w:p>
    <w:p>
      <w:pPr>
        <w:spacing w:after="0" w:line="84" w:lineRule="exact"/>
        <w:rPr>
          <w:rFonts w:ascii="Arial" w:cs="Arial" w:eastAsia="Arial" w:hAnsi="Arial"/>
          <w:sz w:val="18"/>
          <w:szCs w:val="18"/>
          <w:color w:val="auto"/>
        </w:rPr>
      </w:pPr>
    </w:p>
    <w:p>
      <w:pPr>
        <w:ind w:left="1020" w:right="1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interim and preliminary data from our clinical trials that we announce or publish from time to time may change as more patient data become available and are subject to audit and verification procedures that could result in material changes in the final data. Furthermore, results from our ongoing or future clinical trials involving our product candidates may differ materially from initial, interim and preliminary data.</w:t>
      </w:r>
    </w:p>
    <w:p>
      <w:pPr>
        <w:spacing w:after="0" w:line="78" w:lineRule="exact"/>
        <w:rPr>
          <w:rFonts w:ascii="Arial" w:cs="Arial" w:eastAsia="Arial" w:hAnsi="Arial"/>
          <w:sz w:val="18"/>
          <w:szCs w:val="18"/>
          <w:color w:val="auto"/>
        </w:rPr>
      </w:pPr>
    </w:p>
    <w:p>
      <w:pPr>
        <w:ind w:left="1020" w:right="16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manufacture and distribution of our cell product candidates are complex and subject to a multitude of risks. These risks could substantially limit the clinical and commercial supply of our product candidates and increase our costs, and the development and commercialization of our product candidates could be significantly delayed or restricted if the United States Food and Drug Administration (FDA) or other regulatory authorities impose additional requirements on our manufacturing operations or if we are required to change our manufacturing operations to comply with regulatory requirements.</w:t>
      </w:r>
    </w:p>
    <w:p>
      <w:pPr>
        <w:spacing w:after="0" w:line="79" w:lineRule="exact"/>
        <w:rPr>
          <w:rFonts w:ascii="Arial" w:cs="Arial" w:eastAsia="Arial" w:hAnsi="Arial"/>
          <w:sz w:val="18"/>
          <w:szCs w:val="18"/>
          <w:color w:val="auto"/>
        </w:rPr>
      </w:pPr>
    </w:p>
    <w:p>
      <w:pPr>
        <w:ind w:left="1020" w:right="4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experience manufacturing our product candidates on a clinical scale, and no experience manufacturing on a commercial scale. Any failure by us or any third parties on whom we depend to manufacture our product candidates consistently and under the proper conditions may result in delays to our clinical development plans and impair our ability to obtain approval for, or commercialize, our product candidates.</w:t>
      </w:r>
    </w:p>
    <w:p>
      <w:pPr>
        <w:spacing w:after="0" w:line="78" w:lineRule="exact"/>
        <w:rPr>
          <w:rFonts w:ascii="Arial" w:cs="Arial" w:eastAsia="Arial" w:hAnsi="Arial"/>
          <w:sz w:val="18"/>
          <w:szCs w:val="18"/>
          <w:color w:val="auto"/>
        </w:rPr>
      </w:pPr>
    </w:p>
    <w:p>
      <w:pPr>
        <w:ind w:left="1020" w:right="2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or the loss of our third-party contract manufacturers, or our or their failure to supply sufficient quantities of our product candidates at acceptable quality levels or prices, or at all, would materially and adversely affect our business.</w:t>
      </w:r>
    </w:p>
    <w:p>
      <w:pPr>
        <w:spacing w:after="0" w:line="75" w:lineRule="exact"/>
        <w:rPr>
          <w:rFonts w:ascii="Arial" w:cs="Arial" w:eastAsia="Arial" w:hAnsi="Arial"/>
          <w:sz w:val="18"/>
          <w:szCs w:val="18"/>
          <w:color w:val="auto"/>
        </w:rPr>
      </w:pPr>
    </w:p>
    <w:p>
      <w:pPr>
        <w:jc w:val="both"/>
        <w:ind w:left="1020" w:right="1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third party suppliers, including sole source suppliers, for the provision of reagents, materials, devices and equipment that are used by us and our third-party contract manufacturers in the production of our product candidates, the loss of which could adversely impact our ability to conduct our clinical trials or commercialize our product candidates, if approved.</w:t>
      </w:r>
    </w:p>
    <w:p>
      <w:pPr>
        <w:spacing w:after="0" w:line="75" w:lineRule="exact"/>
        <w:rPr>
          <w:rFonts w:ascii="Arial" w:cs="Arial" w:eastAsia="Arial" w:hAnsi="Arial"/>
          <w:sz w:val="18"/>
          <w:szCs w:val="18"/>
          <w:color w:val="auto"/>
        </w:rPr>
      </w:pPr>
    </w:p>
    <w:p>
      <w:pPr>
        <w:ind w:left="1020" w:right="100" w:hanging="503"/>
        <w:spacing w:after="0" w:line="31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ongoing global COVID-19 pandemic, caused by the coronavirus, SARS-CoV-2, and global political and market instability, including as a result of the ongoing conflict in Ukraine, could adversely impact various aspects of our business, results of operations and financial condition, and could cause a disruption to our supply chain and the development and manufacture of our product candidates.</w:t>
      </w:r>
    </w:p>
    <w:p>
      <w:pPr>
        <w:spacing w:after="0" w:line="40" w:lineRule="exact"/>
        <w:rPr>
          <w:rFonts w:ascii="Arial" w:cs="Arial" w:eastAsia="Arial" w:hAnsi="Arial"/>
          <w:sz w:val="16"/>
          <w:szCs w:val="16"/>
          <w:color w:val="auto"/>
        </w:rPr>
      </w:pPr>
    </w:p>
    <w:p>
      <w:pPr>
        <w:ind w:left="1020" w:right="6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challenges recruiting and retaining key personnel due to labor market changes, availability of qualified candidates, and competition for employees from other companies.</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cost fluctuations and inflationary pressures, including increases in prices of materials and costs of labor, which may adversely impact our operating performance, expenses, and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280" w:hanging="503"/>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strategic partnerships and collaboration arrangements for the development and commercialization of certain of our product candidates in certain indications or geographic territories, and if these arrangements are unsuccessful, this could result in delays and other obstacles in the development, manufacture or commercialization of any of our product candidates and materially harm our results of operations.</w:t>
      </w:r>
    </w:p>
    <w:p>
      <w:pPr>
        <w:spacing w:after="0" w:line="78" w:lineRule="exact"/>
        <w:rPr>
          <w:rFonts w:ascii="Arial" w:cs="Arial" w:eastAsia="Arial" w:hAnsi="Arial"/>
          <w:sz w:val="18"/>
          <w:szCs w:val="18"/>
          <w:color w:val="auto"/>
        </w:rPr>
      </w:pPr>
    </w:p>
    <w:p>
      <w:pPr>
        <w:jc w:val="both"/>
        <w:ind w:left="1020" w:right="14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our product candidates will require substantial additional funding, without which we will be unable to complete preclinical or clinical development of, or obtain regulatory approval for, our product candidates, and we may not be able to secure adequate funding on acceptable terms or on a timely basis.</w:t>
      </w:r>
    </w:p>
    <w:p>
      <w:pPr>
        <w:spacing w:after="0" w:line="75" w:lineRule="exact"/>
        <w:rPr>
          <w:rFonts w:ascii="Arial" w:cs="Arial" w:eastAsia="Arial" w:hAnsi="Arial"/>
          <w:sz w:val="18"/>
          <w:szCs w:val="18"/>
          <w:color w:val="auto"/>
        </w:rPr>
      </w:pPr>
    </w:p>
    <w:p>
      <w:pPr>
        <w:jc w:val="both"/>
        <w:ind w:left="1020" w:right="620" w:hanging="503"/>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have incurred significant losses since our inception, and anticipate that we will continue to incur significant losses for the foreseeable future, including in connection with the potential global development of our product candidates.</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comply with our obligations under our license agreements, we could lose rights to our product candidates or key technologies.</w:t>
      </w:r>
    </w:p>
    <w:p>
      <w:pPr>
        <w:spacing w:after="0" w:line="140" w:lineRule="exact"/>
        <w:rPr>
          <w:rFonts w:ascii="Arial" w:cs="Arial" w:eastAsia="Arial" w:hAnsi="Arial"/>
          <w:sz w:val="16"/>
          <w:szCs w:val="16"/>
          <w:color w:val="auto"/>
        </w:rPr>
      </w:pPr>
    </w:p>
    <w:p>
      <w:pPr>
        <w:jc w:val="both"/>
        <w:ind w:left="1020" w:right="20" w:hanging="503"/>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5"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62"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 success of our product candidates will depend upon the degree of market acceptance by physicians, patients, third-party payers and others in the medical community and may require additional generation of evidence development around areas like the anticipated short-term and long-term costs, comparative risks and benefits relative to standard of care and emerging therapies, and other value demonstrations.</w:t>
      </w:r>
    </w:p>
    <w:p>
      <w:pPr>
        <w:spacing w:after="0" w:line="78"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increasing competition in an environment of rapid technological change from other biotechnology and pharmaceutical companies, and our operating results will suffer if we fail to compete effectively.</w:t>
      </w:r>
    </w:p>
    <w:p>
      <w:pPr>
        <w:spacing w:after="0" w:line="62" w:lineRule="exact"/>
        <w:rPr>
          <w:rFonts w:ascii="Arial" w:cs="Arial" w:eastAsia="Arial" w:hAnsi="Arial"/>
          <w:sz w:val="18"/>
          <w:szCs w:val="18"/>
          <w:color w:val="auto"/>
        </w:rPr>
      </w:pPr>
    </w:p>
    <w:p>
      <w:pPr>
        <w:ind w:left="1020" w:right="660" w:hanging="503"/>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success of our existing and any future product candidates is substantially dependent on developments within the field of cellular immunotherapy and autoimmunity, and to changes to clinical treatment standards, some of which are beyond our control.</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loss of data and other disruptions could compromise sensitive information related to our business.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may be able to exercise significant control over our company.</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This Annual Report on Form 10-K contains forward-looking statements that involve risks and uncertainties, as well as assumptions that, even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69"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clinical trials and product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and timing to advance our product candidates in, and to successfully initiate, conduct, enroll and complete, clinical trials;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therapeutic potential of our product candidates, and the disease indications for which we intend to develop our product candidates;</w:t>
      </w:r>
    </w:p>
    <w:p>
      <w:pPr>
        <w:spacing w:after="0" w:line="128" w:lineRule="exact"/>
        <w:rPr>
          <w:rFonts w:ascii="Arial" w:cs="Arial" w:eastAsia="Arial" w:hAnsi="Arial"/>
          <w:sz w:val="17"/>
          <w:szCs w:val="17"/>
          <w:color w:val="auto"/>
        </w:rPr>
      </w:pPr>
    </w:p>
    <w:p>
      <w:pPr>
        <w:ind w:left="1020" w:right="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likelihood of, and our ability to obtain and maintain, regulatory clearance of our Investigational New Drug (IND) applications for and regulatory approval of our product candidates;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of our technology platform, including our induced pluripotent stem cell (iPSC) product platform, and our ability to leverage our platform in our research, development and commercialization activities for our product candidates;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for clinical development and, if approved, for commercialization, and the timing and costs of such manufacture;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source clinical and, if approved, commercial materials and supplies used to manufacture our product candidates;</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and manufacture of our product candidates, including third parties conducting our clinical trials as well as third-party suppliers and manufacturers;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and our ability, and the ability of our collaborators, to successfully develop product candidates under the respective collaborations;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initiate and complete clinical trials of our product candidates;</w:t>
      </w:r>
    </w:p>
    <w:p>
      <w:pPr>
        <w:spacing w:after="0" w:line="140" w:lineRule="exact"/>
        <w:rPr>
          <w:rFonts w:ascii="Arial" w:cs="Arial" w:eastAsia="Arial" w:hAnsi="Arial"/>
          <w:sz w:val="16"/>
          <w:szCs w:val="16"/>
          <w:color w:val="auto"/>
        </w:rPr>
      </w:pPr>
    </w:p>
    <w:p>
      <w:pPr>
        <w:ind w:left="1020" w:right="1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actual or potential collaborators, to commercialize our product candidates, if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rights;</w:t>
      </w:r>
    </w:p>
    <w:p>
      <w:pPr>
        <w:spacing w:after="0" w:line="117" w:lineRule="exact"/>
        <w:rPr>
          <w:rFonts w:ascii="Arial" w:cs="Arial" w:eastAsia="Arial" w:hAnsi="Arial"/>
          <w:sz w:val="18"/>
          <w:szCs w:val="18"/>
          <w:color w:val="auto"/>
        </w:rPr>
      </w:pPr>
    </w:p>
    <w:p>
      <w:pPr>
        <w:ind w:left="1020" w:right="320" w:hanging="503"/>
        <w:spacing w:after="0" w:line="34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and the ability of our licensors, to obtain, maintain, defend and enforce intellectual property rights protecting our product candidates, and our ability to develop and commercialize our product candidates without infringing the proprietary rights of third parties;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key personnel;</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revenues, expenses, capital requirements, cash utilization and need for additional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8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with rapidly evolving cell therapy technologies and respond to other developments relating to our competitors and our industry;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Part I, Item 1A. Risk Factors of this Annual Report on Form 10-K.</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8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7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i w:val="1"/>
          <w:iCs w:val="1"/>
          <w:color w:val="auto"/>
        </w:rPr>
        <w:t>In this Annual Report on Form 10-K, unless the context requires otherwise, “Fate Therapeutics,” “Company,” “we,” “our,” and “us” means Fate Therapeutics, Inc. and its subsidiaries.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are a clinical-stage biopharmaceutical company dedicated to bringing a first-in-class pipeline of programmed cellular immunotherapies to patients with cancer and autoimmune disorders. Our development of first-in-class cell therapy product candidates is based on a simple notion: we believe that better cell therapies start with better cells.</w:t>
      </w:r>
    </w:p>
    <w:p>
      <w:pPr>
        <w:spacing w:after="0" w:line="76" w:lineRule="exact"/>
        <w:rPr>
          <w:sz w:val="20"/>
          <w:szCs w:val="20"/>
          <w:color w:val="auto"/>
        </w:rPr>
      </w:pPr>
    </w:p>
    <w:p>
      <w:pPr>
        <w:jc w:val="both"/>
        <w:ind w:right="200" w:firstLine="509"/>
        <w:spacing w:after="0" w:line="287" w:lineRule="auto"/>
        <w:rPr>
          <w:sz w:val="20"/>
          <w:szCs w:val="20"/>
          <w:color w:val="auto"/>
        </w:rPr>
      </w:pPr>
      <w:r>
        <w:rPr>
          <w:rFonts w:ascii="Arial" w:cs="Arial" w:eastAsia="Arial" w:hAnsi="Arial"/>
          <w:sz w:val="16"/>
          <w:szCs w:val="16"/>
          <w:color w:val="auto"/>
        </w:rPr>
        <w:t>To create better cell therapies, we have pioneered a therapeutic approach that we generally refer to as cell programming: we create and engineer human induced pluripotent stem cells (iPSCs) to incorporate novel synthetic controls of cell function; we generate a clonal master iPSC line for use as a renewable source of cell manufacture; and we direct the fate of the clonal master iPSC line to produce our first-in-class cell therapy product candidate.</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Analogous to master cell lines used to manufacture biopharmaceutical drug products such as monoclonal antibodies, we believe clonal master iPSC lines can be used to mass produce multiplexed-engineered cellular immunotherapies which are well-defined and uniform in composition, can be stored in inventory for off-the-shelf availability, can be combined and administered with other therapies, and can have broader patient reach.</w:t>
      </w:r>
    </w:p>
    <w:p>
      <w:pPr>
        <w:spacing w:after="0" w:line="65"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Utilizing this therapeutic approach, we are advancing a cell therapy pipeline comprised of off-the-shelf, multiplexed-engineered, iPSC-derived natural killer (NK) and T-cell product candidates that are selectively designed, incorporate novel synthetic controls of cell function, and are intended to deliver multiple mechanisms of therapeutic importance to patients for the treatment of cancer and autoimmune disease. We have a deep pipeline of iPSC-derived, chimeric antigen receptor (CAR)-targeted NK and T-cell product candidates currently under development with multiple clinical trials ongoing:</w:t>
      </w:r>
    </w:p>
    <w:p>
      <w:pPr>
        <w:spacing w:after="0" w:line="256" w:lineRule="exact"/>
        <w:rPr>
          <w:sz w:val="20"/>
          <w:szCs w:val="20"/>
          <w:color w:val="auto"/>
        </w:rPr>
      </w:pPr>
    </w:p>
    <w:tbl>
      <w:tblPr>
        <w:tblLayout w:type="fixed"/>
        <w:tblInd w:w="530" w:type="dxa"/>
        <w:tblCellMar>
          <w:top w:w="0" w:type="dxa"/>
          <w:left w:w="0" w:type="dxa"/>
          <w:bottom w:w="0" w:type="dxa"/>
          <w:right w:w="0" w:type="dxa"/>
        </w:tblCellMar>
      </w:tblPr>
      <w:tr>
        <w:trPr>
          <w:trHeight w:val="268"/>
        </w:trPr>
        <w:tc>
          <w:tcPr>
            <w:tcW w:w="1360" w:type="dxa"/>
            <w:vAlign w:val="bottom"/>
            <w:tcBorders>
              <w:top w:val="single" w:sz="8" w:color="auto"/>
              <w:left w:val="single" w:sz="8" w:color="auto"/>
              <w:right w:val="single" w:sz="8" w:color="auto"/>
            </w:tcBorders>
            <w:shd w:val="clear" w:color="auto" w:fill="7F7F7F"/>
          </w:tcPr>
          <w:p>
            <w:pPr>
              <w:ind w:left="320"/>
              <w:spacing w:after="0"/>
              <w:rPr>
                <w:sz w:val="20"/>
                <w:szCs w:val="20"/>
                <w:color w:val="auto"/>
              </w:rPr>
            </w:pPr>
            <w:r>
              <w:rPr>
                <w:rFonts w:ascii="Arial" w:cs="Arial" w:eastAsia="Arial" w:hAnsi="Arial"/>
                <w:sz w:val="18"/>
                <w:szCs w:val="18"/>
                <w:b w:val="1"/>
                <w:bCs w:val="1"/>
                <w:color w:val="FFFFFF"/>
              </w:rPr>
              <w:t>Program</w:t>
            </w:r>
          </w:p>
        </w:tc>
        <w:tc>
          <w:tcPr>
            <w:tcW w:w="3100" w:type="dxa"/>
            <w:vAlign w:val="bottom"/>
            <w:tcBorders>
              <w:top w:val="single" w:sz="8" w:color="auto"/>
              <w:right w:val="single" w:sz="8" w:color="auto"/>
            </w:tcBorders>
            <w:shd w:val="clear" w:color="auto" w:fill="7F7F7F"/>
          </w:tcPr>
          <w:p>
            <w:pPr>
              <w:ind w:left="1120"/>
              <w:spacing w:after="0"/>
              <w:rPr>
                <w:sz w:val="20"/>
                <w:szCs w:val="20"/>
                <w:color w:val="auto"/>
              </w:rPr>
            </w:pPr>
            <w:r>
              <w:rPr>
                <w:rFonts w:ascii="Arial" w:cs="Arial" w:eastAsia="Arial" w:hAnsi="Arial"/>
                <w:sz w:val="18"/>
                <w:szCs w:val="18"/>
                <w:b w:val="1"/>
                <w:bCs w:val="1"/>
                <w:color w:val="FFFFFF"/>
              </w:rPr>
              <w:t>Indication</w:t>
            </w:r>
          </w:p>
        </w:tc>
        <w:tc>
          <w:tcPr>
            <w:tcW w:w="1480" w:type="dxa"/>
            <w:vAlign w:val="bottom"/>
            <w:tcBorders>
              <w:top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b w:val="1"/>
                <w:bCs w:val="1"/>
                <w:color w:val="FFFFFF"/>
                <w:w w:val="92"/>
              </w:rPr>
              <w:t>CAR Target(s)</w:t>
            </w:r>
          </w:p>
        </w:tc>
        <w:tc>
          <w:tcPr>
            <w:tcW w:w="1640" w:type="dxa"/>
            <w:vAlign w:val="bottom"/>
            <w:tcBorders>
              <w:top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b w:val="1"/>
                <w:bCs w:val="1"/>
                <w:color w:val="FFFFFF"/>
                <w:w w:val="88"/>
              </w:rPr>
              <w:t># of Synthetic</w:t>
            </w:r>
          </w:p>
        </w:tc>
        <w:tc>
          <w:tcPr>
            <w:tcW w:w="1480" w:type="dxa"/>
            <w:vAlign w:val="bottom"/>
            <w:tcBorders>
              <w:top w:val="single" w:sz="8" w:color="auto"/>
              <w:right w:val="single" w:sz="8" w:color="auto"/>
            </w:tcBorders>
            <w:shd w:val="clear" w:color="auto" w:fill="7F7F7F"/>
          </w:tcPr>
          <w:p>
            <w:pPr>
              <w:jc w:val="center"/>
              <w:ind w:right="10"/>
              <w:spacing w:after="0"/>
              <w:rPr>
                <w:sz w:val="20"/>
                <w:szCs w:val="20"/>
                <w:color w:val="auto"/>
              </w:rPr>
            </w:pPr>
            <w:r>
              <w:rPr>
                <w:rFonts w:ascii="Arial" w:cs="Arial" w:eastAsia="Arial" w:hAnsi="Arial"/>
                <w:sz w:val="18"/>
                <w:szCs w:val="18"/>
                <w:b w:val="1"/>
                <w:bCs w:val="1"/>
                <w:color w:val="FFFFFF"/>
                <w:w w:val="90"/>
              </w:rPr>
              <w:t>Development</w:t>
            </w:r>
          </w:p>
        </w:tc>
        <w:tc>
          <w:tcPr>
            <w:tcW w:w="1160" w:type="dxa"/>
            <w:vAlign w:val="bottom"/>
            <w:tcBorders>
              <w:top w:val="single" w:sz="8" w:color="auto"/>
              <w:right w:val="single" w:sz="8" w:color="auto"/>
            </w:tcBorders>
            <w:shd w:val="clear" w:color="auto" w:fill="7F7F7F"/>
          </w:tcPr>
          <w:p>
            <w:pPr>
              <w:jc w:val="center"/>
              <w:spacing w:after="0"/>
              <w:rPr>
                <w:sz w:val="20"/>
                <w:szCs w:val="20"/>
                <w:color w:val="auto"/>
              </w:rPr>
            </w:pPr>
            <w:r>
              <w:rPr>
                <w:rFonts w:ascii="Arial" w:cs="Arial" w:eastAsia="Arial" w:hAnsi="Arial"/>
                <w:sz w:val="18"/>
                <w:szCs w:val="18"/>
                <w:b w:val="1"/>
                <w:bCs w:val="1"/>
                <w:color w:val="FFFFFF"/>
                <w:w w:val="95"/>
              </w:rPr>
              <w:t>Partner</w:t>
            </w:r>
          </w:p>
        </w:tc>
      </w:tr>
      <w:tr>
        <w:trPr>
          <w:trHeight w:val="290"/>
        </w:trPr>
        <w:tc>
          <w:tcPr>
            <w:tcW w:w="1360" w:type="dxa"/>
            <w:vAlign w:val="bottom"/>
            <w:tcBorders>
              <w:left w:val="single" w:sz="8" w:color="auto"/>
              <w:bottom w:val="single" w:sz="8" w:color="7F7F7F"/>
              <w:right w:val="single" w:sz="8" w:color="auto"/>
            </w:tcBorders>
            <w:shd w:val="clear" w:color="auto" w:fill="7F7F7F"/>
          </w:tcPr>
          <w:p>
            <w:pPr>
              <w:spacing w:after="0"/>
              <w:rPr>
                <w:sz w:val="24"/>
                <w:szCs w:val="24"/>
                <w:color w:val="auto"/>
              </w:rPr>
            </w:pPr>
          </w:p>
        </w:tc>
        <w:tc>
          <w:tcPr>
            <w:tcW w:w="3100" w:type="dxa"/>
            <w:vAlign w:val="bottom"/>
            <w:tcBorders>
              <w:bottom w:val="single" w:sz="8" w:color="7F7F7F"/>
              <w:right w:val="single" w:sz="8" w:color="auto"/>
            </w:tcBorders>
            <w:shd w:val="clear" w:color="auto" w:fill="7F7F7F"/>
          </w:tcPr>
          <w:p>
            <w:pPr>
              <w:spacing w:after="0"/>
              <w:rPr>
                <w:sz w:val="24"/>
                <w:szCs w:val="24"/>
                <w:color w:val="auto"/>
              </w:rPr>
            </w:pPr>
          </w:p>
        </w:tc>
        <w:tc>
          <w:tcPr>
            <w:tcW w:w="1480" w:type="dxa"/>
            <w:vAlign w:val="bottom"/>
            <w:tcBorders>
              <w:bottom w:val="single" w:sz="8" w:color="7F7F7F"/>
              <w:right w:val="single" w:sz="8" w:color="auto"/>
            </w:tcBorders>
            <w:shd w:val="clear" w:color="auto" w:fill="7F7F7F"/>
          </w:tcPr>
          <w:p>
            <w:pPr>
              <w:spacing w:after="0"/>
              <w:rPr>
                <w:sz w:val="24"/>
                <w:szCs w:val="24"/>
                <w:color w:val="auto"/>
              </w:rPr>
            </w:pPr>
          </w:p>
        </w:tc>
        <w:tc>
          <w:tcPr>
            <w:tcW w:w="164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b w:val="1"/>
                <w:bCs w:val="1"/>
                <w:color w:val="FFFFFF"/>
                <w:w w:val="89"/>
              </w:rPr>
              <w:t>Controls</w:t>
            </w:r>
          </w:p>
        </w:tc>
        <w:tc>
          <w:tcPr>
            <w:tcW w:w="1480" w:type="dxa"/>
            <w:vAlign w:val="bottom"/>
            <w:tcBorders>
              <w:bottom w:val="single" w:sz="8" w:color="7F7F7F"/>
              <w:right w:val="single" w:sz="8" w:color="auto"/>
            </w:tcBorders>
            <w:shd w:val="clear" w:color="auto" w:fill="7F7F7F"/>
          </w:tcPr>
          <w:p>
            <w:pPr>
              <w:jc w:val="center"/>
              <w:spacing w:after="0"/>
              <w:rPr>
                <w:sz w:val="20"/>
                <w:szCs w:val="20"/>
                <w:color w:val="auto"/>
              </w:rPr>
            </w:pPr>
            <w:r>
              <w:rPr>
                <w:rFonts w:ascii="Arial" w:cs="Arial" w:eastAsia="Arial" w:hAnsi="Arial"/>
                <w:sz w:val="18"/>
                <w:szCs w:val="18"/>
                <w:b w:val="1"/>
                <w:bCs w:val="1"/>
                <w:color w:val="FFFFFF"/>
                <w:w w:val="85"/>
              </w:rPr>
              <w:t>Stage</w:t>
            </w:r>
          </w:p>
        </w:tc>
        <w:tc>
          <w:tcPr>
            <w:tcW w:w="1160" w:type="dxa"/>
            <w:vAlign w:val="bottom"/>
            <w:tcBorders>
              <w:bottom w:val="single" w:sz="8" w:color="7F7F7F"/>
              <w:right w:val="single" w:sz="8" w:color="auto"/>
            </w:tcBorders>
            <w:shd w:val="clear" w:color="auto" w:fill="7F7F7F"/>
          </w:tcPr>
          <w:p>
            <w:pPr>
              <w:spacing w:after="0"/>
              <w:rPr>
                <w:sz w:val="24"/>
                <w:szCs w:val="24"/>
                <w:color w:val="auto"/>
              </w:rPr>
            </w:pPr>
          </w:p>
        </w:tc>
      </w:tr>
      <w:tr>
        <w:trPr>
          <w:trHeight w:val="267"/>
        </w:trPr>
        <w:tc>
          <w:tcPr>
            <w:tcW w:w="446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8"/>
                <w:szCs w:val="18"/>
                <w:b w:val="1"/>
                <w:bCs w:val="1"/>
                <w:i w:val="1"/>
                <w:iCs w:val="1"/>
                <w:color w:val="auto"/>
              </w:rPr>
              <w:t>CAR NK Cell Programs</w:t>
            </w:r>
          </w:p>
        </w:tc>
        <w:tc>
          <w:tcPr>
            <w:tcW w:w="148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160" w:type="dxa"/>
            <w:vAlign w:val="bottom"/>
            <w:tcBorders>
              <w:top w:val="single" w:sz="8" w:color="auto"/>
              <w:right w:val="single" w:sz="8" w:color="auto"/>
            </w:tcBorders>
          </w:tcPr>
          <w:p>
            <w:pPr>
              <w:spacing w:after="0"/>
              <w:rPr>
                <w:sz w:val="23"/>
                <w:szCs w:val="23"/>
                <w:color w:val="auto"/>
              </w:rPr>
            </w:pPr>
          </w:p>
        </w:tc>
      </w:tr>
      <w:tr>
        <w:trPr>
          <w:trHeight w:val="54"/>
        </w:trPr>
        <w:tc>
          <w:tcPr>
            <w:tcW w:w="1360" w:type="dxa"/>
            <w:vAlign w:val="bottom"/>
            <w:tcBorders>
              <w:left w:val="single" w:sz="8" w:color="auto"/>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FT576</w:t>
            </w: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Multiple Myeloma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BCMA</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Phase 1</w:t>
            </w:r>
          </w:p>
        </w:tc>
        <w:tc>
          <w:tcPr>
            <w:tcW w:w="1160" w:type="dxa"/>
            <w:vAlign w:val="bottom"/>
            <w:tcBorders>
              <w:right w:val="single" w:sz="8" w:color="auto"/>
            </w:tcBorders>
          </w:tcPr>
          <w:p>
            <w:pPr>
              <w:spacing w:after="0"/>
              <w:rPr>
                <w:sz w:val="22"/>
                <w:szCs w:val="22"/>
                <w:color w:val="auto"/>
              </w:rPr>
            </w:pPr>
          </w:p>
        </w:tc>
      </w:tr>
      <w:tr>
        <w:trPr>
          <w:trHeight w:val="54"/>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FT522</w:t>
            </w: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B-cell Lymphoma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CD19; 41BB</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Preclinical</w:t>
            </w:r>
          </w:p>
        </w:tc>
        <w:tc>
          <w:tcPr>
            <w:tcW w:w="1160" w:type="dxa"/>
            <w:vAlign w:val="bottom"/>
            <w:tcBorders>
              <w:right w:val="single" w:sz="8" w:color="auto"/>
            </w:tcBorders>
          </w:tcPr>
          <w:p>
            <w:pPr>
              <w:spacing w:after="0"/>
              <w:rPr>
                <w:sz w:val="22"/>
                <w:szCs w:val="22"/>
                <w:color w:val="auto"/>
              </w:rPr>
            </w:pPr>
          </w:p>
        </w:tc>
      </w:tr>
      <w:tr>
        <w:trPr>
          <w:trHeight w:val="54"/>
        </w:trPr>
        <w:tc>
          <w:tcPr>
            <w:tcW w:w="1360" w:type="dxa"/>
            <w:vAlign w:val="bottom"/>
            <w:tcBorders>
              <w:left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1360" w:type="dxa"/>
            <w:vAlign w:val="bottom"/>
            <w:tcBorders>
              <w:left w:val="single" w:sz="8" w:color="auto"/>
              <w:right w:val="single" w:sz="8" w:color="auto"/>
            </w:tcBorders>
          </w:tcPr>
          <w:p>
            <w:pPr>
              <w:spacing w:after="0"/>
              <w:rPr>
                <w:sz w:val="22"/>
                <w:szCs w:val="22"/>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Autoimmune Disorders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CD19; 41BB</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Preclinical</w:t>
            </w:r>
          </w:p>
        </w:tc>
        <w:tc>
          <w:tcPr>
            <w:tcW w:w="1160" w:type="dxa"/>
            <w:vAlign w:val="bottom"/>
            <w:tcBorders>
              <w:right w:val="single" w:sz="8" w:color="auto"/>
            </w:tcBorders>
          </w:tcPr>
          <w:p>
            <w:pPr>
              <w:spacing w:after="0"/>
              <w:rPr>
                <w:sz w:val="22"/>
                <w:szCs w:val="22"/>
                <w:color w:val="auto"/>
              </w:rPr>
            </w:pPr>
          </w:p>
        </w:tc>
      </w:tr>
      <w:tr>
        <w:trPr>
          <w:trHeight w:val="54"/>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i w:val="1"/>
                <w:iCs w:val="1"/>
                <w:color w:val="auto"/>
              </w:rPr>
              <w:t>CAR T-cell Programs</w:t>
            </w:r>
          </w:p>
        </w:tc>
        <w:tc>
          <w:tcPr>
            <w:tcW w:w="14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r>
      <w:tr>
        <w:trPr>
          <w:trHeight w:val="54"/>
        </w:trPr>
        <w:tc>
          <w:tcPr>
            <w:tcW w:w="1360" w:type="dxa"/>
            <w:vAlign w:val="bottom"/>
            <w:tcBorders>
              <w:left w:val="single" w:sz="8" w:color="auto"/>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FT819</w:t>
            </w: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B-cell Lymphoma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CD19</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Phase 1</w:t>
            </w:r>
          </w:p>
        </w:tc>
        <w:tc>
          <w:tcPr>
            <w:tcW w:w="1160" w:type="dxa"/>
            <w:vAlign w:val="bottom"/>
            <w:tcBorders>
              <w:right w:val="single" w:sz="8" w:color="auto"/>
            </w:tcBorders>
          </w:tcPr>
          <w:p>
            <w:pPr>
              <w:spacing w:after="0"/>
              <w:rPr>
                <w:sz w:val="22"/>
                <w:szCs w:val="22"/>
                <w:color w:val="auto"/>
              </w:rPr>
            </w:pPr>
          </w:p>
        </w:tc>
      </w:tr>
      <w:tr>
        <w:trPr>
          <w:trHeight w:val="54"/>
        </w:trPr>
        <w:tc>
          <w:tcPr>
            <w:tcW w:w="1360" w:type="dxa"/>
            <w:vAlign w:val="bottom"/>
            <w:tcBorders>
              <w:left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1360" w:type="dxa"/>
            <w:vAlign w:val="bottom"/>
            <w:tcBorders>
              <w:left w:val="single" w:sz="8" w:color="auto"/>
              <w:right w:val="single" w:sz="8" w:color="auto"/>
            </w:tcBorders>
          </w:tcPr>
          <w:p>
            <w:pPr>
              <w:spacing w:after="0"/>
              <w:rPr>
                <w:sz w:val="22"/>
                <w:szCs w:val="22"/>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Chronic Lymphocytic Leukemia</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CD19</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Phase 1</w:t>
            </w:r>
          </w:p>
        </w:tc>
        <w:tc>
          <w:tcPr>
            <w:tcW w:w="1160" w:type="dxa"/>
            <w:vAlign w:val="bottom"/>
            <w:tcBorders>
              <w:right w:val="single" w:sz="8" w:color="auto"/>
            </w:tcBorders>
          </w:tcPr>
          <w:p>
            <w:pPr>
              <w:spacing w:after="0"/>
              <w:rPr>
                <w:sz w:val="22"/>
                <w:szCs w:val="22"/>
                <w:color w:val="auto"/>
              </w:rPr>
            </w:pPr>
          </w:p>
        </w:tc>
      </w:tr>
      <w:tr>
        <w:trPr>
          <w:trHeight w:val="54"/>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FT825</w:t>
            </w: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Solid Tumors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HER2</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Preclinical</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Ono</w:t>
            </w:r>
          </w:p>
        </w:tc>
      </w:tr>
      <w:tr>
        <w:trPr>
          <w:trHeight w:val="54"/>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44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i w:val="1"/>
                <w:iCs w:val="1"/>
                <w:color w:val="auto"/>
              </w:rPr>
              <w:t>Other CAR-targeted Programs</w:t>
            </w:r>
          </w:p>
        </w:tc>
        <w:tc>
          <w:tcPr>
            <w:tcW w:w="14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r>
      <w:tr>
        <w:trPr>
          <w:trHeight w:val="54"/>
        </w:trPr>
        <w:tc>
          <w:tcPr>
            <w:tcW w:w="1360" w:type="dxa"/>
            <w:vAlign w:val="bottom"/>
            <w:tcBorders>
              <w:left w:val="single" w:sz="8" w:color="auto"/>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r>
        <w:trPr>
          <w:trHeight w:val="264"/>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Undisclosed</w:t>
            </w: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Solid Tumors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Not disclosed</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Not disclosed</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Preclinical</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Ono</w:t>
            </w:r>
          </w:p>
        </w:tc>
      </w:tr>
      <w:tr>
        <w:trPr>
          <w:trHeight w:val="54"/>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use of human cells as therapeutic entities has disease-transforming potential, and compelling evidence of medical benefit for cell therapy exists across a broad spectrum of severe, life-threatening diseases. Clinical investigation of cellular immunotherapy has been rapidly expanding. One particular form of cell-based cancer immunotherapy, CAR T-cell therapy, has emerged as a revolutionary and potentially curative therapy for patients with certain hematologic malignancies, including refractory cancers. In fact, multiple CAR T-cell therapies have now been approved by the United States Food and Drug Administration (FDA) for the treatment of relapsed / refractory B-cell precursor acute lymphoblastic leukemia (ALL), relapsed / refractory diffuse large B-cell lymphoma, relapsed / refractory follicular lymphoma, relapsed / refractory mantle cell lymphoma, and relapsed / refractory multiple myeloma.</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Cell-based cancer immunotherapies undergoing clinical investigation today most often rely on the use of autologous, or a patient’s own, cells. The requirement to source, engineer, expand and deliver cells patient-by-patient is logistically complex, resource intensive and expensive, and can result in significant batch-to-batch variability in product identity, purity and potency as well as in manufacturing failures. Significant hurdles remain to ensure that cell-based cancer immunotherapies can be consistently manufactured and reliably delivered in a cost-effective manner and at the scale necessary to support broad patient access and widespread commercialization. Rather than rely on the use of a patient’s own cells, we seek to use clonal master iPSC lines to manufacture, develop and commercialize off-the-shelf cellular immunotherapies that are selectively designed, incorporate novel synthetic controls of cell function, and are intended to deliver multiple mechanisms of therapeutic importance to patients.</w:t>
      </w:r>
    </w:p>
    <w:p>
      <w:pPr>
        <w:spacing w:after="0" w:line="6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Human iPSCs possess the unique dual properties of unlimited self-renewal and differentiation potential into all cell types of the body. Our proprietary iPSC product platform combines multiplexed-engineering of human iPSCs with single-cell selection to create clonal master iPSC lines. Analogous to master cell lines used to manufacture biopharmaceutical drug products such as monoclonal antibodies, clonal master iPSC lines can be used for manufacture of multiplexed-engineered cell products that are well-defined and uniform in composition, can be mass produced at significant scale in a cost-effective manner, and can be stored in inventory and delivered off-the-shelf to maximize patient reach. As a result, we believe our platform is uniquely designed to overcome numerous limitations associated with the production of cell therapies using patient- or donor-sourced cells. Our iPSC product platform is supported by an intellectual property portfolio of over 400 issued patents and 450 pending patent applications.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goal is to maintain and build upon our leadership position in bringing off-the-shelf, multiplexed-engineered, iPSC-derived cellular immunotherapy to patients with cancer and autoimmune disorders. We believe achieving this goal has the potential to transform patient outcomes by improving cell product consistency and potency, shortening time to treatment, enabling combination with other complementary therapies, increasing scale of manufacture while reducing production costs, and reaching more patients including earlier in care. The key pillars of our strategy include:</w:t>
      </w:r>
    </w:p>
    <w:p>
      <w:pPr>
        <w:spacing w:after="0" w:line="45" w:lineRule="exact"/>
        <w:rPr>
          <w:sz w:val="20"/>
          <w:szCs w:val="20"/>
          <w:color w:val="auto"/>
        </w:rPr>
      </w:pPr>
    </w:p>
    <w:p>
      <w:pPr>
        <w:ind w:left="1020" w:right="40" w:hanging="503"/>
        <w:spacing w:after="0" w:line="292"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Capitalize on our leadership position in iPSC technology. </w:t>
      </w:r>
      <w:r>
        <w:rPr>
          <w:rFonts w:ascii="Arial" w:cs="Arial" w:eastAsia="Arial" w:hAnsi="Arial"/>
          <w:sz w:val="16"/>
          <w:szCs w:val="16"/>
          <w:color w:val="auto"/>
        </w:rPr>
        <w:t>Human iPSCs, with their unique capacity to be indefinitely expanded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differentiated in culture into any type of cell in the body, hold revolutionary potential for creating better cell therapies. The groundbreaking discovery that fully differentiated human cells can be induced to a pluripotent state through the expression of certain genes was recognized with the 2012 Nobel Prize in Science and Medicine. We believe iPSCs can be used to overcome key limitations inherent in many of the cell therapy product candidates undergoing development today, including the requirement to source, isolate, engineer and expand cells from an individual patient or healthy donor with each batch of production. These batch-to-batch manufacturing requirements are logistically complex and expensive, and can result in variable cell product identity, purity and potency as well as manufacturing failures.</w:t>
      </w:r>
    </w:p>
    <w:p>
      <w:pPr>
        <w:spacing w:after="0" w:line="57" w:lineRule="exact"/>
        <w:rPr>
          <w:rFonts w:ascii="Arial" w:cs="Arial" w:eastAsia="Arial" w:hAnsi="Arial"/>
          <w:sz w:val="16"/>
          <w:szCs w:val="16"/>
          <w:color w:val="auto"/>
        </w:rPr>
      </w:pPr>
    </w:p>
    <w:p>
      <w:pPr>
        <w:ind w:left="1020" w:right="100"/>
        <w:spacing w:after="0" w:line="296" w:lineRule="auto"/>
        <w:rPr>
          <w:rFonts w:ascii="Arial" w:cs="Arial" w:eastAsia="Arial" w:hAnsi="Arial"/>
          <w:sz w:val="16"/>
          <w:szCs w:val="16"/>
          <w:color w:val="auto"/>
        </w:rPr>
      </w:pPr>
      <w:r>
        <w:rPr>
          <w:rFonts w:ascii="Arial" w:cs="Arial" w:eastAsia="Arial" w:hAnsi="Arial"/>
          <w:sz w:val="16"/>
          <w:szCs w:val="16"/>
          <w:color w:val="auto"/>
        </w:rPr>
        <w:t>We are applying our expertise in iPSC biology to genetically engineer, isolate and select single-cell iPSCs for clonal expansion, characterization and cryopreservation as clonal master iPSC lines. Analogous to master cell lines used to manufacture biopharmaceutical drug products such as monoclonal antibodies, we believe clonal master iPSC lines can be used to mass produce multiplexed-engineered cellular immunotherapies which incorporate novel synthetic controls of cell function, are well-defined and uniform in composition, can be stored in inventory for off-the-shelf availability, can be combined and administered with other therapies, and can have broader patient reach.</w:t>
      </w:r>
    </w:p>
    <w:p>
      <w:pPr>
        <w:spacing w:after="0" w:line="53" w:lineRule="exact"/>
        <w:rPr>
          <w:rFonts w:ascii="Arial" w:cs="Arial" w:eastAsia="Arial" w:hAnsi="Arial"/>
          <w:sz w:val="16"/>
          <w:szCs w:val="16"/>
          <w:color w:val="auto"/>
        </w:rPr>
      </w:pPr>
    </w:p>
    <w:p>
      <w:pPr>
        <w:ind w:left="1020" w:right="40"/>
        <w:spacing w:after="0" w:line="254" w:lineRule="auto"/>
        <w:rPr>
          <w:rFonts w:ascii="Arial" w:cs="Arial" w:eastAsia="Arial" w:hAnsi="Arial"/>
          <w:sz w:val="16"/>
          <w:szCs w:val="16"/>
          <w:color w:val="auto"/>
        </w:rPr>
      </w:pPr>
      <w:r>
        <w:rPr>
          <w:rFonts w:ascii="Arial" w:cs="Arial" w:eastAsia="Arial" w:hAnsi="Arial"/>
          <w:sz w:val="18"/>
          <w:szCs w:val="18"/>
          <w:color w:val="auto"/>
        </w:rPr>
        <w:t>We have amassed significant internal expertise in the Good Manufacturing Practice (GMP) production of NK cells and T cells from clonal master iPSC lines. Our proprietary know-how includes: generating, engineering, isolating and characterizing single-cell iPSC clones; creating, qualifying, and cryopreserving clonal master iPSC lines; differentiating these clonal master cell iPSC lines to manufacture NK cells and T cells at large scale to enable off-the-shelf availability for the general patient population; and regulatory and quality expertise to enable clinical investigation of multiplexed-engineered, iPSC-derived NK cell and T-cell immunotherapy candidates. We have established our own fully-integrated infrastructure and operations to support GMP production for all phases of clinical development as well as initial commercialization.</w:t>
      </w:r>
    </w:p>
    <w:p>
      <w:pPr>
        <w:spacing w:after="0" w:line="82" w:lineRule="exact"/>
        <w:rPr>
          <w:rFonts w:ascii="Arial" w:cs="Arial" w:eastAsia="Arial" w:hAnsi="Arial"/>
          <w:sz w:val="16"/>
          <w:szCs w:val="16"/>
          <w:color w:val="auto"/>
        </w:rPr>
      </w:pPr>
    </w:p>
    <w:p>
      <w:pPr>
        <w:ind w:left="1020" w:hanging="503"/>
        <w:spacing w:after="0" w:line="27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Exploit off-the-shelf, iPSC-derived CAR NK cells in combination with monoclonal antibody therapy to mount a multi-antigen targeted attack. </w:t>
      </w:r>
      <w:r>
        <w:rPr>
          <w:rFonts w:ascii="Arial" w:cs="Arial" w:eastAsia="Arial" w:hAnsi="Arial"/>
          <w:sz w:val="17"/>
          <w:szCs w:val="17"/>
          <w:color w:val="auto"/>
        </w:rPr>
        <w:t>NK cells play a major role in the anti-tumor activity of certain tumor-targeting antibodies. NK cells express CD16, an</w:t>
      </w:r>
      <w:r>
        <w:rPr>
          <w:rFonts w:ascii="Arial" w:cs="Arial" w:eastAsia="Arial" w:hAnsi="Arial"/>
          <w:sz w:val="17"/>
          <w:szCs w:val="17"/>
          <w:b w:val="1"/>
          <w:bCs w:val="1"/>
          <w:color w:val="auto"/>
        </w:rPr>
        <w:t xml:space="preserve"> </w:t>
      </w:r>
      <w:r>
        <w:rPr>
          <w:rFonts w:ascii="Arial" w:cs="Arial" w:eastAsia="Arial" w:hAnsi="Arial"/>
          <w:sz w:val="17"/>
          <w:szCs w:val="17"/>
          <w:color w:val="auto"/>
        </w:rPr>
        <w:t>activating receptor that binds to the Fc domain of IgG antibodies. Once activated through CD16, NK cells are able to destroy antibody-coated tumor cells and secrete cytokines, such as interferon gamma, to potentiate an adaptive immune response. This mechanism of action, referred to as antibody-dependent cellular cytotoxicity (ADCC), is believed to be important for the treatment of a wide range of cancers. CD16 consists of two genomic variants, 158V and 158F, that confer high or low binding affinity, respectively, to the Fc domain of IgG antibodies. Numerous clinical trials with FDA-approved tumor-targeting antibodies, including rituximab (FDA-approved for certain cancers of the blood and lymphatic system), trastuzumab (FDA-approved for certain breast and gastric cancers) and cetuximab (FDA-approved for certain head and neck, non-small cell lung and colorectal cancers), have demonstrated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40"/>
        <w:spacing w:after="0" w:line="263" w:lineRule="auto"/>
        <w:rPr>
          <w:sz w:val="20"/>
          <w:szCs w:val="20"/>
          <w:color w:val="auto"/>
        </w:rPr>
      </w:pPr>
      <w:r>
        <w:rPr>
          <w:rFonts w:ascii="Arial" w:cs="Arial" w:eastAsia="Arial" w:hAnsi="Arial"/>
          <w:sz w:val="18"/>
          <w:szCs w:val="18"/>
          <w:color w:val="auto"/>
        </w:rPr>
        <w:t>that patients homozygous for the 158V variant, which is present in only about 15% of patients, have improved clinical outcomes. In addition, the expression of CD16 on NK cells has been shown to undergo considerable down-regulation in cancer patients, which can significantly limit anti-tumor activity.</w:t>
      </w:r>
    </w:p>
    <w:p>
      <w:pPr>
        <w:spacing w:after="0" w:line="76" w:lineRule="exact"/>
        <w:rPr>
          <w:sz w:val="20"/>
          <w:szCs w:val="20"/>
          <w:color w:val="auto"/>
        </w:rPr>
      </w:pPr>
    </w:p>
    <w:p>
      <w:pPr>
        <w:ind w:left="1020" w:right="20"/>
        <w:spacing w:after="0" w:line="287" w:lineRule="auto"/>
        <w:rPr>
          <w:sz w:val="20"/>
          <w:szCs w:val="20"/>
          <w:color w:val="auto"/>
        </w:rPr>
      </w:pPr>
      <w:r>
        <w:rPr>
          <w:rFonts w:ascii="Arial" w:cs="Arial" w:eastAsia="Arial" w:hAnsi="Arial"/>
          <w:sz w:val="16"/>
          <w:szCs w:val="16"/>
          <w:color w:val="auto"/>
        </w:rPr>
        <w:t>Our off-the-shelf, multiplexed-engineered, iPSC-derived CAR NK cell product candidates incorporate a proprietary CD16 Fc receptor, which has two unique features designed to augment ADCC: a high-affinity homozygous 158V variant to promote high binding affinity and a modification to block its cleavage and down-regulation upon NK cell activation. As a result, we believe our iPSC-derived CAR NK cell product candidates may be combined with monoclonal antibody (mAb) therapy to target more than one antigen expressed on tumor cells, which may lead to deeper and more durable responses. For example, the CD38-targeted mAb therapy daratumumab is approved for the treatment of multiple myeloma and has been shown to induce cell death through multiple mechanisms, including ADCC. However, because CD38 is also expressed on the body’s activated NK cells, daratumumab treatment can induce NK cell fratricide, which may impair the effectiveness of ADCC. In addition, NK cell function is often suppressed or absent in patients with multiple myeloma as a result of the cancer itself as well as treatment therapy, further reducing the effectiveness of daratumumab. FT576, our iPSC-derived, BCMA-targeted CAR NK cell product candidate for the treatment of multiple myeloma, incorporates four novel synthetic controls of cell function and is specifically designed to be administered in combination with CD38-targeted mAb therapy, and our clinical development strategy for FT576 involves assessing the unique therapeutic benefit of dual-antigen targeting of BCMA and CD38 expressed on plasma cells.</w:t>
      </w:r>
    </w:p>
    <w:p>
      <w:pPr>
        <w:spacing w:after="0" w:line="56" w:lineRule="exact"/>
        <w:rPr>
          <w:sz w:val="20"/>
          <w:szCs w:val="20"/>
          <w:color w:val="auto"/>
        </w:rPr>
      </w:pPr>
    </w:p>
    <w:p>
      <w:pPr>
        <w:ind w:left="1020" w:right="20" w:hanging="503"/>
        <w:spacing w:after="0" w:line="26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Bring off-the-shelf, iPSC-derived CAR T cells to patients with hematologic malignancies and solid tumors. </w:t>
      </w:r>
      <w:r>
        <w:rPr>
          <w:rFonts w:ascii="Arial" w:cs="Arial" w:eastAsia="Arial" w:hAnsi="Arial"/>
          <w:sz w:val="17"/>
          <w:szCs w:val="17"/>
          <w:color w:val="auto"/>
        </w:rPr>
        <w:t>Autologous CAR T-cell</w:t>
      </w:r>
      <w:r>
        <w:rPr>
          <w:rFonts w:ascii="Arial" w:cs="Arial" w:eastAsia="Arial" w:hAnsi="Arial"/>
          <w:sz w:val="17"/>
          <w:szCs w:val="17"/>
          <w:b w:val="1"/>
          <w:bCs w:val="1"/>
          <w:color w:val="auto"/>
        </w:rPr>
        <w:t xml:space="preserve"> </w:t>
      </w:r>
      <w:r>
        <w:rPr>
          <w:rFonts w:ascii="Arial" w:cs="Arial" w:eastAsia="Arial" w:hAnsi="Arial"/>
          <w:sz w:val="17"/>
          <w:szCs w:val="17"/>
          <w:color w:val="auto"/>
        </w:rPr>
        <w:t>therapies targeting CD19 for the treatment of B-cell lymphoma and targeting BCMA for the treatment of multiple myeloma have emerged as highly effective treatments for patients with relapsed / refractory disease. Despite their potent activity, widespread adoption of CAR T-cell therapy has been relatively modest to date due to complex logistics, high cost, manufacturing capacity constraints, and toxicities that necessitate administration only in large hospitals and treatment centers with intensive care units, as compared to more accessible community hospitals and outpatient infusion centers. According to a survey of academic centers in the U.S. that specialize in administering CD19-targeted CAR T-cell therapy, only about half of eligible patients receive the treatment, with only 12% of patients able to receive treatment within one month. We believe these limitations provide the opportunity for development of an off-the-shelf CAR T-cell therapy that can be delivered faster, more reliably, at greater scale, and at lower cost with the ability to reach more patients. To that end, we are clinically investigating FT819 which, to our knowledge, is the first-ever off-the-shelf, iPSC-derived CAR T-cell therapy candidate to undergo clinical investigation, in a multi-center Phase 1 study for the treatment of adult patients with relapsed / refractory B-cell malignancies, including B-cell lymphoma and chronic lymphocytic leukemia. FT819 incorporates two novel synthetic controls of cell function: a novel 1XX CAR construct inserted directly into the T-cell receptor alpha constant (TRAC) locus that targets CD19; and the complete disruption of T-cell receptor (TCR) expression for the prevention of graft-versus-host disease (GvHD), a potentially life-threatening complication associated with allogeneic T-cell therapy.</w:t>
      </w:r>
    </w:p>
    <w:p>
      <w:pPr>
        <w:spacing w:after="0" w:line="77" w:lineRule="exact"/>
        <w:rPr>
          <w:rFonts w:ascii="Arial" w:cs="Arial" w:eastAsia="Arial" w:hAnsi="Arial"/>
          <w:sz w:val="17"/>
          <w:szCs w:val="17"/>
          <w:color w:val="auto"/>
        </w:rPr>
      </w:pPr>
    </w:p>
    <w:p>
      <w:pPr>
        <w:ind w:left="1020"/>
        <w:spacing w:after="0" w:line="253" w:lineRule="auto"/>
        <w:rPr>
          <w:rFonts w:ascii="Arial" w:cs="Arial" w:eastAsia="Arial" w:hAnsi="Arial"/>
          <w:sz w:val="17"/>
          <w:szCs w:val="17"/>
          <w:color w:val="auto"/>
        </w:rPr>
      </w:pPr>
      <w:r>
        <w:rPr>
          <w:rFonts w:ascii="Arial" w:cs="Arial" w:eastAsia="Arial" w:hAnsi="Arial"/>
          <w:sz w:val="18"/>
          <w:szCs w:val="18"/>
          <w:color w:val="auto"/>
        </w:rPr>
        <w:t>We are also conducting preclinical development of multiplexed-engineered, iPSC-derived, CAR T-cell therapy candidates for the treatment of solid tumors, where the application of autologous CAR T-cell therapy has been significantly hampered by tumor-associated antigen heterogeneity, inefficient CAR T-cell trafficking to the tumor, and immunosuppression inherent to the tumor microenvironment. Our first multiplexed-engineered, iPSC-derived, CAR T-cell product candidate, FT825, is designed to target human epidermal growth factor receptor 2 (HER2)-expressing solid tumors. FT825 incorporates seven novel synthetic controls of cell function, including a synthetic CXCR2 receptor to promote cell trafficking and a synthetic TGFβ receptor to redirect immunosuppressive signals in the tumor microenvironment. Under our collaboration with Ono Pharmaceutical Co. Ltd. (Ono), we are currently conducting Investigational New Drug (IND)-enabling activities for FT825, and plan to submit an IND application to the FDA in 2023 to enable the initiation of first-in-human clinical investigation for the treatment of certain solid tumors.</w:t>
      </w:r>
    </w:p>
    <w:p>
      <w:pPr>
        <w:spacing w:after="0" w:line="84" w:lineRule="exact"/>
        <w:rPr>
          <w:rFonts w:ascii="Arial" w:cs="Arial" w:eastAsia="Arial" w:hAnsi="Arial"/>
          <w:sz w:val="17"/>
          <w:szCs w:val="17"/>
          <w:color w:val="auto"/>
        </w:rPr>
      </w:pPr>
    </w:p>
    <w:p>
      <w:pPr>
        <w:ind w:left="1020" w:right="40" w:hanging="503"/>
        <w:spacing w:after="0" w:line="28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Continue to incorporate novel synthetic controls into our iPSC-derived cellular immunotherapy candidates to expand patient reach and disease application. </w:t>
      </w:r>
      <w:r>
        <w:rPr>
          <w:rFonts w:ascii="Arial" w:cs="Arial" w:eastAsia="Arial" w:hAnsi="Arial"/>
          <w:sz w:val="16"/>
          <w:szCs w:val="16"/>
          <w:color w:val="auto"/>
        </w:rPr>
        <w:t>We believe off-the-shelf, iPSC-derived cellular immunotherapy has the unique potential to incorporate a multitude</w:t>
      </w:r>
      <w:r>
        <w:rPr>
          <w:rFonts w:ascii="Arial" w:cs="Arial" w:eastAsia="Arial" w:hAnsi="Arial"/>
          <w:sz w:val="16"/>
          <w:szCs w:val="16"/>
          <w:b w:val="1"/>
          <w:bCs w:val="1"/>
          <w:color w:val="auto"/>
        </w:rPr>
        <w:t xml:space="preserve"> </w:t>
      </w:r>
      <w:r>
        <w:rPr>
          <w:rFonts w:ascii="Arial" w:cs="Arial" w:eastAsia="Arial" w:hAnsi="Arial"/>
          <w:sz w:val="16"/>
          <w:szCs w:val="16"/>
          <w:color w:val="auto"/>
        </w:rPr>
        <w:t>of novel synthetic controls that could deliver multiple mechanisms of therapeutic importance to patients, enable safe and effective combination with early line, standard-of-care treatment regimens, and allow for administration in the community setting on an outpatient basis. One of the most significant barriers that limit patient reach and disease application is the requirement for patients receiving CAR T-cell therapy, whether autologous or allogeneic, to endure intense systemic lympho-conditioning, which is often results in severe blood cell deficiencies and related toxicities and can prevent effective combination with early line, standard-of-care treatment regimens. We are exploring the integration of novel synthetic controls which may enable our off-the-shelf, iPSC-derived cellular immunotherapy candidates to be administered without intense chemotherapy conditioning and as part of standard-of-care immunomodulatory regimens.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11" w:lineRule="exact"/>
        <w:rPr>
          <w:sz w:val="20"/>
          <w:szCs w:val="20"/>
          <w:color w:val="auto"/>
        </w:rPr>
      </w:pPr>
    </w:p>
    <w:p>
      <w:pPr>
        <w:ind w:left="1020" w:right="60"/>
        <w:spacing w:after="0" w:line="254" w:lineRule="auto"/>
        <w:rPr>
          <w:sz w:val="20"/>
          <w:szCs w:val="20"/>
          <w:color w:val="auto"/>
        </w:rPr>
      </w:pPr>
      <w:r>
        <w:rPr>
          <w:rFonts w:ascii="Arial" w:cs="Arial" w:eastAsia="Arial" w:hAnsi="Arial"/>
          <w:sz w:val="18"/>
          <w:szCs w:val="18"/>
          <w:color w:val="auto"/>
        </w:rPr>
        <w:t xml:space="preserve">For example, we have incorporated allo-immune defense receptor (ADR) technology licensed from the Baylor College of Medicine into FT522, our iPSC-derived, CD19-targeted CAR NK cell product candidate. This technology is designed to (a) selectively recognize and destroy allo-reactive host immune cells that would otherwise be capable of rejecting the product candidate, (b) maintain other components of the host immune system to preserve hematopoietic function, and (c) activate the product candidate to enhance its potency and persistence. Published preclinical studies have shown that ADR-armed allogeneic cells are protected from both T- and NK-cell mediated rejection (Mo et al. </w:t>
      </w:r>
      <w:r>
        <w:rPr>
          <w:rFonts w:ascii="Arial" w:cs="Arial" w:eastAsia="Arial" w:hAnsi="Arial"/>
          <w:sz w:val="18"/>
          <w:szCs w:val="18"/>
          <w:i w:val="1"/>
          <w:iCs w:val="1"/>
          <w:color w:val="auto"/>
        </w:rPr>
        <w:t>Nature Biotechnology</w:t>
      </w:r>
      <w:r>
        <w:rPr>
          <w:rFonts w:ascii="Arial" w:cs="Arial" w:eastAsia="Arial" w:hAnsi="Arial"/>
          <w:sz w:val="18"/>
          <w:szCs w:val="18"/>
          <w:color w:val="auto"/>
        </w:rPr>
        <w:t>, 39, 56–63 (2021), providing proof-of-concept that ADR-armed allogeneic cells can persist and function in immunocompetent patients.</w:t>
      </w:r>
    </w:p>
    <w:p>
      <w:pPr>
        <w:spacing w:after="0" w:line="87" w:lineRule="exact"/>
        <w:rPr>
          <w:sz w:val="20"/>
          <w:szCs w:val="20"/>
          <w:color w:val="auto"/>
        </w:rPr>
      </w:pPr>
    </w:p>
    <w:p>
      <w:pPr>
        <w:ind w:left="1020" w:right="80"/>
        <w:spacing w:after="0" w:line="272" w:lineRule="auto"/>
        <w:rPr>
          <w:sz w:val="20"/>
          <w:szCs w:val="20"/>
          <w:color w:val="auto"/>
        </w:rPr>
      </w:pPr>
      <w:r>
        <w:rPr>
          <w:rFonts w:ascii="Arial" w:cs="Arial" w:eastAsia="Arial" w:hAnsi="Arial"/>
          <w:sz w:val="17"/>
          <w:szCs w:val="17"/>
          <w:color w:val="auto"/>
        </w:rPr>
        <w:t>We are currently conducting IND-enabling activities for FT522, and plan to submit an IND application to the FDA in 2023 to enable the initiation of first-in-human clinical investigation for the treatment of relapsed / refractory B-cell lymphoma in combination with CD20-targeted mAb therapy. In addition to our plans for the clinical investigation of FT522 in relapsed / refractory B-cell lymphoma, we are preclinically assessing the potential to expand our FT522 program beyond oncology into autoimmunity. We believe the novel synthetic controls of FT522, in combination with CD38-targeted mAb therapy, may be uniquely suited to address a broad range of autoimmune diseases and disorders by resetting both of these autoantibody-producing lineages through the dual-targeting of CD19-expressing B cells and CD38-expressing plasma cells, leading to more complete removal of autoantibodies and improved clinical outcomes.</w:t>
      </w:r>
    </w:p>
    <w:p>
      <w:pPr>
        <w:spacing w:after="0" w:line="65" w:lineRule="exact"/>
        <w:rPr>
          <w:sz w:val="20"/>
          <w:szCs w:val="20"/>
          <w:color w:val="auto"/>
        </w:rPr>
      </w:pPr>
    </w:p>
    <w:p>
      <w:pPr>
        <w:ind w:left="1020" w:hanging="503"/>
        <w:spacing w:after="0" w:line="218" w:lineRule="exact"/>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Efficiently develop and commercialize first-in-class, iPSC-derived cellular immunotherapies for severe, life-threatening diseases.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are clinically developing first-in-class, iPSC-derived cellular immunotherapies to improve the lives of patients with severe, life-threatening diseases. We seek to prioritize indications for development where the unmet need is significant and where regulatory agencies offer expedited development and review programs. For example, for patients who have relapsed or are refractory to autologous CD19</w:t>
      </w:r>
      <w:r>
        <w:rPr>
          <w:rFonts w:ascii="MS PGothic" w:cs="MS PGothic" w:eastAsia="MS PGothic" w:hAnsi="MS PGothic"/>
          <w:sz w:val="17"/>
          <w:szCs w:val="17"/>
          <w:color w:val="auto"/>
        </w:rPr>
        <w:t>‑</w:t>
      </w:r>
      <w:r>
        <w:rPr>
          <w:rFonts w:ascii="Arial" w:cs="Arial" w:eastAsia="Arial" w:hAnsi="Arial"/>
          <w:sz w:val="17"/>
          <w:szCs w:val="17"/>
          <w:color w:val="auto"/>
        </w:rPr>
        <w:t>targeted CAR T-cell therapy, the prognosis is dismal and survival is measured in weeks to months. No standard therapies are available for these post-CAR T-cell therapy patients, and recent retrospective analyses of real-world data presented at the 2021 American Society of Hematology Annual Meeting showed extremely poor treatment outcomes with complete response rates of administered therapies ranging from 5% to 25% and overall survival ranging from 5.2 months to 7.5 months. We believe a single-arm study in a relatively small number of patients may serve as a potential registrational pathway for the treatment of these patients.</w:t>
      </w:r>
    </w:p>
    <w:p>
      <w:pPr>
        <w:spacing w:after="0" w:line="94" w:lineRule="exact"/>
        <w:rPr>
          <w:rFonts w:ascii="Arial" w:cs="Arial" w:eastAsia="Arial" w:hAnsi="Arial"/>
          <w:sz w:val="17"/>
          <w:szCs w:val="17"/>
          <w:color w:val="auto"/>
        </w:rPr>
      </w:pPr>
    </w:p>
    <w:p>
      <w:pPr>
        <w:ind w:left="1020" w:hanging="503"/>
        <w:spacing w:after="0" w:line="28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Selectively share our proprietary iPSC product platform with strategic partners. </w:t>
      </w:r>
      <w:r>
        <w:rPr>
          <w:rFonts w:ascii="Arial" w:cs="Arial" w:eastAsia="Arial" w:hAnsi="Arial"/>
          <w:sz w:val="16"/>
          <w:szCs w:val="16"/>
          <w:color w:val="auto"/>
        </w:rPr>
        <w:t>The research, development and clinical investigation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cell therapies for the treatment of human diseases is rapidly expanding. We believe we are well positioned to form partnerships with third parties seeking to develop iPSC-derived cellular immunotherapies for the treatment of human diseases, including cancer. For example, we are collaborating with Ono to develop and commercialize off-the-shelf, multiplexed-engineered, iPSC-derived CAR NK and CAR T-cells for the treatment of certain solid tumors. In addition, since iPSCs have the unique capacity to be genetically engineered, indefinitely expanded and differentiated in culture into any type of cell in the body, we believe there is significant opportunity to broadly exploit our iPSC product platform and intellectual property position in other disease areas beyond cancer. In 2022, we formed Senescea Therapeutics, Inc., a majority-owned subsidiary of the Company, with Memorial Sloan Kettering Cancer Center to research and develop iPSC-derived cell therapies for the treatment of diseases associated with cell senescence. We will continue to seek partnerships with companies and institutions for the research, development and commercialization of iPSC-derived cell therapies for the treatment of human diseases.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Off-the-shelf, Multiplexed-engineered, iPSC-derived Cellular Immunotherapy Pipeline</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NK cells have an innate ability to rapidly seek and destroy abnormal cells, such as cancer or virally-infected cells, and represent one of the body’s first lines of immunological defense. NK cells have the unique ability to selectively identify and destroy abnormal cells through multiple mechanisms while leaving normal healthy cells unharmed. These cytotoxic mechanisms include: direct innate killing by binding to stress ligands expressed by abnormal cells and releasing toxic granules; indirect killing by producing and releasing proinflammatory and chemotactic cytokines that play a pivotal role in orchestrating the adaptive immune response; and antibody-mediated targeted killing by binding to and enhancing the activity of endogenous and therapeutic antibodies through ADCC.</w:t>
      </w:r>
    </w:p>
    <w:p>
      <w:pPr>
        <w:spacing w:after="0" w:line="84"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 cells, or T-lymphocytes, play a critical role in adaptive immunity and are distinguished from other cells of the immune system by the presence of a T-cell receptor (TCR) on their surface. TCRs are generated by DNA rearrangement and positively selected for their capacity to engage host major histocompatibility complex (MHC) molecules. The majority of T cells, termed alpha beta T cells (αβ T cells), rearrange their alpha and beta chains on the TCR, which confers specificity and enables T cells to recognize non-self molecules, known as non-self antigens, expressed on the surface of target cells. Antigens inside a target cell are bound to, and are routinely brought to the surface of a cell, by MHC class I molecules. Upon antigen recognition, T cells bind to the MHC-antigen complex, become activated and destroy the targeted cell. Unlike NK cells, T cells are limited by antigen-specific binding of their TCR in order to induce cellular cytotoxicity.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are developing a first-in-class cell therapy pipeline comprised of off-the-shelf, multiplexed-engineered, iPSC-derived CAR NK cell and CAR T-cell product candidates that are selectively designed, incorporate novel synthetic controls of cell function, and can deliver multiple mechanisms of therapeutic importance to patients for the treatment of cancer and autoimmune disease. We have a deep pipeline of product candidates currently under development with multiple clinical trials ongoing, including in combination with mAb therapy to promote multi-antigen recognition, binding, and killing of target cells.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FT576: CAR NK Cell Program for Multiple Myeloma</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Multiple myeloma is a deadly form of blood cancer that is characterized by uncontrolled growth of plasma cells, a type of immune cell that is found mainly in the bone marrow and is responsible for making and secreting antibodies to fight infection. While the underlying cause of multiple myeloma is unknown, abnormal plasma cells can accumulate in the bone marrow, inhibiting the body’s normal production of red blood cells, platelets, and other white blood cells, and can form tumors in the bone that spread throughout the body.</w:t>
      </w:r>
    </w:p>
    <w:p>
      <w:pPr>
        <w:spacing w:after="0" w:line="7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There are approximately 100,000 patients suffering from multiple myeloma in the United States, with 35,000 new cases and nearly 13,000 deaths from the disease annually according to the American Cancer Society. Multiple myeloma occurs more commonly in men than in women, and predominantly affects the elderly with an average age of onset of approximately 66 years. For patients less than 70 years old with no comorbidities, autologous stem cell therapy is the preferred treatment option. For transplant ineligible patients, the current treatment paradigm for multiple myeloma begins with chemotherapy, proteasome inhibitors and immunomodulatory drugs. Several drugs that directly target plasma cells, including CD38-targeted mAb therapy, have also been approved for multiple myeloma and have been incorporated into the current treatment paradigm. In addition, autologous CAR T-cell therapies have shown significant promise in multiple myeloma, and the first autologous CAR T-cell therapy targeting B-cell maturation antigen (BCMA) expressed on plasma cells was approved by the FDA in 2021. The great majority of patients become refractory to these drugs and/or relapse, creating a high unmet need for treatments for relapsed / refractory patients. Multiple myeloma is rarely cured, with the majority of patients dying from the disease.</w:t>
      </w:r>
    </w:p>
    <w:p>
      <w:pPr>
        <w:spacing w:after="0" w:line="5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 xml:space="preserve">In August 2019, we entered into a license agreement with the Max Delbrück Center for Molecular Medicine (MDC) under which we were granted certain exclusive rights to intellectual property covering novel humanized CAR constructs that uniquely and specifically bind BCMA. In data published by MDC scientists, anti-BCMA CAR T cells equipped with its unique humanized extracellular antigen-binding domains show higher affinity and greater specificity than other anti-BCMA antigen-binding domains. These differentiated properties conveyed both greater selectivity in recognizing target B cells and more robust killing of target B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including malignant B cells with low expression levels of BCMA. Additionally,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MDC scientists demonstrated that anti-BCMA CAR T cells mediated anti-tumor activity in xenotransplant mouse models of multiple myeloma and of mature B-cell non-Hodgkin lymphoma, where BCMA surface expression is up to 4-fold lower as compared to mouse models of multiple myeloma.</w:t>
      </w:r>
    </w:p>
    <w:p>
      <w:pPr>
        <w:spacing w:after="0" w:line="84"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 xml:space="preserve">We are clinically developing FT576, an investigational off-the-shelf, multiplexed-engineered, iPSC-derived CAR NK cell cancer immunotherapy derived from a clonal master iPSC line. FT576 incorporates four novel synthetic controls of cell function: a proprietary CAR that targets BCMA; a novel high-affinity 158V, non-cleavable CD16 (hnCD16) Fc receptor that has been modified to prevent its down-regulation and to enhance ADCC; an IL-15/IL-15 receptor fusion (IL-15RF), a potent cytokine complex that is intended to augment NK cell activity; and the complete elimination of CD38 expression to promote persistence and function in high oxidative stress environments. In combination with CD38-targeted mAb therapy, these features of FT576 are designed to enable dual-antigen targeting of BCMA and CD38 antigens expressed on plasma cells, extend functional persistence, and mitigate the risk of rejection. In preclinical studies, FT576 demonstrated that the high-avidity binding of the BCMA-targeted CAR construct enabled sustained tumor control against various multiple myeloma cell lines, including in long-term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xenograft mouse models. Additionally, preclinical data published in November 2022 demonstrated that single-dose administration of FT576 controlled tumor growth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with deeper and more sustained anti-tumor activity observed through multi-dose administration of FT576 as well as in combination with CD38-targeted mAb therapy (Cichocki et al. </w:t>
      </w:r>
      <w:r>
        <w:rPr>
          <w:rFonts w:ascii="Arial" w:cs="Arial" w:eastAsia="Arial" w:hAnsi="Arial"/>
          <w:sz w:val="17"/>
          <w:szCs w:val="17"/>
          <w:i w:val="1"/>
          <w:iCs w:val="1"/>
          <w:color w:val="auto"/>
        </w:rPr>
        <w:t>Nature Communications</w:t>
      </w:r>
      <w:r>
        <w:rPr>
          <w:rFonts w:ascii="Arial" w:cs="Arial" w:eastAsia="Arial" w:hAnsi="Arial"/>
          <w:sz w:val="17"/>
          <w:szCs w:val="17"/>
          <w:color w:val="auto"/>
        </w:rPr>
        <w:t>. 13, 7341, 2022).</w:t>
      </w:r>
    </w:p>
    <w:p>
      <w:pPr>
        <w:spacing w:after="0" w:line="7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are currently studying FT576 in an ongoing, multi-center Phase 1 clinical trial designed to assess its safety and clinical activity in adult patients with relapsed / refractory multiple myeloma, and to determine the recommended Phase 2 dose and schedule, as monotherapy (Regimen A) and in combination with CD38-targeted mAb therapy to simultaneously target BCMA and CD38 antigens (Regimen B). At the 2022 American Society of Hematology (ASH) Annual Meeting, we presented interim clinical data as of an October 7, 2022 data cutoff date for nine patients treated with a single dose of FT576, including six patients in Regimen A and three patients in Regimen B. Patients had received standard conditioning chemotherapy consisting of cyclophosphamide (Cy) at 300 mg/m2 and fludarabine (Flu) at 30 mg/m2 for three days prior to the initiation of each regimen. Patients were heavily pre-treated having had received a median of five prior lines of therapy (range 3-10), including six patients (67%) that were refractory to last therapy.</w:t>
      </w:r>
    </w:p>
    <w:p>
      <w:pPr>
        <w:spacing w:after="0" w:line="58" w:lineRule="exact"/>
        <w:rPr>
          <w:sz w:val="20"/>
          <w:szCs w:val="20"/>
          <w:color w:val="auto"/>
        </w:rPr>
      </w:pPr>
    </w:p>
    <w:p>
      <w:pPr>
        <w:ind w:left="1020" w:right="4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Safety Data</w:t>
      </w:r>
      <w:r>
        <w:rPr>
          <w:rFonts w:ascii="Arial" w:cs="Arial" w:eastAsia="Arial" w:hAnsi="Arial"/>
          <w:sz w:val="18"/>
          <w:szCs w:val="18"/>
          <w:color w:val="auto"/>
        </w:rPr>
        <w:t>. No dose-limiting toxicities (DLTs), and no events of any grade of cytokine release syndrome (CRS), immune effector cell-associated neurotoxicity syndrome (ICANS), or GvHD, were observed. Both regimens were well tolerated.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left="1020" w:right="200"/>
        <w:spacing w:after="0" w:line="311" w:lineRule="auto"/>
        <w:rPr>
          <w:sz w:val="20"/>
          <w:szCs w:val="20"/>
          <w:color w:val="auto"/>
        </w:rPr>
      </w:pPr>
      <w:r>
        <w:rPr>
          <w:rFonts w:ascii="Arial" w:cs="Arial" w:eastAsia="Arial" w:hAnsi="Arial"/>
          <w:sz w:val="16"/>
          <w:szCs w:val="16"/>
          <w:color w:val="auto"/>
        </w:rPr>
        <w:t>Two patients (22%) experienced Grade 3 or greater FT576-related adverse events (AEs), with one patient having Grade 3 diarrhea and one patient having two episodes of Grades 3 through 4 neutropenia and three episodes of Grade 3 anemia, all of which resolved. There were no serious AEs related to FT576. There were no study discontinuations or deaths due to treatment-emergent AEs (TEAEs).</w:t>
      </w:r>
    </w:p>
    <w:p>
      <w:pPr>
        <w:spacing w:after="0" w:line="41" w:lineRule="exact"/>
        <w:rPr>
          <w:sz w:val="20"/>
          <w:szCs w:val="20"/>
          <w:color w:val="auto"/>
        </w:rPr>
      </w:pPr>
    </w:p>
    <w:p>
      <w:pPr>
        <w:ind w:left="1020" w:right="20" w:hanging="503"/>
        <w:spacing w:after="0" w:line="273"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Regimen A Activity</w:t>
      </w:r>
      <w:r>
        <w:rPr>
          <w:rFonts w:ascii="Arial" w:cs="Arial" w:eastAsia="Arial" w:hAnsi="Arial"/>
          <w:sz w:val="17"/>
          <w:szCs w:val="17"/>
          <w:color w:val="auto"/>
        </w:rPr>
        <w:t>. Six patients were treated with a single dose of FT576 as monotherapy in the first dose cohort at 100 million cells (n=3)</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second dose cohort at 300 million cells (n=3). In the second dose cohort, one patient, who had received five prior lines of therapy, was triple-refractory to an immunomodulatory drug, a proteasome inhibitor, and anti-CD38 mAb therapy, and was refractory to last therapy (pomalidomide, daratumumab and dexamethasone), achieved a very good partial response with the other two patients showing stable disease. Further evidence of FT576 activity was observed in the second dose cohort, with two patients for whom serum BCMA levels were evaluable showing a substantial treatment-induced decrease in soluble BCMA.</w:t>
      </w:r>
    </w:p>
    <w:p>
      <w:pPr>
        <w:spacing w:after="0" w:line="69" w:lineRule="exact"/>
        <w:rPr>
          <w:rFonts w:ascii="Arial" w:cs="Arial" w:eastAsia="Arial" w:hAnsi="Arial"/>
          <w:sz w:val="17"/>
          <w:szCs w:val="17"/>
          <w:color w:val="auto"/>
        </w:rPr>
      </w:pPr>
    </w:p>
    <w:p>
      <w:pPr>
        <w:ind w:left="1020" w:right="22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Regimen B Activity</w:t>
      </w:r>
      <w:r>
        <w:rPr>
          <w:rFonts w:ascii="Arial" w:cs="Arial" w:eastAsia="Arial" w:hAnsi="Arial"/>
          <w:sz w:val="18"/>
          <w:szCs w:val="18"/>
          <w:color w:val="auto"/>
        </w:rPr>
        <w:t>. Three patients were treated with a single dose of FT576 in combination with a CD38-targeted mAb therapy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dose cohort at 100 million cells, with one patient achieving a partial response (PR) and one patient achieving a minor response (MR). All three patients showed a substantial treatment-induced decrease in soluble BCMA.</w:t>
      </w:r>
    </w:p>
    <w:p>
      <w:pPr>
        <w:spacing w:after="0" w:line="76"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We have initiated enrollment of two-dose escalation cohorts at 300 million cells per dose in both regimens, and we plan to initiate enrollment of three-dose escalation cohorts at 300 million cells per dose in both regimens and continue dose escalation.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FT522: CAR NK Cell Program for B-cell Lymphoma and Autoimmune Disorders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Non-Hodgkin lymphoma (NHL) is a type of blood cancer that originates in the body’s lymphatic system. In NHL, white blood cells, called lymphocytes, grow abnormally and can form tumors throughout the body. The most common subtype of NHL is B-cell lymphoma, which represents over 85% of all newly-diagnosed NHL cases per year. B-cell lymphoma can be rapidly growing, or aggressive, such as diffuse large B-cell lymphomas, or it can be slow growing, or indolent, such as follicular lymphoma.</w:t>
      </w:r>
    </w:p>
    <w:p>
      <w:pPr>
        <w:spacing w:after="0" w:line="79"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There are over 80,000 new cases of NHL diagnosed per year in the United States, with over 20,000 deaths from the disease annually, according to the American Cancer Society. Patients with newly-diagnosed B-cell lymphoma are generally treated with chemotherapy plus a CD20-targeted mAb, with the R-CHOP chemotherapy combination (rituximab, cyclophosphamide, doxorubicin, vincristine, and prednisone) established as standard of care for newly-diagnosed diffuse large B-cell lymphoma patients. While the frontline approach of chemotherapy plus a CD20-targeted mAb is highly effective for many NHL patients, most patients suffer from disease that is refractory to initial treatment or recurrent after an initial response. Each year there are over 20,000 patients that require second-line treatment and nearly 10,000 patients that require third-line or later lines of therapy. For patients with refractory or relapsed disease, prognosis worsens with each subsequent line of therapy.</w:t>
      </w:r>
    </w:p>
    <w:p>
      <w:pPr>
        <w:spacing w:after="0" w:line="69"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Autologous CD19-targeted CAR T-cell therapy has been highly successful in treating patients with relapsed / refractory B-cell lymphoma. While the autologous approach has demonstrated compelling efficacy in many patients, several key challenges limit its adoption and reach including the need to co-administer intense chemotherapy conditioning, to hospitalize patients for treatment and monitoring, and to deliver bridging therapy during product manufacture. In registrational trials of CD19-targeted CAR T-cell therapy, up to 31% of patients on an intent-to-treat basis did not receive therapy primarily due to interval complications from the underlying disease prior to delivery of therapy or failure to manufacture therapy. Additionally, patients with relapsed</w:t>
      </w:r>
    </w:p>
    <w:p>
      <w:pPr>
        <w:spacing w:after="0" w:line="2" w:lineRule="exact"/>
        <w:rPr>
          <w:sz w:val="20"/>
          <w:szCs w:val="20"/>
          <w:color w:val="auto"/>
        </w:rPr>
      </w:pPr>
    </w:p>
    <w:p>
      <w:pPr>
        <w:ind w:right="280" w:firstLine="8"/>
        <w:spacing w:after="0" w:line="255" w:lineRule="auto"/>
        <w:tabs>
          <w:tab w:leader="none" w:pos="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refractory disease can have a T-cell compartment that is damaged or weakened, which may impair product manufacture, viability, potency, and/or response. The manufacture and delivery of autologous CAR T-cell therapy is logistically complex and costly and, as a result, its availability is limited to select specialized centers.</w:t>
      </w:r>
    </w:p>
    <w:p>
      <w:pPr>
        <w:spacing w:after="0" w:line="8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are preclinically developing FT522, an off-the-shelf, multiplexed-engineered, iPSC-derived CAR NK cell cancer immunotherapy derived from a clonal master iPSC line. FT522 incorporates five novel synthetic controls of cell function: a proprietary CAR that targets CD19; a novel high-affinity 158V, non-cleavable CD16 (hnCD16) Fc receptor that has been modified to prevent its down-regulation and to enhance ADCC; an IL-15/IL-15 receptor fusion (IL-15RF), a potent cytokine complex that is intended to augment NK cell activity; the complete elimination of CD38 expression to promote persistence and function in high oxidative stress environments; and a novel alloimmune defense receptor (ADR) that targets the cell surface receptor 4-1BB (CD137), a member of the tumor necrosis factor receptor superfamily that is upregulated on activated CD4+, CD8+, and regulatory T cells as well as activated NK cells of the host immune system. In combination with CD20-targeted mAb therapy, these features of FT522 are designed to enable dual-antigen targeting of CD19 and CD20 antigens expressed on B cells, extend functional persistence, and mitigate the risk of rejection.</w:t>
      </w:r>
    </w:p>
    <w:p>
      <w:pPr>
        <w:spacing w:after="0" w:line="5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 xml:space="preserve">We are currently conducting IND-enabling activities for FT522, and plan to submit an IND application to the FDA in 2023 to enable the initiation of first-in-human clinical investigation for the treatment of relapsed / refractory B-cell lymphoma. Preclinical proof-of-concept data for FT522 presented at the 2022 ASH Annual Meeting showed that,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co-culture assay with allogeneic peripheral blood mononuclear cells (allo PBMCs), ADR-armed, CD19-targeted, iPSC-derived CAR NK cells expanded, persisted, and selectively eliminated 4-1BB+ allo PBMCs in contrast to ADR-null, CD19-targeted, iPSC-derived CAR NK cells,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which were depleted. In addition, in a disseminated Nalm6 leukemia model comprised of allo-reactive T cells and tumor cells resistant to T-cell killing (MHC class 1-null), ADR-armed, CD19-targeted, iPSC-derived CAR NK cells exhibited uncompromised effector function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compared to ADR-null, CD19-targeted, iPSC-derived CAR NK cells, suggesting that ADR-armed NK cells functionally persist, proliferate, and durably kill tumor cells while resisting rejection by allo-reactive T cells.</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addition to our plans for the clinical investigation of FT522 in relapsed / refractory B-cell lymphoma, we are assessing in preclinical studies the potential to expand our FT522 program beyond oncology into autoimmunity. Autoimmune diseases are conditions in which the body's immune system mistakenly attacks the body's own organs and tissues. The role of B cells in autoimmune diseases involves different cellular functions, including autoantigen presentation, autoreactive T-cell activation, and autoantibody production. Therapeutic strategies designed to deplete B cells, including treatment with CD20-targeted mAb therapy, have been shown effective for induction and maintenance of remission in patients with certain autoimmune diseases. In addition, autologous CD19-targeted CAR T-cell therapy has been shown to induce durable remissions in patients with severe, refractory systemic lupus erythematosus. Aberrant production of autoantibodies by long-lived plasma cells is also an inherent characteristic of autoimmune diseases. Notably, recent findings suggest that long-lived plasma cells often accumulate later in the course of disease and are refractory to immunosuppressants and B-cell depletion therapies, leading to the persistent secretion of autoantibodies despite B-cell targeted intervention strategies. We believe the novel synthetic controls of FT522, in combination with CD38-targeted mAb therapy, may be uniquely suited to address a broad range of autoimmune diseases and disorders by resetting both of these autoantibody-producing lineages through the dual-targeting of CD19-and CD20- expressing B cells and CD38-expressing plasma cells, leading to more complete removal of autoantibodies and improved clinical outcomes.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FT819: CAR T-cell Program for B-cell Lymphoma and Chronic Lymphocytic Leukemia</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 xml:space="preserve">In addition to our development of iPSC-derived CAR NK cell product candidates, we are also developing CAR T-cell product candidates derived from clonal master iPSC lines as off-the-shelf cancer immunotherapies for the treatment of hematologic malignancies and solid tumors. In support of our development of iPSC-derived CAR T-cell product candidates, we are conducting a multi-year research partnership with Memorial Sloan Kettering Cancer Center (MSKCC) that is being led by Dr. Michel Sadelain, Director of the Center for Cell Engineering and the Stephen and Barbara Friedman Chair at Memorial Sloan Kettering Cancer Center. In addition, we have exclusively licensed from MSKCC foundational intellectual property covering iPSC-derived cellular immunotherapy, including T cells and NK cells derived from iPSCs engineered with CARs, for human therapeutic use. We have also licensed from MSKCC intellectual property covering compositions of novel CAR constructs, including the use of a novel 1XX co-stimulatory domain, and of genetically engineered CAR T cells, including methods of making these cells using CRISPR for certain targeted gene modifications. Embodiments of this additional intellectual property include preclinical data published by Dr. Sadelain demonstrating that directing a CD19-specific CAR to the TRAC locus resulted in uniform CAR expression in human peripheral blood T cells, enhanced T-cell potency, and delayed effector T-cell differentiation and exhaustion (Eyquem et al. </w:t>
      </w:r>
      <w:r>
        <w:rPr>
          <w:rFonts w:ascii="Arial" w:cs="Arial" w:eastAsia="Arial" w:hAnsi="Arial"/>
          <w:sz w:val="16"/>
          <w:szCs w:val="16"/>
          <w:i w:val="1"/>
          <w:iCs w:val="1"/>
          <w:color w:val="auto"/>
        </w:rPr>
        <w:t>Nature</w:t>
      </w:r>
      <w:r>
        <w:rPr>
          <w:rFonts w:ascii="Arial" w:cs="Arial" w:eastAsia="Arial" w:hAnsi="Arial"/>
          <w:sz w:val="16"/>
          <w:szCs w:val="16"/>
          <w:color w:val="auto"/>
        </w:rPr>
        <w:t xml:space="preserve">. 543, 113–117, 2017), and that CAR T cells utilizing a novel 1XX CAR signaling domain exhibited enhanced antitumor activity, persistence and long-term cytotoxicity as well as a decrease in T-cell exhaustion (Feucht et al. </w:t>
      </w:r>
      <w:r>
        <w:rPr>
          <w:rFonts w:ascii="Arial" w:cs="Arial" w:eastAsia="Arial" w:hAnsi="Arial"/>
          <w:sz w:val="16"/>
          <w:szCs w:val="16"/>
          <w:i w:val="1"/>
          <w:iCs w:val="1"/>
          <w:color w:val="auto"/>
        </w:rPr>
        <w:t>Nature Medicine</w:t>
      </w:r>
      <w:r>
        <w:rPr>
          <w:rFonts w:ascii="Arial" w:cs="Arial" w:eastAsia="Arial" w:hAnsi="Arial"/>
          <w:sz w:val="16"/>
          <w:szCs w:val="16"/>
          <w:color w:val="auto"/>
        </w:rPr>
        <w:t>. 25, 82–88, 2019).</w:t>
      </w:r>
    </w:p>
    <w:p>
      <w:pPr>
        <w:spacing w:after="0" w:line="6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are clinically developing FT819, an investigational off-the-shelf, iPSC-derived CAR T cell cancer immunotherapy derived from a clonal master iPSC line. FT819 incorporates two novel synthetic controls of cell function: a novel 1XX CAR construct inserted directly into the TRAC locus that targets CD19; and the complete disruption of TCR expression for the prevention of GvHD, a potentially life-threatening complication associated with allogeneic T-cell therapy. Together, these features of FT819 are designed to induce antigen-specific cytotoxicity, enhance CAR activity through TRAC-regulated expression, and completely eliminate TCR expression to mitigate GvHD. In preclinical studies, we have shown that iPSC-derived TCR-CAR+ CAR T cells targeting CD19:</w:t>
      </w:r>
    </w:p>
    <w:p>
      <w:pPr>
        <w:spacing w:after="0" w:line="84" w:lineRule="exact"/>
        <w:rPr>
          <w:sz w:val="20"/>
          <w:szCs w:val="20"/>
          <w:color w:val="auto"/>
        </w:rPr>
      </w:pPr>
    </w:p>
    <w:p>
      <w:pPr>
        <w:ind w:left="1020" w:right="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displayed antigen-specific anti-tumor potency </w:t>
      </w:r>
      <w:r>
        <w:rPr>
          <w:rFonts w:ascii="Arial" w:cs="Arial" w:eastAsia="Arial" w:hAnsi="Arial"/>
          <w:sz w:val="18"/>
          <w:szCs w:val="18"/>
          <w:i w:val="1"/>
          <w:iCs w:val="1"/>
          <w:color w:val="auto"/>
        </w:rPr>
        <w:t>in vitro</w:t>
      </w:r>
      <w:r>
        <w:rPr>
          <w:rFonts w:ascii="Arial" w:cs="Arial" w:eastAsia="Arial" w:hAnsi="Arial"/>
          <w:sz w:val="18"/>
          <w:szCs w:val="18"/>
          <w:color w:val="auto"/>
        </w:rPr>
        <w:t>, including cytokine release and targeted cellular cytotoxicity, comparable to peripheral blood CD19-specific CAR T-cells;</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did not respond or proliferate against HLA-mismatched (CD19-) peripheral blood mononuclear cells as targets in a mixed lymphocyte reaction, indicating the risk of GvHD is alleviated;</w:t>
      </w:r>
    </w:p>
    <w:p>
      <w:pPr>
        <w:spacing w:after="0" w:line="62"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controlled tumor progression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comparable to peripheral blood CD19-specific CAR T cells in a preclinical mouse model of acute lymphoblastic leukemia; and</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enhanced tumor clearance and durable control of leukemia </w:t>
      </w:r>
      <w:r>
        <w:rPr>
          <w:rFonts w:ascii="Arial" w:cs="Arial" w:eastAsia="Arial" w:hAnsi="Arial"/>
          <w:sz w:val="18"/>
          <w:szCs w:val="18"/>
          <w:i w:val="1"/>
          <w:iCs w:val="1"/>
          <w:color w:val="auto"/>
        </w:rPr>
        <w:t>in vivo</w:t>
      </w:r>
      <w:r>
        <w:rPr>
          <w:rFonts w:ascii="Arial" w:cs="Arial" w:eastAsia="Arial" w:hAnsi="Arial"/>
          <w:sz w:val="18"/>
          <w:szCs w:val="18"/>
          <w:color w:val="auto"/>
        </w:rPr>
        <w:t>, as compared to primary CAR19 T cells, in a xenograft mouse model of disseminated lymphoblastic leukemia.</w:t>
      </w:r>
    </w:p>
    <w:p>
      <w:pPr>
        <w:spacing w:after="0" w:line="62"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 xml:space="preserve">Additional preclinical data published in August 2022 showed the generation of iPSC-derived TCR-CAR+ CD8αβ T cells, which were able to repeatedly lyse tumor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durably control leukemia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persistence in the bone marrow, spleen, and blood, in a systemic NALM6 leukemia model (Sjoukje et al. </w:t>
      </w:r>
      <w:r>
        <w:rPr>
          <w:rFonts w:ascii="Arial" w:cs="Arial" w:eastAsia="Arial" w:hAnsi="Arial"/>
          <w:sz w:val="18"/>
          <w:szCs w:val="18"/>
          <w:i w:val="1"/>
          <w:iCs w:val="1"/>
          <w:color w:val="auto"/>
        </w:rPr>
        <w:t>Nature Biomedical Engineering</w:t>
      </w:r>
      <w:r>
        <w:rPr>
          <w:rFonts w:ascii="Arial" w:cs="Arial" w:eastAsia="Arial" w:hAnsi="Arial"/>
          <w:sz w:val="18"/>
          <w:szCs w:val="18"/>
          <w:color w:val="auto"/>
        </w:rPr>
        <w:t>. 6, 1284–1297, 2022).</w:t>
      </w:r>
    </w:p>
    <w:p>
      <w:pPr>
        <w:spacing w:after="0" w:line="7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We are currently studying FT819 in an ongoing, multi-center Phase 1 clinical trial designed to assess its safety and clinical activity in adult patients with relapsed / refractory B-cell malignancies, including B-cell lymphoma and chronic lymphocytic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leukemia, and to determine the recommended Phase 2 dose and schedule, in three treatment regimens: single dose of FT819 (Regimen A); single dose of FT819 with IL-2 cytokine support (Regimen A1); and three fractionated doses of FT819 on Days 1, 3, and 5 (Regimen B). At the 2022 ASH Annual Meeting, we presented interim clinical data as of a September 8, 2022 data cutoff date for 10 patients with aggressive large B-cell lymphoma treated with FT819, including eight patients in Regimen A and two patients in Regimen B (see Table 1). Patients had received standard conditioning chemotherapy consisting of cyclophosphamide (Cy) at 500 mg/m2 and fludarabine (Flu) at 30 mg/m2 for three days prior to the initiation of each regimen. Patients were heavily pre-treated having had received a median of four prior lines of therapy (range 3-7), including 7 of 10 patients (70%) having previously received autologous CD19-targeted CAR T-cell therapy.</w:t>
      </w:r>
    </w:p>
    <w:p>
      <w:pPr>
        <w:spacing w:after="0" w:line="87" w:lineRule="exact"/>
        <w:rPr>
          <w:sz w:val="20"/>
          <w:szCs w:val="20"/>
          <w:color w:val="auto"/>
        </w:rPr>
      </w:pPr>
    </w:p>
    <w:p>
      <w:pPr>
        <w:ind w:left="1020" w:hanging="503"/>
        <w:spacing w:after="0" w:line="255"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Regimen A Activity</w:t>
      </w:r>
      <w:r>
        <w:rPr>
          <w:rFonts w:ascii="Arial" w:cs="Arial" w:eastAsia="Arial" w:hAnsi="Arial"/>
          <w:sz w:val="18"/>
          <w:szCs w:val="18"/>
          <w:color w:val="auto"/>
        </w:rPr>
        <w:t>. Of the eight patients with aggressive large B-cell lymphoma (median of 4.5 prior lines of therapy [range 3-7]) treated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single dose of FT819 ranging from 90 million cells to 360 million cells, one of two patients naïve to CAR T-cell therapy achieved an objective response at Day 30, which was a complete response in a patient with diffuse large B-cell lymphoma previously treated with five prior lines of therapy; and two of six patients previously treated with CAR T-cell therapy achieved an objective response at Day 30, which included a complete response in a patient with diffuse large B-cell lymphoma previously treated with seven prior lines of therapy who did not respond to autologous CD19-targeted CAR T-cell therapy.</w:t>
      </w:r>
    </w:p>
    <w:p>
      <w:pPr>
        <w:spacing w:after="0" w:line="84"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Regimen B Activity</w:t>
      </w:r>
      <w:r>
        <w:rPr>
          <w:rFonts w:ascii="Arial" w:cs="Arial" w:eastAsia="Arial" w:hAnsi="Arial"/>
          <w:sz w:val="18"/>
          <w:szCs w:val="18"/>
          <w:color w:val="auto"/>
        </w:rPr>
        <w:t>. Two patients with aggressive large B-cell lymphoma (each of whom received three prior lines of therapy) treated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three fractionated doses at 30 million cells per dose did not respond to therapy at Day 30.</w:t>
      </w:r>
    </w:p>
    <w:p>
      <w:pPr>
        <w:spacing w:after="0" w:line="17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FFFFFF"/>
        </w:rPr>
        <w:t xml:space="preserve">Table 1: Aggressive Large B-cell Lymphoma </w:t>
      </w:r>
      <w:r>
        <w:rPr>
          <w:rFonts w:ascii="Arial" w:cs="Arial" w:eastAsia="Arial" w:hAnsi="Arial"/>
          <w:sz w:val="21"/>
          <w:szCs w:val="21"/>
          <w:b w:val="1"/>
          <w:bCs w:val="1"/>
          <w:color w:val="FFFFFF"/>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-146050</wp:posOffset>
            </wp:positionV>
            <wp:extent cx="5490210" cy="2247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90210" cy="2247900"/>
                    </a:xfrm>
                    <a:prstGeom prst="rect">
                      <a:avLst/>
                    </a:prstGeom>
                    <a:noFill/>
                  </pic:spPr>
                </pic:pic>
              </a:graphicData>
            </a:graphic>
          </wp:anchor>
        </w:drawing>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FT819 Regimen A: Single Dose (n=8)</w:t>
      </w:r>
    </w:p>
    <w:p>
      <w:pPr>
        <w:spacing w:after="0" w:line="11" w:lineRule="exact"/>
        <w:rPr>
          <w:sz w:val="20"/>
          <w:szCs w:val="20"/>
          <w:color w:val="auto"/>
        </w:rPr>
      </w:pPr>
    </w:p>
    <w:tbl>
      <w:tblPr>
        <w:tblLayout w:type="fixed"/>
        <w:tblInd w:w="1300" w:type="dxa"/>
        <w:tblCellMar>
          <w:top w:w="0" w:type="dxa"/>
          <w:left w:w="0" w:type="dxa"/>
          <w:bottom w:w="0" w:type="dxa"/>
          <w:right w:w="0" w:type="dxa"/>
        </w:tblCellMar>
      </w:tblPr>
      <w:tr>
        <w:trPr>
          <w:trHeight w:val="236"/>
        </w:trPr>
        <w:tc>
          <w:tcPr>
            <w:tcW w:w="1500" w:type="dxa"/>
            <w:vAlign w:val="bottom"/>
            <w:tcBorders>
              <w:top w:val="single" w:sz="8" w:color="auto"/>
              <w:bottom w:val="single" w:sz="8" w:color="auto"/>
              <w:right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color w:val="auto"/>
                <w:w w:val="94"/>
              </w:rPr>
              <w:t>CAR T-cell Therapy Naïve</w:t>
            </w:r>
          </w:p>
        </w:tc>
        <w:tc>
          <w:tcPr>
            <w:tcW w:w="860" w:type="dxa"/>
            <w:vAlign w:val="bottom"/>
            <w:tcBorders>
              <w:top w:val="single" w:sz="8" w:color="auto"/>
              <w:bottom w:val="single" w:sz="8" w:color="auto"/>
              <w:right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6"/>
                <w:szCs w:val="16"/>
                <w:color w:val="auto"/>
                <w:w w:val="99"/>
              </w:rPr>
              <w:t>Prior CAR T-cell Therapy</w:t>
            </w:r>
          </w:p>
        </w:tc>
        <w:tc>
          <w:tcPr>
            <w:tcW w:w="820" w:type="dxa"/>
            <w:vAlign w:val="bottom"/>
            <w:tcBorders>
              <w:top w:val="single" w:sz="8" w:color="auto"/>
              <w:bottom w:val="single" w:sz="8" w:color="auto"/>
            </w:tcBorders>
          </w:tcPr>
          <w:p>
            <w:pPr>
              <w:spacing w:after="0"/>
              <w:rPr>
                <w:sz w:val="20"/>
                <w:szCs w:val="20"/>
                <w:color w:val="auto"/>
              </w:rPr>
            </w:pPr>
          </w:p>
        </w:tc>
      </w:tr>
      <w:tr>
        <w:trPr>
          <w:trHeight w:val="223"/>
        </w:trPr>
        <w:tc>
          <w:tcPr>
            <w:tcW w:w="1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Cells</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90M</w:t>
            </w:r>
          </w:p>
        </w:tc>
        <w:tc>
          <w:tcPr>
            <w:tcW w:w="4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180M</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ind w:right="259"/>
              <w:spacing w:after="0"/>
              <w:rPr>
                <w:sz w:val="20"/>
                <w:szCs w:val="20"/>
                <w:color w:val="auto"/>
              </w:rPr>
            </w:pPr>
            <w:r>
              <w:rPr>
                <w:rFonts w:ascii="Arial" w:cs="Arial" w:eastAsia="Arial" w:hAnsi="Arial"/>
                <w:sz w:val="16"/>
                <w:szCs w:val="16"/>
                <w:color w:val="auto"/>
                <w:w w:val="99"/>
              </w:rPr>
              <w:t>360M</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6"/>
              </w:rPr>
              <w:t>90M</w:t>
            </w:r>
          </w:p>
        </w:tc>
        <w:tc>
          <w:tcPr>
            <w:tcW w:w="3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180M</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9"/>
              </w:rPr>
              <w:t>360M</w:t>
            </w:r>
          </w:p>
        </w:tc>
      </w:tr>
      <w:tr>
        <w:trPr>
          <w:trHeight w:val="223"/>
        </w:trPr>
        <w:tc>
          <w:tcPr>
            <w:tcW w:w="15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N</w:t>
            </w:r>
          </w:p>
        </w:tc>
        <w:tc>
          <w:tcPr>
            <w:tcW w:w="82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w w:val="89"/>
              </w:rPr>
              <w:t>1</w:t>
            </w:r>
          </w:p>
        </w:tc>
        <w:tc>
          <w:tcPr>
            <w:tcW w:w="4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ind w:right="259"/>
              <w:spacing w:after="0"/>
              <w:rPr>
                <w:sz w:val="20"/>
                <w:szCs w:val="20"/>
                <w:color w:val="auto"/>
              </w:rPr>
            </w:pPr>
            <w:r>
              <w:rPr>
                <w:rFonts w:ascii="Arial" w:cs="Arial" w:eastAsia="Arial" w:hAnsi="Arial"/>
                <w:sz w:val="16"/>
                <w:szCs w:val="16"/>
                <w:color w:val="auto"/>
                <w:w w:val="89"/>
              </w:rPr>
              <w:t>1</w:t>
            </w:r>
          </w:p>
        </w:tc>
        <w:tc>
          <w:tcPr>
            <w:tcW w:w="84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color w:val="auto"/>
                <w:w w:val="89"/>
              </w:rPr>
              <w:t>4</w:t>
            </w:r>
          </w:p>
        </w:tc>
        <w:tc>
          <w:tcPr>
            <w:tcW w:w="3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9"/>
              </w:rPr>
              <w:t>1</w:t>
            </w:r>
          </w:p>
        </w:tc>
      </w:tr>
      <w:tr>
        <w:trPr>
          <w:trHeight w:val="223"/>
        </w:trPr>
        <w:tc>
          <w:tcPr>
            <w:tcW w:w="15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OR / CR</w:t>
            </w:r>
          </w:p>
        </w:tc>
        <w:tc>
          <w:tcPr>
            <w:tcW w:w="82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w w:val="89"/>
              </w:rPr>
              <w:t>0 / 0</w:t>
            </w:r>
          </w:p>
        </w:tc>
        <w:tc>
          <w:tcPr>
            <w:tcW w:w="4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ind w:right="259"/>
              <w:spacing w:after="0"/>
              <w:rPr>
                <w:sz w:val="20"/>
                <w:szCs w:val="20"/>
                <w:color w:val="auto"/>
              </w:rPr>
            </w:pPr>
            <w:r>
              <w:rPr>
                <w:rFonts w:ascii="Arial" w:cs="Arial" w:eastAsia="Arial" w:hAnsi="Arial"/>
                <w:sz w:val="16"/>
                <w:szCs w:val="16"/>
                <w:color w:val="auto"/>
                <w:w w:val="89"/>
              </w:rPr>
              <w:t>1 / 1</w:t>
            </w:r>
          </w:p>
        </w:tc>
        <w:tc>
          <w:tcPr>
            <w:tcW w:w="84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6"/>
                <w:szCs w:val="16"/>
                <w:color w:val="auto"/>
                <w:w w:val="96"/>
              </w:rPr>
              <w:t>2 / 1</w:t>
            </w:r>
          </w:p>
        </w:tc>
        <w:tc>
          <w:tcPr>
            <w:tcW w:w="3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 / 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9"/>
              </w:rPr>
              <w:t>0 / 0</w:t>
            </w:r>
          </w:p>
        </w:tc>
      </w:tr>
      <w:tr>
        <w:trPr>
          <w:trHeight w:val="223"/>
        </w:trPr>
        <w:tc>
          <w:tcPr>
            <w:tcW w:w="4220" w:type="dxa"/>
            <w:vAlign w:val="bottom"/>
            <w:tcBorders>
              <w:bottom w:val="single" w:sz="8" w:color="auto"/>
            </w:tcBorders>
            <w:gridSpan w:val="6"/>
            <w:shd w:val="clear" w:color="auto" w:fill="D9D9D9"/>
          </w:tcPr>
          <w:p>
            <w:pPr>
              <w:ind w:left="120"/>
              <w:spacing w:after="0"/>
              <w:rPr>
                <w:sz w:val="20"/>
                <w:szCs w:val="20"/>
                <w:color w:val="auto"/>
              </w:rPr>
            </w:pPr>
            <w:r>
              <w:rPr>
                <w:rFonts w:ascii="Arial" w:cs="Arial" w:eastAsia="Arial" w:hAnsi="Arial"/>
                <w:sz w:val="16"/>
                <w:szCs w:val="16"/>
                <w:b w:val="1"/>
                <w:bCs w:val="1"/>
                <w:color w:val="auto"/>
              </w:rPr>
              <w:t>FT819 Regimen B: Three Fractionated Doses (n=2)</w:t>
            </w:r>
          </w:p>
        </w:tc>
        <w:tc>
          <w:tcPr>
            <w:tcW w:w="860" w:type="dxa"/>
            <w:vAlign w:val="bottom"/>
            <w:tcBorders>
              <w:bottom w:val="single" w:sz="8" w:color="auto"/>
              <w:right w:val="single" w:sz="8" w:color="D9D9D9"/>
            </w:tcBorders>
            <w:shd w:val="clear" w:color="auto" w:fill="D9D9D9"/>
          </w:tcPr>
          <w:p>
            <w:pPr>
              <w:spacing w:after="0"/>
              <w:rPr>
                <w:sz w:val="19"/>
                <w:szCs w:val="19"/>
                <w:color w:val="auto"/>
              </w:rPr>
            </w:pPr>
          </w:p>
        </w:tc>
        <w:tc>
          <w:tcPr>
            <w:tcW w:w="160" w:type="dxa"/>
            <w:vAlign w:val="bottom"/>
            <w:tcBorders>
              <w:bottom w:val="single" w:sz="8" w:color="auto"/>
              <w:right w:val="single" w:sz="8" w:color="D9D9D9"/>
            </w:tcBorders>
            <w:shd w:val="clear" w:color="auto" w:fill="D9D9D9"/>
          </w:tcPr>
          <w:p>
            <w:pPr>
              <w:spacing w:after="0"/>
              <w:rPr>
                <w:sz w:val="19"/>
                <w:szCs w:val="19"/>
                <w:color w:val="auto"/>
              </w:rPr>
            </w:pPr>
          </w:p>
        </w:tc>
        <w:tc>
          <w:tcPr>
            <w:tcW w:w="680" w:type="dxa"/>
            <w:vAlign w:val="bottom"/>
            <w:tcBorders>
              <w:bottom w:val="single" w:sz="8" w:color="auto"/>
            </w:tcBorders>
            <w:shd w:val="clear" w:color="auto" w:fill="D9D9D9"/>
          </w:tcPr>
          <w:p>
            <w:pPr>
              <w:spacing w:after="0"/>
              <w:rPr>
                <w:sz w:val="19"/>
                <w:szCs w:val="19"/>
                <w:color w:val="auto"/>
              </w:rPr>
            </w:pPr>
          </w:p>
        </w:tc>
        <w:tc>
          <w:tcPr>
            <w:tcW w:w="360" w:type="dxa"/>
            <w:vAlign w:val="bottom"/>
            <w:tcBorders>
              <w:bottom w:val="single" w:sz="8" w:color="auto"/>
              <w:right w:val="single" w:sz="8" w:color="D9D9D9"/>
            </w:tcBorders>
            <w:shd w:val="clear" w:color="auto" w:fill="D9D9D9"/>
          </w:tcPr>
          <w:p>
            <w:pPr>
              <w:spacing w:after="0"/>
              <w:rPr>
                <w:sz w:val="19"/>
                <w:szCs w:val="19"/>
                <w:color w:val="auto"/>
              </w:rPr>
            </w:pPr>
          </w:p>
        </w:tc>
        <w:tc>
          <w:tcPr>
            <w:tcW w:w="1180" w:type="dxa"/>
            <w:vAlign w:val="bottom"/>
            <w:tcBorders>
              <w:bottom w:val="single" w:sz="8" w:color="auto"/>
              <w:right w:val="single" w:sz="8" w:color="D9D9D9"/>
            </w:tcBorders>
            <w:shd w:val="clear" w:color="auto" w:fill="D9D9D9"/>
          </w:tcPr>
          <w:p>
            <w:pPr>
              <w:spacing w:after="0"/>
              <w:rPr>
                <w:sz w:val="19"/>
                <w:szCs w:val="19"/>
                <w:color w:val="auto"/>
              </w:rPr>
            </w:pPr>
          </w:p>
        </w:tc>
        <w:tc>
          <w:tcPr>
            <w:tcW w:w="360" w:type="dxa"/>
            <w:vAlign w:val="bottom"/>
            <w:tcBorders>
              <w:bottom w:val="single" w:sz="8" w:color="auto"/>
            </w:tcBorders>
            <w:shd w:val="clear" w:color="auto" w:fill="D9D9D9"/>
          </w:tcPr>
          <w:p>
            <w:pPr>
              <w:spacing w:after="0"/>
              <w:rPr>
                <w:sz w:val="19"/>
                <w:szCs w:val="19"/>
                <w:color w:val="auto"/>
              </w:rPr>
            </w:pPr>
          </w:p>
        </w:tc>
        <w:tc>
          <w:tcPr>
            <w:tcW w:w="820" w:type="dxa"/>
            <w:vAlign w:val="bottom"/>
            <w:tcBorders>
              <w:bottom w:val="single" w:sz="8" w:color="auto"/>
            </w:tcBorders>
            <w:shd w:val="clear" w:color="auto" w:fill="D9D9D9"/>
          </w:tcPr>
          <w:p>
            <w:pPr>
              <w:spacing w:after="0"/>
              <w:rPr>
                <w:sz w:val="19"/>
                <w:szCs w:val="19"/>
                <w:color w:val="auto"/>
              </w:rPr>
            </w:pPr>
          </w:p>
        </w:tc>
      </w:tr>
      <w:tr>
        <w:trPr>
          <w:trHeight w:val="223"/>
        </w:trPr>
        <w:tc>
          <w:tcPr>
            <w:tcW w:w="15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color w:val="auto"/>
              </w:rPr>
              <w:t>CAR T-cell Therapy Naïve</w:t>
            </w:r>
          </w:p>
        </w:tc>
        <w:tc>
          <w:tcPr>
            <w:tcW w:w="1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color w:val="auto"/>
                <w:w w:val="96"/>
              </w:rPr>
              <w:t>Prior CAR T-cell Therapy</w:t>
            </w:r>
          </w:p>
        </w:tc>
        <w:tc>
          <w:tcPr>
            <w:tcW w:w="820" w:type="dxa"/>
            <w:vAlign w:val="bottom"/>
            <w:tcBorders>
              <w:bottom w:val="single" w:sz="8" w:color="auto"/>
            </w:tcBorders>
          </w:tcPr>
          <w:p>
            <w:pPr>
              <w:spacing w:after="0"/>
              <w:rPr>
                <w:sz w:val="19"/>
                <w:szCs w:val="19"/>
                <w:color w:val="auto"/>
              </w:rPr>
            </w:pPr>
          </w:p>
        </w:tc>
      </w:tr>
      <w:tr>
        <w:trPr>
          <w:trHeight w:val="223"/>
        </w:trPr>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Cells / Dose</w:t>
            </w:r>
          </w:p>
        </w:tc>
        <w:tc>
          <w:tcPr>
            <w:tcW w:w="3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30M</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6"/>
              </w:rPr>
              <w:t>30M</w:t>
            </w:r>
          </w:p>
        </w:tc>
        <w:tc>
          <w:tcPr>
            <w:tcW w:w="820" w:type="dxa"/>
            <w:vAlign w:val="bottom"/>
            <w:tcBorders>
              <w:bottom w:val="single" w:sz="8" w:color="auto"/>
            </w:tcBorders>
          </w:tcPr>
          <w:p>
            <w:pPr>
              <w:spacing w:after="0"/>
              <w:rPr>
                <w:sz w:val="19"/>
                <w:szCs w:val="19"/>
                <w:color w:val="auto"/>
              </w:rPr>
            </w:pPr>
          </w:p>
        </w:tc>
      </w:tr>
      <w:tr>
        <w:trPr>
          <w:trHeight w:val="223"/>
        </w:trPr>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N</w:t>
            </w:r>
          </w:p>
        </w:tc>
        <w:tc>
          <w:tcPr>
            <w:tcW w:w="3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6"/>
                <w:szCs w:val="16"/>
                <w:color w:val="auto"/>
                <w:w w:val="89"/>
              </w:rPr>
              <w:t>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3"/>
        </w:trPr>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OR / CR</w:t>
            </w:r>
          </w:p>
        </w:tc>
        <w:tc>
          <w:tcPr>
            <w:tcW w:w="3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left="719"/>
              <w:spacing w:after="0"/>
              <w:rPr>
                <w:sz w:val="20"/>
                <w:szCs w:val="20"/>
                <w:color w:val="auto"/>
              </w:rPr>
            </w:pPr>
            <w:r>
              <w:rPr>
                <w:rFonts w:ascii="Arial" w:cs="Arial" w:eastAsia="Arial" w:hAnsi="Arial"/>
                <w:sz w:val="16"/>
                <w:szCs w:val="16"/>
                <w:color w:val="auto"/>
                <w:w w:val="96"/>
              </w:rPr>
              <w:t>0 / 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6"/>
                <w:szCs w:val="16"/>
                <w:color w:val="auto"/>
                <w:w w:val="96"/>
              </w:rPr>
              <w:t>0 / 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bl>
    <w:p>
      <w:pPr>
        <w:ind w:left="1420"/>
        <w:spacing w:after="0"/>
        <w:rPr>
          <w:sz w:val="20"/>
          <w:szCs w:val="20"/>
          <w:color w:val="auto"/>
        </w:rPr>
      </w:pPr>
      <w:r>
        <w:rPr>
          <w:rFonts w:ascii="Arial" w:cs="Arial" w:eastAsia="Arial" w:hAnsi="Arial"/>
          <w:sz w:val="16"/>
          <w:szCs w:val="16"/>
          <w:b w:val="1"/>
          <w:bCs w:val="1"/>
          <w:color w:val="auto"/>
        </w:rPr>
        <w:t xml:space="preserve">OR </w:t>
      </w:r>
      <w:r>
        <w:rPr>
          <w:rFonts w:ascii="Arial" w:cs="Arial" w:eastAsia="Arial" w:hAnsi="Arial"/>
          <w:sz w:val="16"/>
          <w:szCs w:val="16"/>
          <w:color w:val="auto"/>
        </w:rPr>
        <w:t>= objective response;</w:t>
      </w:r>
      <w:r>
        <w:rPr>
          <w:rFonts w:ascii="Arial" w:cs="Arial" w:eastAsia="Arial" w:hAnsi="Arial"/>
          <w:sz w:val="16"/>
          <w:szCs w:val="16"/>
          <w:b w:val="1"/>
          <w:bCs w:val="1"/>
          <w:color w:val="auto"/>
        </w:rPr>
        <w:t xml:space="preserve"> CR</w:t>
      </w:r>
      <w:r>
        <w:rPr>
          <w:rFonts w:ascii="Arial" w:cs="Arial" w:eastAsia="Arial" w:hAnsi="Arial"/>
          <w:sz w:val="16"/>
          <w:szCs w:val="16"/>
          <w:color w:val="auto"/>
        </w:rPr>
        <w:t>= complete response;</w:t>
      </w:r>
      <w:r>
        <w:rPr>
          <w:rFonts w:ascii="Arial" w:cs="Arial" w:eastAsia="Arial" w:hAnsi="Arial"/>
          <w:sz w:val="16"/>
          <w:szCs w:val="16"/>
          <w:b w:val="1"/>
          <w:bCs w:val="1"/>
          <w:color w:val="auto"/>
        </w:rPr>
        <w:t xml:space="preserve"> M </w:t>
      </w:r>
      <w:r>
        <w:rPr>
          <w:rFonts w:ascii="Arial" w:cs="Arial" w:eastAsia="Arial" w:hAnsi="Arial"/>
          <w:sz w:val="16"/>
          <w:szCs w:val="16"/>
          <w:color w:val="auto"/>
        </w:rPr>
        <w:t>= million</w:t>
      </w:r>
    </w:p>
    <w:p>
      <w:pPr>
        <w:ind w:left="1420"/>
        <w:spacing w:after="0" w:line="204"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As of data cutoff date of September 8, 2022</w:t>
      </w:r>
    </w:p>
    <w:p>
      <w:pPr>
        <w:ind w:left="1420"/>
        <w:spacing w:after="0" w:line="234"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Includes diffuse large B-cell lymphoma (n=8) and high-grade B-cell lymphoma (n=2)</w:t>
      </w:r>
    </w:p>
    <w:p>
      <w:pPr>
        <w:ind w:left="1420"/>
        <w:spacing w:after="0" w:line="191"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Day 30 protocol-defined response assessment per Lugano 2014 criteria</w:t>
      </w:r>
    </w:p>
    <w:p>
      <w:pPr>
        <w:spacing w:after="0" w:line="12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Five additional patients with relapsed / refractory B-cell lymphoma had been treated with FT819 as of the September 8, 2022 data cutoff date: one patient with Grade 3a follicular lymphoma (with 5 prior lines of therapy, including CAR T-cell therapy) treated in Regimen A with a single dose of FT819 at 180 million cells achieved a complete response at Day 30; and four patients with Richter’s Transformation (median of 5.5 prior lines of therapy [range 2-9]) did not respond to therapy at Day 30.</w:t>
      </w:r>
    </w:p>
    <w:p>
      <w:pPr>
        <w:spacing w:after="0" w:line="7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No DLTs, and no Grade 3 or greater FT819-related AEs or serious AEs, were observed. Of the 15 patients treated in Regimens A and B, three patients (20%) experienced Grade 2 CRS characterized by fever, hypotension, and hypoxia, and which resolved with single-dose tocilizumab and supportive care. No TEAEs of any grade of ICANS or GvHD were reported by investigators. The FT819 treatment regimen was well tolerated. There were no study discontinuations or deaths due to TEAEs other than one patient with stable disease who died on Day 38 due to sepsis not considered related to FT819 by the study investigator.</w:t>
      </w:r>
    </w:p>
    <w:p>
      <w:pPr>
        <w:spacing w:after="0" w:line="80"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Dose escalation is currently ongoing in Regimen A as a single dose of FT819 at 360 million cells and in Regimen B with three fractionated doses at 60 million cells per dose. The Company has also amended the FT819 study protocol to allow for the use of bendamustine at 90 mg/m2 for two days as an alternative to Cy / Flu conditioning chemotherapy.</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FT825: CAR T-cell Program for Solid Tumors</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Although autologous CAR T-cell therapies approved by the FDA have shown significant efficacy in treating hematologic malignancies, its wider application to solid tumors has been hampered by tumor-associated antigen heterogeneity, inefficient CAR T-cell trafficking to the tumor, and immunosuppression inherent to the tumor microenvironment. We are researching and preclinically developing multiplexed-engineered, iPSC-derived CAR T-cell product candidates, which are specifically designed to address these challenges and enable the safe and effective treatment of solid tumors as monotherapy and in combination with mAb therapy.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are preclinically developing FT825, a multiplexed-engineered, iPSC-derived, CAR T-cell product candidate targeting human epidermal growth factor receptor 2 (HER2)-expressing solid tumors, under our collaboration with Ono (see "Our Partnership with Ono Pharmaceutical"). HER2, also known as Human Epidermal Growth Factor Receptor 2, is a receptor tyrosine kinase that is overexpressed on many solid tumors, such as breast, gastric, bladder, and lung cancers. FT825 incorporates seven novel synthetic controls of cell function: a novel 1XX CAR construct inserted directly into the TRAC locus that is armed with a differentiated HER2 binding domain; a novel high-affinity 158V, non-cleavable CD16 (hnCD16) Fc receptor that has been modified to prevent its down-regulation and to enhance ADCC and to overcome challenges associated with tumor heterogeneity; a synthetic IL-7/IL-7 receptor fusion (IL-7RF), a potent cytokine complex that is intended to promote T-cell stemness; a synthetic CXCR2 receptor to promote cell trafficking; a synthetic TGFβ receptor to redirect immunosuppressive signals in the tumor microenvironment; the complete elimination of CD38 expression to promote persistence and function in high oxidative stress environments; and the complete disruption of TCR expression for the prevention of GvHD, a potentially life-threatening complication associated with allogeneic T-cell therapy.</w:t>
      </w:r>
    </w:p>
    <w:p>
      <w:pPr>
        <w:spacing w:after="0" w:line="7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In preclinical studies of FT825 presented at the 2022 Society for Immunotherapy of Cancer (SITC) Annual Meeting, the product candidate’s HER2 binding domain showed a highly selective and differentiated targeting profile including in comparison to other HER2-directed agents, exhibited robust dose-dependent cytolytic activity against both HER2-high and HER2-low cell lines from multiple tumor types, demonstrated limited activity against HER2-expressing cell lines from healthy tissue, and exhibited enhanced trafficking and migration properties in vitro and in vivo. In addition to its CAR-mediated anti-tumor activity against HER2, co-activation of the product candidate’s HER2-targeted CAR and hnCD16 Fc receptor through combination with mAb therapy showed enhanced anti-tumor activity in preclinical models.</w:t>
      </w:r>
    </w:p>
    <w:p>
      <w:pPr>
        <w:spacing w:after="0" w:line="70"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Under our collaboration with Ono, we are currently conducting IND-enabling activities for FT825, and plan to submit an IND application to the FDA in 2023 to enable the initiation of first-in-human clinical investigation for the treatment of certain solid tumors.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Discontinued Product Candidates</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i w:val="1"/>
          <w:iCs w:val="1"/>
          <w:color w:val="auto"/>
        </w:rPr>
        <w:t xml:space="preserve">Janssen Collaboration. </w:t>
      </w:r>
      <w:r>
        <w:rPr>
          <w:rFonts w:ascii="Arial" w:cs="Arial" w:eastAsia="Arial" w:hAnsi="Arial"/>
          <w:sz w:val="17"/>
          <w:szCs w:val="17"/>
          <w:color w:val="auto"/>
        </w:rPr>
        <w:t>On January 3, 2023, we received notice of termination from Janssen Biotech, Inc. (Janssen) of our collaboration and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dated April 2, 2020 by and between the parties (the Janssen Agreement), pursuant to which the companies had agreed to collaborate to develop iPSC-derived CAR NK- and CAR T-cell product candidates for the treatment of cancer. During 2022, Janssen exercised a commercial option for two collaboration candidates: an iPSC-derived, CAR-targeted NK cell product candidate for the treatment of B-cell lymphoma, for which the FDA allowed an IND application in December 2022; and an iPSC-derived, CAR-targeted NK cell product candidate for the treatment of multiple myeloma, for which the companies were preparing to submit an IND application to the FDA in early 2023. In addition, the companies were researching and preclinically developing two iPSC-derived, CAR-targeted T-cell programs for the treatment of solid tumors. The termination will be finalized on April 3, 2023 and, during the first quarter of 2023, we will wind down our activities with Janssen, including discontinuing development of all collaboration products. Under the terms of the Janssen Agreement, in connection with the termination, (i) all licenses and other rights granted to either party pursuant to the Janssen Agreement will terminate, subject to limited exceptions set forth in the Janssen Agreement; (ii) both parties will wind down any development, commercialization and manufacturing activities under the Janssen Agreement; (iii) neither party will have any right to continue to develop, manufacture or commercialize any collaboration candidate or collaboration product or use the other party’s materials; and (iv) neither party is restricted from independently developing, manufacturing, or commercializing any product, including any products directed to the same antigens as those of any collaboration candidate or collaboration product.</w:t>
      </w:r>
    </w:p>
    <w:p>
      <w:pPr>
        <w:spacing w:after="0" w:line="76"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i w:val="1"/>
          <w:iCs w:val="1"/>
          <w:color w:val="auto"/>
        </w:rPr>
        <w:t xml:space="preserve">Internal Programs. </w:t>
      </w:r>
      <w:r>
        <w:rPr>
          <w:rFonts w:ascii="Arial" w:cs="Arial" w:eastAsia="Arial" w:hAnsi="Arial"/>
          <w:sz w:val="16"/>
          <w:szCs w:val="16"/>
          <w:color w:val="auto"/>
        </w:rPr>
        <w:t>On January 5, 2023, we announced the completion of a strategic review of our NK cell programs and our election to focus on</w:t>
      </w:r>
      <w:r>
        <w:rPr>
          <w:rFonts w:ascii="Arial" w:cs="Arial" w:eastAsia="Arial" w:hAnsi="Arial"/>
          <w:sz w:val="16"/>
          <w:szCs w:val="16"/>
          <w:i w:val="1"/>
          <w:iCs w:val="1"/>
          <w:color w:val="auto"/>
        </w:rPr>
        <w:t xml:space="preserve"> </w:t>
      </w:r>
      <w:r>
        <w:rPr>
          <w:rFonts w:ascii="Arial" w:cs="Arial" w:eastAsia="Arial" w:hAnsi="Arial"/>
          <w:sz w:val="16"/>
          <w:szCs w:val="16"/>
          <w:color w:val="auto"/>
        </w:rPr>
        <w:t>advancing our most innovative and differentiated product candidates, which have a multiplexed-engineered cellular framework of novel synthetic controls designed to promote multi-antigen targeting, increase potency, extend functional persistence, and enable patient dosing with reduced conditioning chemotherapy. As a result of our NK cell program prioritization, our FT516, FT596, FT538, and FT536 NK cell programs are being discontinued.</w:t>
      </w:r>
    </w:p>
    <w:p>
      <w:pPr>
        <w:spacing w:after="0" w:line="49" w:lineRule="exact"/>
        <w:rPr>
          <w:sz w:val="20"/>
          <w:szCs w:val="20"/>
          <w:color w:val="auto"/>
        </w:rPr>
      </w:pPr>
    </w:p>
    <w:p>
      <w:pPr>
        <w:jc w:val="both"/>
        <w:ind w:right="240" w:firstLine="509"/>
        <w:spacing w:after="0" w:line="259" w:lineRule="auto"/>
        <w:rPr>
          <w:sz w:val="20"/>
          <w:szCs w:val="20"/>
          <w:color w:val="auto"/>
        </w:rPr>
      </w:pPr>
      <w:r>
        <w:rPr>
          <w:rFonts w:ascii="Arial" w:cs="Arial" w:eastAsia="Arial" w:hAnsi="Arial"/>
          <w:sz w:val="18"/>
          <w:szCs w:val="18"/>
          <w:i w:val="1"/>
          <w:iCs w:val="1"/>
          <w:color w:val="auto"/>
        </w:rPr>
        <w:t xml:space="preserve">Workforce Reduction. </w:t>
      </w:r>
      <w:r>
        <w:rPr>
          <w:rFonts w:ascii="Arial" w:cs="Arial" w:eastAsia="Arial" w:hAnsi="Arial"/>
          <w:sz w:val="18"/>
          <w:szCs w:val="18"/>
          <w:color w:val="auto"/>
        </w:rPr>
        <w:t>As a result of the termination of the Janssen collaboration and the NK cell program prioritization,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2023 we are reducing our workforce to approximately 220 employees. We expect that we will incur charges of approximately $12 million to $16 million for severance and other employee termination-related costs in the first quarter of 2023. The restructuring is expected to extend our cash runway into the second half of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Partnership with Ono Pharmaceutical</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Under a collaboration and option agreement with Ono Pharmaceutical Co. Ltd. (Ono) entered into in September 2018 and amended in June 2022 (the Ono Agreement), we are conducting research and preclinical development of off-the-shelf, iPSC-derived, CAR-targeted effector cells for the treatment of solid tumors. In November 2022, we announced that Ono had exercised its preclinical option to FT825/ONO-8250, a multiplexed-engineered, iPSC-derived CAR T-cell product candidate targeting HER2-expressing solid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tumors (also referred to as Candidate 2 below), and that we exercised our preclinical option to co-develop and co-commercialize FT825/ONO-8250 in the United States and Europe under a joint arrangement with Ono. As a result, we are owed an option exercise fee of $12.5 million from Ono. The companies are currently conducting IND-enabling activities for FT825/ONO-8250, and plan to submit an IND application to the FDA in 2023 to enable the initiation of a first-in-human clinical investigation. The companies are also currently conducting preclinical development of a second off-the-shelf, iPSC-derived, CAR-targeted effector cell product candidate for the treatment of solid tumors (referred to as Candidate 3 below) under the Ono Agreement.</w:t>
      </w:r>
    </w:p>
    <w:p>
      <w:pPr>
        <w:spacing w:after="0" w:line="53"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Under the Ono Agreement entered into in September 2018, we and Ono intended to research and preclinically develop two iPSC-derived CAR T-cell product candidates, one of which was designated to target an antigen expressed on certain lymphoblastic leukemias (Candidate 1) and the second of which was designated to target an antigen expressed on certain solid tumors (Candidate 2) (each a Candidate and, collectively, the Candidates). We granted to Ono, during a specified period of time, a preclinical option to obtain an exclusive license under certain intellectual property rights to develop and commercialize: (a) Candidate 1 in Asia, where we retained rights for development and commercialization in all other territories of the world; and (b) Candidate 2 in all territories of the world, where we retained rights to co-develop and co-commercialize Candidate 2 in the United States and Europe under a joint arrangement with Ono under which we are eligible to share at least 50% of the profits and losses. We maintained worldwide rights of manufacture for each Candidate. For each Candidate, the preclinical option expired upon the earliest of: (a) the achievement of the pre-defined preclinical milestone under the joint development plan; (b) termination by Ono of research and development activities for the Candidate; and (c) the date that is the later of (i) four years after the effective date, and (ii) completion of all applicable activities contemplated under the joint development plan. Ono paid us an upfront, non-refundable and non-creditable payment of $10.0 million in connection with entering into the Ono Agreement. Additionally, as consideration for our conduct of research and preclinical development under a joint development plan, Ono agreed to pay us annual research and development fees set forth in the annual budget included in the joint development plan, which fees were estimated to be $20.0 million in aggregate over the course of the joint development plan.</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In December 2020, we entered into a letter agreement with Ono pursuant to which Ono delivered to us proprietary antigen binding domains targeting an antigen expressed on certain solid tumors for incorporation into Candidate 2 and paid us a milestone fee of $10.0 million for further research and development of Candidate 2. In addition, Ono terminated all further research and development with respect to Candidate 1, and we retained all rights to research, develop and commercialize Candidate 1 throughout the world without any obligation to Ono.</w:t>
      </w:r>
    </w:p>
    <w:p>
      <w:pPr>
        <w:spacing w:after="0" w:line="63"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June 2022, we entered into an amendment with Ono to the Ono Agreement (the Ono Amendment). Pursuant to the Ono Amendment, the companies agreed to designate an additional antigen expressed on certain solid tumors for research and preclinical development, and Ono agreed to contribute to us proprietary antigen binding domains targeting such additional solid tumor antigen (Candidate 3). In addition, for both Candidate 2 and Candidate 3, the companies expanded the scope of the collaboration to include the research and development of iPSC-derived CAR NK cell product candidates (in addition to iPSC-derived CAR T-cell product candidates) targeting the designated solid tumor antigens. Similar to Candidate 2, we granted to Ono, during a specified period of time, a preclinical option to obtain an exclusive license under certain intellectual property rights, subject to payment of an option exercise fee to us by Ono, to develop and commercialize Candidate 3 in all territories of the world, where we retained rights to co-develop and co-commercialize Candidate 3 in the United States and Europe under a joint arrangement with Ono under which we are eligible to share at least 50% of the profits and losses. We maintained worldwide rights of manufacture for Candidate 3. The preclinical option expires upon the earlier of: (a) September 30, 2024, or (b) the achievement of the pre-defined preclinical milestone under the joint development plan for Candidate 3. Subject to payment to us of an extension fee by Ono, Ono may choose to defer its decision to exercise the preclinical option until no later than June 2026. Ono agreed to pay us annual research and development fees set forth in the annual budget included in the joint development plan for Candidate 3.</w:t>
      </w:r>
    </w:p>
    <w:p>
      <w:pPr>
        <w:spacing w:after="0" w:line="6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Under the terms of the Ono Agreement, for Candidate 2 and for Candidate 3 (subject to exercise by Ono of its preclinical option to Candidate 3), we are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we elect to co-develop and co-commercialize the Candidate in the United States and Europe as described above. In addition, in those territories where Ono has exclusive rights of commercialization, we are eligible to receive tiered royalties (Royalties) ranging from the mid-single digits to the low-double digits based on annual net sales by Ono for each Candidate in such territories, with such royalties subject to certain reductions.</w:t>
      </w:r>
    </w:p>
    <w:p>
      <w:pPr>
        <w:spacing w:after="0" w:line="5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Ono Agreement will terminate with respect to a Candidate if Ono does not exercise its option for a Candidate within the option period, or in its entirety if Ono does not exercise any of its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seek to protect our product candidates and our cell programming technology through a variety of methods, including seeking and maintaining patents intended to cover our products and compositions, their methods of use and processes for their manufacture, our platform technologies and any other inventions that are commercially important to the development of our business. We seek to obtain domestic and international patent protection and, in addition to filing and prosecuting patent applications in the United States, we typically file counterpart patent applications in additional countries where we believe such foreign filing is likely to be beneficial, including Europe, Japan, Canada, Australia and China. We continually assess and refine our intellectual property strategy in order to best fortify our position, and file additional patent applications when our intellectual property strategy warrants such filings. We also rely on know-how, continuing technological innovation and in-licensing opportunities to develop and maintain our proprietary position. We have entered into exclusive license agreements with various academic and research institutions to obtain the rights to use certain patents for the development and commercialization of our product candidates.</w:t>
      </w:r>
    </w:p>
    <w:p>
      <w:pPr>
        <w:spacing w:after="0" w:line="73"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 xml:space="preserve">As of February 18, 2023, our intellectual property portfolio is composed of over 450 issued patents and 150 patent applications that we license from academic and research institutions, and over 400 issued patents or pending patent applications that we own. These patents and patent applications generally provide us with the rights to develop our product candidates in the United States and worldwide. This portfolio covers compositions of programmed cellular immunotherapies, our cell programming approach for enhancing the therapeutic function of cells </w:t>
      </w:r>
      <w:r>
        <w:rPr>
          <w:rFonts w:ascii="Arial" w:cs="Arial" w:eastAsia="Arial" w:hAnsi="Arial"/>
          <w:sz w:val="17"/>
          <w:szCs w:val="17"/>
          <w:i w:val="1"/>
          <w:iCs w:val="1"/>
          <w:color w:val="auto"/>
        </w:rPr>
        <w:t>ex vivo</w:t>
      </w:r>
      <w:r>
        <w:rPr>
          <w:rFonts w:ascii="Arial" w:cs="Arial" w:eastAsia="Arial" w:hAnsi="Arial"/>
          <w:sz w:val="17"/>
          <w:szCs w:val="17"/>
          <w:color w:val="auto"/>
        </w:rPr>
        <w:t>, and our platform for industrial-scale iPSC generation and engineering. We believe that we have a significant intellectual property position and substantial know-how relating to the programming of hematopoietic and immune cells and to the derivation, genetic engineering, and differentiation of iPSCs.</w:t>
      </w:r>
    </w:p>
    <w:p>
      <w:pPr>
        <w:spacing w:after="0" w:line="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cannot be sure that patents will be granted with respect to any of our owned or licensed pending patent applications or with respect to any patent applications we may own or license in the future, nor can we be sure that any of our existing patents or any patents we may own or license in the future will be useful in protecting our technology. Please see “Risk Factors—Risks Related to Our Intellectual Property” for additional information on the risks associated with our intellectual property strategy and portfolio.</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Relating to iPSC Technology and Platform</w:t>
      </w:r>
    </w:p>
    <w:p>
      <w:pPr>
        <w:spacing w:after="0" w:line="117"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 xml:space="preserve">As of February 18, 2023, we own over 25 patent families directed to programming the fate of somatic cells </w:t>
      </w:r>
      <w:r>
        <w:rPr>
          <w:rFonts w:ascii="Arial" w:cs="Arial" w:eastAsia="Arial" w:hAnsi="Arial"/>
          <w:sz w:val="18"/>
          <w:szCs w:val="18"/>
          <w:i w:val="1"/>
          <w:iCs w:val="1"/>
          <w:color w:val="auto"/>
        </w:rPr>
        <w:t>ex vivo</w:t>
      </w:r>
      <w:r>
        <w:rPr>
          <w:rFonts w:ascii="Arial" w:cs="Arial" w:eastAsia="Arial" w:hAnsi="Arial"/>
          <w:sz w:val="18"/>
          <w:szCs w:val="18"/>
          <w:color w:val="auto"/>
        </w:rPr>
        <w:t>, including patent applications pending in the U.S. and internationally related to our platform for industrial-scale iPSC generation and applications related to differentiation of iPSCs into specialized cells with therapeutic potential. These patent applications cover our proprietary small molecule-enhanced iPSC platform, including novel reprogramming factors and methods of reprogramming to obtain iPSCs. Our intellectual property portfolio also includes gene editing compositions and methods of genetic engineering, as well as methods of directing the fate of cells to obtain homogenous cell populations in the hematopoietic lineage, including CD34</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cells, T cells and NK cells. Our proprietary intellectual property enables highly-efficient iPSC derivation, selection, engineering, and clonal expansion while maintaining genomic stability. Any U.S. patents issued from these patent applications are expected to have statutory expiration dates ranging from 2031 to 2043.</w:t>
      </w:r>
    </w:p>
    <w:p>
      <w:pPr>
        <w:spacing w:after="0" w:line="96"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Additionally, we have licensed from the Whitehead Institute for Biomedical Research a portfolio of four patent families including issued patents and pending applications broadly applicable to the reprogramming of somatic cells. Our license is exclusive in commercial fields, including for drug discovery and therapeutic purposes. This portfolio covers the generation of human iPSCs from somatic cells and, as of February 18, 2023, includes 17 issued U.S. patents (including U.S. Patents 8,071,369, 7,682,828 and 9,497,943) claiming compositions used in the reprogramming of mammalian somatic cells to a less differentiated state (including to a pluripotent state), and methods of making a cell more susceptible to reprogramming. Specifically, the portfolio includes a composition of matter patent issued in the United States covering a cellular composition comprising a somatic cell having an exogenous nucleic acid that encodes an OCT4 protein. OCT4 is the key pluripotency gene most commonly required for the generation of iPSCs. These issued patents and any U.S. patents that may issue from these pending patent applications are expected to have statutory expiration dates ranging from 2024 to 2029.</w:t>
      </w:r>
    </w:p>
    <w:p>
      <w:pPr>
        <w:spacing w:after="0" w:line="5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also have exclusive licenses from The Scripps Research Institute to a portfolio of seven patent families relating to compositions and methods for reprogramming mammalian somatic cells, which covers non-genetic and viral-free reprogramming mechanisms, including the use of various small molecule classes and compounds and the introduction of cell-penetrating proteins to reprogram mammalian somatic cells. This portfolio includes issued U.S. patents (including U.S. Patents 8,044,201 and 8,691,573) that provide composition of matter protection for a class of small molecules, including thiazovivin, that is critical for inducing the generation, and maintaining the pluripotency, of iPSCs, and compositions and methods of using the small molecule. Any issued U.S. patents and any U.S. patents that may issue from patent applications pending in this portfolio are expected to have statutory expiration dates ranging from 2026 to 2031.</w:t>
      </w:r>
    </w:p>
    <w:p>
      <w:pPr>
        <w:spacing w:after="0" w:line="8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also have exclusively licensed from the J. David Gladstone Institutes (Gladstone) intellectual property covering the generation of iPSCs using CRISPR-mediated gene activation. This approach for inducing pluripotency uses CRISPR to directly target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specific location of the genome and activate endogenous gene expression, and does not rely on established methods of cellular reprogramming that require the transduction of multiple transcription factors. Any U.S. patents that may issue from patent applications pending in the U.S. and internationally in this portfolio are expected to have a statutory expiration date in 2038.</w:t>
      </w:r>
    </w:p>
    <w:p>
      <w:pPr>
        <w:spacing w:after="0" w:line="76"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We also have licensed exclusive rights to five families of patent applications from the University of Minnesota. As of February 18, 2023 this portfolio includes over 70 issued patents or pending patent applications in the United States and foreign jurisdictions directed to compositions of NK cells, including adaptive memory NK cells and genetically-engineered NK cells, and therapeutic strategies for the treatment of cancer using these NK cells. These applications also describe methods of enhancing NK cell cytotoxicity by genetically engineering the CD16 Fc receptor in immune cells, including iPSC-derived NK cells, and describe methods of increasing NK cell tumor specificity and cytotoxicity by incorporating CARs on NK cells. Any U.S. patents that may issue from patent applications pending in this portfolio are expected to have statutory expiration dates between 2035 and 2038.</w:t>
      </w:r>
    </w:p>
    <w:p>
      <w:pPr>
        <w:spacing w:after="0" w:line="56" w:lineRule="exact"/>
        <w:rPr>
          <w:sz w:val="20"/>
          <w:szCs w:val="20"/>
          <w:color w:val="auto"/>
        </w:rPr>
      </w:pPr>
    </w:p>
    <w:p>
      <w:pPr>
        <w:ind w:right="280" w:firstLine="509"/>
        <w:spacing w:after="0" w:line="272" w:lineRule="auto"/>
        <w:rPr>
          <w:sz w:val="20"/>
          <w:szCs w:val="20"/>
          <w:color w:val="auto"/>
        </w:rPr>
      </w:pPr>
      <w:r>
        <w:rPr>
          <w:rFonts w:ascii="Arial" w:cs="Arial" w:eastAsia="Arial" w:hAnsi="Arial"/>
          <w:sz w:val="17"/>
          <w:szCs w:val="17"/>
          <w:color w:val="auto"/>
        </w:rPr>
        <w:t>We also have exclusively licensed from The Memorial Sloan-Kettering Cancer Center (MSK) intellectual property covering the production and composition of iPSC-derived T cells and their use in cellular immunotherapy, and have a license from MSK to two patent families covering novel CAR constructs as well as off-the-shelf CAR T cells, including the use of CRISPR and other innovative technologies for their production. Collectively, this portfolio covers compositions of CAR constructs, compositions of T cells and NK cells derived from pluripotent cells which are engineered with CARs, methods of engineering pluripotent cell lines, methods of deriving CAR-T cells from CAR expressing pluripotent stem cells, and methods of using CRISPR for producing off-the-shelf T-cell immunotherapies. Any U.S. patents that may issue from patent applications pending in this portfolio are expected to have statutory expiration dates between 2034 and 2038.</w:t>
      </w:r>
    </w:p>
    <w:p>
      <w:pPr>
        <w:spacing w:after="0" w:line="69" w:lineRule="exact"/>
        <w:rPr>
          <w:sz w:val="20"/>
          <w:szCs w:val="20"/>
          <w:color w:val="auto"/>
        </w:rPr>
      </w:pPr>
    </w:p>
    <w:p>
      <w:pPr>
        <w:jc w:val="both"/>
        <w:ind w:right="240" w:firstLine="599"/>
        <w:spacing w:after="0" w:line="301" w:lineRule="auto"/>
        <w:rPr>
          <w:sz w:val="20"/>
          <w:szCs w:val="20"/>
          <w:color w:val="auto"/>
        </w:rPr>
      </w:pPr>
      <w:r>
        <w:rPr>
          <w:rFonts w:ascii="Arial" w:cs="Arial" w:eastAsia="Arial" w:hAnsi="Arial"/>
          <w:sz w:val="16"/>
          <w:szCs w:val="16"/>
          <w:color w:val="auto"/>
        </w:rPr>
        <w:t xml:space="preserve">In addition, we have licensed exclusive rights from the Max Delbruck Center for Molecular Medicine (MDC) to intellectual property directed to novel humanized antibody fragments, antigen-binding domains and CAR constructs that </w:t>
      </w:r>
      <w:r>
        <w:rPr>
          <w:rFonts w:ascii="Arial" w:cs="Arial" w:eastAsia="Arial" w:hAnsi="Arial"/>
          <w:sz w:val="16"/>
          <w:szCs w:val="16"/>
          <w:color w:val="222222"/>
        </w:rPr>
        <w:t>uniquely target and specifically bind B-cell Maturation Antigen</w:t>
      </w:r>
      <w:r>
        <w:rPr>
          <w:rFonts w:ascii="Arial" w:cs="Arial" w:eastAsia="Arial" w:hAnsi="Arial"/>
          <w:sz w:val="16"/>
          <w:szCs w:val="16"/>
          <w:color w:val="auto"/>
        </w:rPr>
        <w:t xml:space="preserve"> </w:t>
      </w:r>
      <w:r>
        <w:rPr>
          <w:rFonts w:ascii="Arial" w:cs="Arial" w:eastAsia="Arial" w:hAnsi="Arial"/>
          <w:sz w:val="16"/>
          <w:szCs w:val="16"/>
          <w:color w:val="222222"/>
        </w:rPr>
        <w:t xml:space="preserve">(BCMA). Under the license agreement, we are granted an exclusive license for use in allogeneic engineered pluripotent stem cells. Any patents issuing from </w:t>
      </w:r>
      <w:r>
        <w:rPr>
          <w:rFonts w:ascii="Arial" w:cs="Arial" w:eastAsia="Arial" w:hAnsi="Arial"/>
          <w:sz w:val="16"/>
          <w:szCs w:val="16"/>
          <w:color w:val="000000"/>
        </w:rPr>
        <w:t>patent applications pending in the U.S. and internationally in this portfolio are expected to have statutory expiration dates between 2033 and 2037.</w:t>
      </w:r>
    </w:p>
    <w:p>
      <w:pPr>
        <w:spacing w:after="0" w:line="4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have also licensed exclusive rights from the Dana-Farber Cancer Institute to certain intellectual property covering novel antibody fragments that uniquely and specifically bind the alpha-3 domain of MICA/B. We are granted exclusive worldwide rights for use in iPSC-derived cellular therapeutics for the treatment of human disease under the license agreement. Any patents that may issue from patent applications pending in this portfolio are expected to have statutory expiration dates in 2038.</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Relating to CRISPR Engineering</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 xml:space="preserve">In August 2019, we entered into a license agreement with Inscripta, Inc. Under the license agreement, we obtained a royalty-free, irrevocable license to a patent portfolio covering the composition, production and use of MAD7, a novel gene-editing CRISPR endonuclease from the </w:t>
      </w:r>
      <w:r>
        <w:rPr>
          <w:rFonts w:ascii="Arial" w:cs="Arial" w:eastAsia="Arial" w:hAnsi="Arial"/>
          <w:sz w:val="16"/>
          <w:szCs w:val="16"/>
          <w:i w:val="1"/>
          <w:iCs w:val="1"/>
          <w:color w:val="auto"/>
        </w:rPr>
        <w:t>Eubacterium rectale</w:t>
      </w:r>
      <w:r>
        <w:rPr>
          <w:rFonts w:ascii="Arial" w:cs="Arial" w:eastAsia="Arial" w:hAnsi="Arial"/>
          <w:sz w:val="16"/>
          <w:szCs w:val="16"/>
          <w:color w:val="auto"/>
        </w:rPr>
        <w:t xml:space="preserve"> genome. The intellectual property includes issued patents and pending applications broadly applicable to MAD7 and the editing of mammalian cells. Our license covers the making and using of MAD7 for editing iPSCs, making master engineered iPSC lines and using master engineered iPSC lines to manufacture human therapeutic products. We expect U.S. patents related to this work to have statutory expiration dates starting in 2037.</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Relating to the Programming of Hematopoietic Cells</w:t>
      </w:r>
    </w:p>
    <w:p>
      <w:pPr>
        <w:spacing w:after="0" w:line="117"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 xml:space="preserve">As of February 18, 2023, we own 18 families of U.S. and foreign patents and pending patent applications covering our cell programming technology and compositions of programmed cellular immunotherapies. This portfolio includes over 150 issued patents or pending patent applications relating to methods of programming the biological properties and therapeutic function of cells </w:t>
      </w:r>
      <w:r>
        <w:rPr>
          <w:rFonts w:ascii="Arial" w:cs="Arial" w:eastAsia="Arial" w:hAnsi="Arial"/>
          <w:sz w:val="17"/>
          <w:szCs w:val="17"/>
          <w:i w:val="1"/>
          <w:iCs w:val="1"/>
          <w:color w:val="auto"/>
        </w:rPr>
        <w:t>ex vivo</w:t>
      </w:r>
      <w:r>
        <w:rPr>
          <w:rFonts w:ascii="Arial" w:cs="Arial" w:eastAsia="Arial" w:hAnsi="Arial"/>
          <w:sz w:val="17"/>
          <w:szCs w:val="17"/>
          <w:color w:val="auto"/>
        </w:rPr>
        <w:t>, and the resulting therapeutic compositions of hematopoietic and immune cells. Patents and patent applications in this portfolio include claims covering (i) therapeutic compositions of hematopoietic and immune cells, including T cells, NK cells, and CD34</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cells, that have been programmed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with one or more agents to optimize their therapeutic function for application in oncology and immune disorders and (ii) methods of programming cells including by the activation or inhibition of therapeutically-relevant genes and cell-surface proteins, such as those involved in the homing, proliferation and survival of hematopoietic cells or those involved in the persistence, proliferation and reactivity of immune cells. Any U.S. patents within this portfolio that have issued or may yet issue from pending patent applications will have statutory expiration dates between 2030 and 2043.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Technology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University of Minnesota</w:t>
      </w:r>
    </w:p>
    <w:p>
      <w:pPr>
        <w:spacing w:after="0" w:line="117"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In December 2016, we entered into a license agreement with the Regents of the University of Minnesota for rights relating to compositions and methods relating to NK cells, to modifications of cytotoxic receptors naturally expressed on NK cells including the CD16 Fc receptor, and to CARs for expression on NK cells. Under our agreement with the University of Minnesota, we acquired 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exclusive royalty-bearing, sublicensable, worldwide license to make, use and sell licensed products in all fields for commercial purposes. The licensed patent rights are described in more detail above under “Intellectual Property Relating to the Programming of Hematopoietic Cells.” The University of Minnesota retains the right to practice the patent rights for research, teaching and educational purposes, including in corporate-sponsored research subject to certain limitations during the initial three years of the license agreement. The University of Minnesota also retains the right to license other academic and non-profit research institutes to practice the patent rights for research, teaching and educational purposes, but not for corporate-sponsored research. Our license is also subject to pre-existing rights of the U.S. government.</w:t>
      </w:r>
    </w:p>
    <w:p>
      <w:pPr>
        <w:spacing w:after="0" w:line="70"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Under the terms of the license agreement, we are required to pay the University of Minnesota an annual license maintenance fee during the term of the agreement, and are also required to make payments of up to $4.6 million for development, regulatory and commercial milestones achieved with respect to each of the first three licensed products. If commercial sales of a licensed product commence, we will also be required to pay royalties at percentage rates in the low-single digits on net sales of licensed products. Our royalty payments are subject to reduction for any third-party payments required to be made until a minimum royalty percentage has been reached. In the event that we sublicense the patent rights, the University of Minnesota is also entitled to receive a percentage of the sublicensing income received by us.</w:t>
      </w:r>
    </w:p>
    <w:p>
      <w:pPr>
        <w:spacing w:after="0" w:line="7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Under the license agreement with the University of Minnesota, we are obligated to use commercially reasonable efforts to develop and make commercially available licensed products. In particular, we are required to conduct activities toward specific development milestones of licensed products on an annual basis.</w:t>
      </w:r>
    </w:p>
    <w:p>
      <w:pPr>
        <w:spacing w:after="0" w:line="76" w:lineRule="exact"/>
        <w:rPr>
          <w:sz w:val="20"/>
          <w:szCs w:val="20"/>
          <w:color w:val="auto"/>
        </w:rPr>
      </w:pPr>
    </w:p>
    <w:p>
      <w:pPr>
        <w:ind w:right="400" w:firstLine="509"/>
        <w:spacing w:after="0" w:line="257" w:lineRule="auto"/>
        <w:rPr>
          <w:sz w:val="20"/>
          <w:szCs w:val="20"/>
          <w:color w:val="auto"/>
        </w:rPr>
      </w:pPr>
      <w:r>
        <w:rPr>
          <w:rFonts w:ascii="Arial" w:cs="Arial" w:eastAsia="Arial" w:hAnsi="Arial"/>
          <w:sz w:val="18"/>
          <w:szCs w:val="18"/>
          <w:color w:val="auto"/>
        </w:rPr>
        <w:t>The agreement will continue until the abandonment of all patent rights or expiration of the last to expire licensed patent. The University of Minnesota may terminate the agreement if we default in the performance of any of our obligations and fail to cure the default within a specified grace period. The University of Minnesota may also terminate the agreement if we cease to carry out our business or become bankrupt or insolvent. We may terminate the agreement for any reason upon prior written notice to the University of Minnesota and payment of all amounts due to the University of Minnesota through the date of termination.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Memorial Sloan Kettering Cancer Center</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May 2018, we entered into an amended and restated license agreement with Memorial Sloan Kettering Cancer Center. The agreement amends and restates the exclusive license agreement we entered into with Memorial Sloan Kettering Cancer Center in August 2016, under which we obtained rights relating to compositions and methods covering iPSC-derived cellular immunotherapy, including T cells and NK cells derived from iPSCs engineered with CARs. Pursuant to the amended and restated license agreement, we continue to hold exclusive rights to the foregoing patents and patent applications, and obtained additional licenses to certain patents and patent applications relating to compositions and methods covering novel CAR constructs as well as off-the-shelf CAR T cells, including the use of CRISPR and other innovative technologies for their production.</w:t>
      </w:r>
    </w:p>
    <w:p>
      <w:pPr>
        <w:spacing w:after="0" w:line="5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Under our amended and restated agreement with Memorial Sloan Kettering Cancer Center, we have royalty-bearing worldwide licenses to make, use and sell licensed products in all fields for human therapeutic uses. The licensed patent rights are described in more detail above under “Intellectual Property Relating to iPSC Technology.” For those patent families where our rights are exclusive, Memorial Sloan Kettering Cancer Center retains the right to practice the patent rights for research, teaching and non-clinical research purposes, and to license other academic and non-profit research institutes to practice the patent rights for research, teaching and non-clinical research purposes. Our licenses are also subject to pre-existing rights of the U.S. government.</w:t>
      </w:r>
    </w:p>
    <w:p>
      <w:pPr>
        <w:spacing w:after="0" w:line="8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Under the terms of the amended and restated agreement, we are required to pay Memorial Sloan Kettering Cancer Center an annual license maintenance fee during the term of the agreement, and are also required to make payments of up to $12.5 million for development, regulatory and commercial milestones achieved with respect to each licensed products. If commercial sales of a licensed product commence, we will also be required to pay royalties at percentage rates up to the high-single digits on net sales of licensed products. Our royalty payments are subject to reduction for any third-party payments required to be made until a minimum royalty percentage has been reached. In the event that we sublicense the patent rights, Memorial Sloan Kettering Cancer Center is also entitled to receive a percentage of the sublicensing income received by us. Additionally, in the event a licensed product achieves a specified clinical milestone, Memorial Sloan Kettering Cancer Center is then eligible to receive additional milestone payments, where the amount of such payments owed to Memorial Sloan Kettering Cancer Center are contingent upon certain increases in the price of our common stock following the date of achievement of such clinical milestone.</w:t>
      </w:r>
    </w:p>
    <w:p>
      <w:pPr>
        <w:spacing w:after="0" w:line="73"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Under the amended and restated agreement with Memorial Sloan Kettering Cancer Center, we are obligated to use commercially reasonable efforts to develop and make commercially available licensed products. In particular, we are required to conduct activities and commit a minimum amount of funding toward specific development milestones of licensed products on an annual basis.</w:t>
      </w:r>
    </w:p>
    <w:p>
      <w:pPr>
        <w:spacing w:after="0" w:line="76"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agreement will continue until the abandonment of all patent rights or expiration of the last to expire licensed patent. Memorial Sloan Kettering Cancer Center may terminate the agreement if we default in the performance of any of our obligations and fail to cure the default within a specified grace period, if we cease to carry out our business or become bankrupt or insolvent, or if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institute a proceeding to challenge the patent rights. We may terminate the agreement for any reason upon prior written notice to Memorial Sloan Kettering Cancer Center.</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Max Delbruck Center</w:t>
      </w:r>
    </w:p>
    <w:p>
      <w:pPr>
        <w:spacing w:after="0" w:line="11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 xml:space="preserve">In December 2018, we entered into a license agreement with Max Delbruck Center for Molecular Medicine (MDC) for rights relating to novel humanized antibody fragments, antigen-binding domains and CAR constructs that </w:t>
      </w:r>
      <w:r>
        <w:rPr>
          <w:rFonts w:ascii="Arial" w:cs="Arial" w:eastAsia="Arial" w:hAnsi="Arial"/>
          <w:sz w:val="17"/>
          <w:szCs w:val="17"/>
          <w:color w:val="222222"/>
        </w:rPr>
        <w:t>uniquely target and specifically bind B-cell Maturation Antigen</w:t>
      </w:r>
      <w:r>
        <w:rPr>
          <w:rFonts w:ascii="Arial" w:cs="Arial" w:eastAsia="Arial" w:hAnsi="Arial"/>
          <w:sz w:val="17"/>
          <w:szCs w:val="17"/>
          <w:color w:val="auto"/>
        </w:rPr>
        <w:t xml:space="preserve"> </w:t>
      </w:r>
      <w:r>
        <w:rPr>
          <w:rFonts w:ascii="Arial" w:cs="Arial" w:eastAsia="Arial" w:hAnsi="Arial"/>
          <w:sz w:val="17"/>
          <w:szCs w:val="17"/>
          <w:color w:val="222222"/>
        </w:rPr>
        <w:t xml:space="preserve">(BCMA). Under our license agreement with MDC, we acquired </w:t>
      </w:r>
      <w:r>
        <w:rPr>
          <w:rFonts w:ascii="Arial" w:cs="Arial" w:eastAsia="Arial" w:hAnsi="Arial"/>
          <w:sz w:val="17"/>
          <w:szCs w:val="17"/>
          <w:color w:val="000000"/>
        </w:rPr>
        <w:t>an exclusive royalty-bearing, sublicensable, worldwide license to make, use and sell</w:t>
      </w:r>
      <w:r>
        <w:rPr>
          <w:rFonts w:ascii="Arial" w:cs="Arial" w:eastAsia="Arial" w:hAnsi="Arial"/>
          <w:sz w:val="17"/>
          <w:szCs w:val="17"/>
          <w:color w:val="222222"/>
        </w:rPr>
        <w:t xml:space="preserve"> </w:t>
      </w:r>
      <w:r>
        <w:rPr>
          <w:rFonts w:ascii="Arial" w:cs="Arial" w:eastAsia="Arial" w:hAnsi="Arial"/>
          <w:sz w:val="17"/>
          <w:szCs w:val="17"/>
          <w:color w:val="000000"/>
        </w:rPr>
        <w:t xml:space="preserve">products covered by the licensed patent rights, and to perform licensed processes, in each case, using cells derived from allogeneic engineered stem cells. </w:t>
      </w:r>
      <w:r>
        <w:rPr>
          <w:rFonts w:ascii="Arial" w:cs="Arial" w:eastAsia="Arial" w:hAnsi="Arial"/>
          <w:sz w:val="17"/>
          <w:szCs w:val="17"/>
          <w:color w:val="222222"/>
        </w:rPr>
        <w:t xml:space="preserve">MDC </w:t>
      </w:r>
      <w:r>
        <w:rPr>
          <w:rFonts w:ascii="Arial" w:cs="Arial" w:eastAsia="Arial" w:hAnsi="Arial"/>
          <w:sz w:val="17"/>
          <w:szCs w:val="17"/>
          <w:color w:val="000000"/>
        </w:rPr>
        <w:t>retains a non-exclusive right to use the technology for its own internal research, teaching, and educational purposes.</w:t>
      </w:r>
    </w:p>
    <w:p>
      <w:pPr>
        <w:spacing w:after="0" w:line="68"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Under the terms of the license agreement, we are required to pay to MDC an annual license maintenance fee during the term of the agreement. We also are required to make product development, regulatory and sales milestones payments to MDC of up to $11 million per product. If commercial sales of a licensed product commence, we will pay MDC royalties at percentage rates ranging in the low single digits on net sales of licensed products in countries where such product is protected by patent rights. Our obligation to pay royalties continues on a country-by-country basis until the expiration of all licensed patent rights covering licensed products in such country, and our royalty payments will be reduced by other payments we are required to make to third parties in certain circumstances until a minimum royalty percentage has been reached. In the event that we sublicense the patent rights, MDC is also entitled to receive a percentage of the sublicensing income received by us.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the license with MDC, we are obligated to use commercially reasonable efforts to develop and obtain approval of a licensed product.</w:t>
      </w:r>
    </w:p>
    <w:p>
      <w:pPr>
        <w:spacing w:after="0" w:line="129" w:lineRule="exact"/>
        <w:rPr>
          <w:sz w:val="20"/>
          <w:szCs w:val="20"/>
          <w:color w:val="auto"/>
        </w:rPr>
      </w:pPr>
    </w:p>
    <w:p>
      <w:pPr>
        <w:jc w:val="both"/>
        <w:ind w:right="440" w:firstLine="509"/>
        <w:spacing w:after="0" w:line="263" w:lineRule="auto"/>
        <w:rPr>
          <w:sz w:val="20"/>
          <w:szCs w:val="20"/>
          <w:color w:val="auto"/>
        </w:rPr>
      </w:pPr>
      <w:r>
        <w:rPr>
          <w:rFonts w:ascii="Arial" w:cs="Arial" w:eastAsia="Arial" w:hAnsi="Arial"/>
          <w:sz w:val="18"/>
          <w:szCs w:val="18"/>
          <w:color w:val="auto"/>
        </w:rPr>
        <w:t>The agreement will expire concurrently with patent rights on a country-by-country basis. We may terminate the agreement by providing prior written notice to MDC, and MDC has the right to terminate the agreement if we materially breach the agreement and fail to cure such breach within a specified grace period.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Whitehead Institute for Biomedical Research</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February 2009, we entered into a license agreement with the Whitehead Institute for Biomedical Research, as amended in October 2009 and September 2010, for rights relating to compositions and methods for reprogramming somatic cells to a less differentiated or pluripotent state. Under our agreement with the Whitehead Institute, we acquired an exclusive royalty-bearing, sublicensable, worldwide license to make, use and sell licensed products in all fields for commercial purposes, excluding the sale or distribution of reagents for basic research use. The licensed patent rights are described in more detail above under “Intellectual Property Relating to iPSC Technology.” The Whitehead Institute retains the right to practice the patent rights for research, teaching and educational purposes, including in corporate-sponsored research under limited circumstances and in some cases only after obtaining our consent. The Whitehead Institute also retains the right to license other academic and non-profit research institutes to practice the patent rights for research, teaching and educational purposes, but not for corporate-sponsored research. Our license is also subject to pre-existing rights of the U.S. government.</w:t>
      </w:r>
    </w:p>
    <w:p>
      <w:pPr>
        <w:spacing w:after="0" w:line="5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Under the terms of the license agreement, we are required to pay the Whitehead Institute an annual license maintenance fee during the term of the agreement, and are also required to make payments of up to $2.3 million for development and regulatory milestones achieved with respect to licensed products. If commercial sales of a licensed product commence, we will also be required to pay royalties at percentage rates in the low-single digits on net sales of licensed products. Our royalty payments are subject to reduction for any third-party payments required to be made until a minimum royalty percentage has been reached. In the event that we sublicense the patent rights, the Whitehead Institute is also entitled to receive a percentage of the sublicensing income received by us.</w:t>
      </w:r>
    </w:p>
    <w:p>
      <w:pPr>
        <w:spacing w:after="0" w:line="84"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auto"/>
        </w:rPr>
        <w:t>Under the license agreement with the Whitehead Institute, we are obligated to use commercially reasonable efforts to develop and commercialize licensed products, and to make licensed products or processes reasonably available to the public. In particular, we are required to commit a minimum amount of funding toward the development of a licensed product on an annual basis or conduct activities toward specific development milestones.</w:t>
      </w:r>
    </w:p>
    <w:p>
      <w:pPr>
        <w:spacing w:after="0" w:line="4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agreement will continue until the abandonment of all patent rights or expiration of the last to expire licensed patent. The Whitehead Institute may terminate the agreement if we default in the performance of any of our obligations and fail to cure the default within a specified grace period, or if we institute a proceeding to challenge the patent rights. The Whitehead Institute may also terminate the agreement if we cease to carry out our business or become bankrupt or insolvent. We may terminate the agreement for any reason upon prior written notice to the Whitehead Institute and payment of all amounts due to the Whitehead Institute through the date of termination.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Scripps Research Institute</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entered into various license agreements with The Scripps Research Institute (TSRI) for rights relating to compositions and methods for reprogramming somatic cells, including the use of various small molecule classes and compounds in the reprogramming and maintenance of iPSCs. Under our agreements with TSRI (the TSRI License Agreements), we acquired exclusive royalty-bearing, sublicensable, worldwide licenses to make, use and sell products covered by the licensed patent rights, and to perform licensed processes, in each case, in all fields. The licensed patent rights are described in more detail above under “Intellectual Property Relating to iPSC Technology.” TSRI retains a non-exclusive right to practice and use the patent rights for non-commercial educational and research purposes, and to license other academic and non-profit research institutions to practice the patent rights for internal basic research and education purposes. Under certain of our TSRI License Agreements, other third parties maintain a right to practice the patent rights for their internal use only. Our license is also subject to pre-existing rights of the U.S. government.</w:t>
      </w:r>
    </w:p>
    <w:p>
      <w:pPr>
        <w:spacing w:after="0" w:line="70"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Under the terms of the TSRI License Agreements, we are required to pay to TSRI annual minimum fees during the term of each agreement. Additionally, upon the achievement of specific regulatory and commercial milestones, we are required to make payments to TSRI of up to approximately $1.8 million under each of the TSRI License Agreements. We will also be required to pay TSRI royalties at percentage rates ranging in the low- to mid-single digits on net sales of licensed products. In the event that we sublicense the patent rights, TSRI is also entitled to receive a percentage of the sublicensing income received by us.</w:t>
      </w:r>
    </w:p>
    <w:p>
      <w:pPr>
        <w:spacing w:after="0" w:line="8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Under the TSRI License Agreements, we are obligated to use commercially reasonable efforts to meet the development benchmarks set out in development plans under each of the TSRI License Agreements, or otherwise expend a minimum specified amount per year for product development. TSRI has the right to terminate any TSRI License Agreement if we fail to perform our obligations under the applicable agreement, including failure to meet any development benchmark or to use commercially reasonable efforts and due diligence to develop a licensed product, or if we otherwise breach the agreement, challenge the licensed patent rights, are convicted of a felony involving the development or commercialization of a licensed product or process, or become insolvent. We may terminate any of our TSRI License Agreements by providing ninety days’ written notice to TSRI. Each TSRI License Agreement otherwise terminates upon the termination of royalty obligations under such agreement.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Dana-Farber Cancer Institute</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April 2020, we entered into a license agreement with the Dana-Farber Cancer Institute (DFCI) for rights relating to novel antibody fragments that uniquely and specifically bind the alpha-3 domain of MICA/B. Under our license agreement with DFCI, we acquired an exclusive royalty-bearing, sublicensable, worldwide license to make, use and sell products covered by the licensed patent rights in the field of iPSC-derived cellular therapeutics for the treatment of human disease, and a non-exclusive royalty-bearing, sublicensable, worldwide license to make, use and sell products covered by the licensed patent rights in the field of cellular therapeutics for the treatment of human disease. DFCI retains the right to practice and to license to other academic, government and non-profit institutes to practice the patent rights for research, teaching and education purposes, as well as to license third parties to practice the patents rights to make or sell research reagents or other research tools solely for use in research. Our licenses are also subject to pre-existing rights of the U.S. government.</w:t>
      </w:r>
    </w:p>
    <w:p>
      <w:pPr>
        <w:spacing w:after="0" w:line="84"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Under the terms of the license agreement, we are required to make minimum annual payments to DFCI throughout the term of the agreement. We also are required to make development, commercialization and sales milestones payments to DFCI of up to $25 million per licensed product. If commercial sales of a licensed product commence, we will pay DFCI royalties at percentage rates ranging in the low single digits on net sales of licensed products in countries where such product is protected by licensed patent rights. Our obligation to pay royalties continues on a country-by-country basis until the expiration of all licensed patent rights covering licensed products in such country, and our royalty payments will be reduced by other payments we are required to make to third parties in certain circumstances until a minimum royalty percentage has been reached. In the event that we sublicense the patent rights, DFCI is also entitled to receive a percentage of the sublicensing income received by us.</w:t>
      </w:r>
    </w:p>
    <w:p>
      <w:pPr>
        <w:spacing w:after="0" w:line="69"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Under our agreement with DFCI, we are obligated to use reasonable efforts to develop and bring one or more licensed products to the marketplace through a program of development, production and distribution, including by meeting certain diligence benchmarks with respect to exclusively licensed products.</w:t>
      </w:r>
    </w:p>
    <w:p>
      <w:pPr>
        <w:spacing w:after="0" w:line="76"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 agreement will continue until the expiration of the last to expire licensed patent. DFCI may terminate the agreement for cause, including if we default in the performance of any of our obligations and fail to cure the default within a specified grace period, if an officer of ours (or of an affiliate or sublicensee) is convicted of a felony related to the manufacture, use, sale or important or a licensed product, if we cease to carry out our business or become bankrupt or insolvent, and if we institute a proceeding to challenge the patent rights. DFCI may also terminate our exclusive license if we fail to materially comply with our diligence obligations. We may terminate the agreement for any reason in its entirety or on a product-by-product or country-by-country basis upon prior written notice to DFCI and payment of all amounts due to DFCI through the date of termination.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Off-the-shelf, Multiplexed-engineered, iPSC-derived Cellular Immunotherapies</w:t>
      </w:r>
    </w:p>
    <w:p>
      <w:pPr>
        <w:spacing w:after="0" w:line="117"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manufacture of our off-the-shelf, multiplexed-engineered, iPSC-derived cellular immunotherapy product candidates involves a three-stage process:</w:t>
      </w:r>
    </w:p>
    <w:p>
      <w:pPr>
        <w:spacing w:after="0" w:line="62" w:lineRule="exact"/>
        <w:rPr>
          <w:sz w:val="20"/>
          <w:szCs w:val="20"/>
          <w:color w:val="auto"/>
        </w:rPr>
      </w:pPr>
    </w:p>
    <w:p>
      <w:pPr>
        <w:ind w:left="1020" w:right="100" w:hanging="503"/>
        <w:spacing w:after="0" w:line="275"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first stage is intended to generate a clonal master iPSC line and generally consists of the following steps: (i) obtain appropriately-consented healthy human donor cells, such as fibroblasts or hematopoietic cells, and conduct transfusion transmissible disease testing on the donor cells; (ii) induction of pluripotency in the donor cells using a proprietary transgene integration-free and footprint-free method of reprogramming; (iii) genetic engineering of iPSCs; and (iv) isolation and selection of a single iPSC, followed by clonal expansion of the single iPSC to produce a clonal master iPSC line for cell product manufacture.</w:t>
      </w:r>
    </w:p>
    <w:p>
      <w:pPr>
        <w:spacing w:after="0" w:line="68" w:lineRule="exact"/>
        <w:rPr>
          <w:rFonts w:ascii="Arial" w:cs="Arial" w:eastAsia="Arial" w:hAnsi="Arial"/>
          <w:sz w:val="17"/>
          <w:szCs w:val="17"/>
          <w:color w:val="auto"/>
        </w:rPr>
      </w:pPr>
    </w:p>
    <w:p>
      <w:pPr>
        <w:ind w:left="1020" w:right="120" w:hanging="503"/>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second stage is intended to derive the cell product population of interest and generally consists of the following steps: (i) expansion and differentiation of the clonal master iPSC line to produce CD34</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definitive hematopoietic progenitor cells; and (ii) further expansion and differentiation of these progenitor cells to produce the cell product population of interest.</w:t>
      </w:r>
    </w:p>
    <w:p>
      <w:pPr>
        <w:spacing w:after="0" w:line="95" w:lineRule="exact"/>
        <w:rPr>
          <w:rFonts w:ascii="Arial" w:cs="Arial" w:eastAsia="Arial" w:hAnsi="Arial"/>
          <w:sz w:val="18"/>
          <w:szCs w:val="18"/>
          <w:color w:val="auto"/>
        </w:rPr>
      </w:pPr>
    </w:p>
    <w:p>
      <w:pPr>
        <w:ind w:left="1020" w:right="100" w:hanging="503"/>
        <w:spacing w:after="0" w:line="28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third stage is intended to derive the final cell product and generally consists of the following steps: (i) washing the cell product population; (ii) formulating the cell product population in an infusion media for intravenous administration of the final cell product; and (iii) cryopreserving individual aliquots of the final cell product and storing these aliquots in single-dose infusion bags.</w:t>
      </w:r>
    </w:p>
    <w:p>
      <w:pPr>
        <w:spacing w:after="0" w:line="5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As part of our manufacturing process, we endeavor to utilize current Good Manufacturing Process (cGMP) grade materials and reagents, if commercially available; however, certain critical materials and reagents are currently qualified for research use only. Additionally, we obtain key components required for the manufacture of our iPSC-derived cell product candidates from third-party manufacturers and suppliers, which include, in some instances, sole source manufacturers and suppliers. We do not currently have long-term commitments or supply agreements in place to obtain certain key components used in the manufacture of our iPSC-derived cell product candidates.</w:t>
      </w:r>
    </w:p>
    <w:p>
      <w:pPr>
        <w:spacing w:after="0" w:line="8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currently manufacture our iPSC-derived cell product candidates for use in research, preclinical development, and clinical development. We operate two cGMP-compliant manufacturing facilities for the clinical production of our iPSC-derived cell product candidates. Both of our manufacturing facilities are located in San Diego, California, and are custom designed for the production of off-the-shelf cell product candidates using clonal master iPSC lines as the starting cell source. Each of these state-of-the-art facilities have been commissioned and qualified, and we have been issued drug manufacturing licenses for each facility by the State of California, Department of Health Services, Food and Drug Branch. With the extension of manufacturing to our new corporate headquarters in 2022, we are positioned to support manufacturing and production of our product candidates for all phases of clinical development as well as initial commercialization.</w:t>
      </w:r>
    </w:p>
    <w:p>
      <w:pPr>
        <w:spacing w:after="0" w:line="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also contract with third parties, including medical center cell therapy facilities and contract manufacturing organizations (CMOs), for the conduct of some of the activities required to manufacture our iPSC-derived cell product candidates for use in clinical investigation. We expect that we will continue to contract with third parties, including medical center cell therapy facilities and CMOs, for the conduct of certain of the activities required to manufacture our iPSC-derived cell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Market Access, &amp; Sales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currently intend to commercialize any products that we may successfully develop. We currently have no experience in marketing, market access or selling therapeutic products. We may need to further evaluate and generate evidence beyond what is generated in our clinical programs that would satisfy the needs of payers and healthcare technology assessment (HTA) bodies. To market any of our products independently would also require us to develop a sales force with technical expertise along with establishing commercial infrastructure and capabilities. Our commercial strategy for marketing our product candidates also may include the use of strategic partners, distributors, a contract sales force or the establishment of our own commercial infrastructure. We plan to further evaluate these alternatives as we approach approval for the first of our product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the United States, the FDA regulates biological products under the Federal Food, Drug, and Cosmetic Act (the FDCA) and the Public Health Service Act (the PHS Act) and related regulations. Biological products are also subject to other federal, state, local, and foreign statutes and regulations. The FDA and comparable regulatory agencies in state and local jurisdictions and in foreign countries impose substantial requirements upon the clinical development, manufacture and marketing of biological products. These agencies and other federal, state, local, and foreign entities regulate research and development activities and the testing, manufacture, quality control, safety, effectiveness, packaging, labeling, storage, distribution, record keeping, reporting, approval or licensing, advertising and promotion, and import and export of our products. Failure to comply with the applicable U.S. regulatory requirements at any time during the product development process or after approval may subject an applicant to administrative or judicial sanctions. FDA sanctions include refusal to approve pending applications, withdrawal of an approval or suspension or revocation of a license, clinical hold, warning or untitled letters, voluntary or mandatory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In addition, government regulation may delay or prevent marketing of product candidates for a considerable period of time and impose costly procedures upon our activities.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biological products may be marketed in the United States generally involves the following:</w:t>
      </w:r>
    </w:p>
    <w:p>
      <w:pPr>
        <w:spacing w:after="0" w:line="117" w:lineRule="exact"/>
        <w:rPr>
          <w:sz w:val="20"/>
          <w:szCs w:val="20"/>
          <w:color w:val="auto"/>
        </w:rPr>
      </w:pPr>
    </w:p>
    <w:p>
      <w:pPr>
        <w:ind w:left="1020" w:right="3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nonclinical laboratory and animal tests according to good laboratory practices (GLPs) and applicable requirements for the humane use of laboratory animals or other applicable regulations;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institutional review board, or IRB, or ethics committee at each clinical trial site before each trial may be initiated;</w:t>
      </w:r>
    </w:p>
    <w:p>
      <w:pPr>
        <w:spacing w:after="0" w:line="62" w:lineRule="exact"/>
        <w:rPr>
          <w:rFonts w:ascii="Arial" w:cs="Arial" w:eastAsia="Arial" w:hAnsi="Arial"/>
          <w:sz w:val="18"/>
          <w:szCs w:val="18"/>
          <w:color w:val="auto"/>
        </w:rPr>
      </w:pPr>
    </w:p>
    <w:p>
      <w:pPr>
        <w:jc w:val="both"/>
        <w:ind w:left="1020" w:right="10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(GCPs) and any additional requirements for the protection of human research subjects and their health information, to establish the safety and efficacy of the proposed biological product for its intended use or uses;</w:t>
      </w:r>
    </w:p>
    <w:p>
      <w:pPr>
        <w:spacing w:after="0" w:line="75"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(BLA) for marketing approval that includes substantive evidence of safety, purity, and potency from results of nonclinical testing and clinical trials;</w:t>
      </w:r>
    </w:p>
    <w:p>
      <w:pPr>
        <w:spacing w:after="0" w:line="62" w:lineRule="exact"/>
        <w:rPr>
          <w:rFonts w:ascii="Arial" w:cs="Arial" w:eastAsia="Arial" w:hAnsi="Arial"/>
          <w:sz w:val="18"/>
          <w:szCs w:val="18"/>
          <w:color w:val="auto"/>
        </w:rPr>
      </w:pPr>
    </w:p>
    <w:p>
      <w:pPr>
        <w:ind w:left="1020" w:right="220" w:hanging="503"/>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manufacturing facilities where the product is produced to assess compliance with the FDA’s cGMPs to assure that the facilities, methods and controls are adequate, and, if applicable, current good tissue practices (cGTPs) for the use of human cellular and tissue products to prevent the introduction, transmission or spread of communicable diseases;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FDA audit of the nonclinical study sites and clinical trial sites that generated the data in support of the BLA;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if applicable;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fee waiver applies);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review and approval, or licensure, of the BLA which must occur before a biological product can be marketed or sold.</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Biological Products and Drug Development Process</w:t>
      </w:r>
    </w:p>
    <w:p>
      <w:pPr>
        <w:spacing w:after="0" w:line="117"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Before testing any biological product candidate in humans, nonclinical tests, including laboratory evaluations and animal studies to assess the potential safety and activity of the product candidate, are conducted. The conduct of the nonclinical tests must comply with federal regulations and requirements including GLPs.</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Prior to commencing the first clinical trial, the trial sponsor must submit the results of the nonclinical tests, together with manufacturing information, analytical data, any available clinical data or literature and a proposed clinical protocol, to the FDA as part of an initial IND application. Some nonclinical testing may continue even after the IND application is submitted. The IND application automatically becomes effective 30 days after receipt by the FDA unless the FDA, within the 30-day time period, raises concerns or questions about the conduct of the clinical trial and places the trial on a clinical hold. In such case, the sponsor of the IND application must resolve any outstanding concerns with the FDA before the clinical trial may begin. The FDA also may impose a clinical hold on ongoing clinical trials due to safety concerns or non-compliance. If a clinical hold is imposed, a trial may not recommence without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FDA authorization and then only under terms authorized by the FDA. A clinical hold may either be a full clinical hold or a partial clinical hold that would limit a trial, for example, to certain doses or for a certain length of time or to a certain number of subjects. Further, an independent IRB for each site proposing to conduct the clinical trial must review and approve the plan for any clinical trial before it commences at that site. An IRB is charged with protecting the welfare and rights of study subjects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8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Clinical trials involve the administration of the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rules that assure a clinical trial will be stopped if certain adverse events occur. Each protocol and any amendments to the protocol must be submitted to the FDA and to the IRB. Information about certain clinical studies must be submitted with specific timeframes to the National Institutes of Health for public dissemination at www.clinicaltrials.gov.</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17" w:lineRule="exact"/>
        <w:rPr>
          <w:sz w:val="20"/>
          <w:szCs w:val="20"/>
          <w:color w:val="auto"/>
        </w:rPr>
      </w:pPr>
    </w:p>
    <w:p>
      <w:pPr>
        <w:ind w:left="1020" w:right="120" w:hanging="503"/>
        <w:spacing w:after="0" w:line="311"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Phase 1—The investigational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trials may also provide early evidence on effectiveness.</w:t>
      </w:r>
    </w:p>
    <w:p>
      <w:pPr>
        <w:spacing w:after="0" w:line="40" w:lineRule="exact"/>
        <w:rPr>
          <w:rFonts w:ascii="Arial" w:cs="Arial" w:eastAsia="Arial" w:hAnsi="Arial"/>
          <w:sz w:val="16"/>
          <w:szCs w:val="16"/>
          <w:color w:val="auto"/>
        </w:rPr>
      </w:pPr>
    </w:p>
    <w:p>
      <w:pPr>
        <w:ind w:left="1020" w:right="100" w:hanging="503"/>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2—These trials are conducted in a limited number of patients in the target population to identify possible adverse effects and safety risks, to preliminarily evaluate the efficacy of the product for specific targeted diseases and to determine dosage tolerance and optimal dosage. Multiple Phase 2 clinical trials may be conducted by the sponsor to obtain information prior to beginning larger and more expensive Phase 3 clinical trials.</w:t>
      </w:r>
    </w:p>
    <w:p>
      <w:pPr>
        <w:spacing w:after="0" w:line="78" w:lineRule="exact"/>
        <w:rPr>
          <w:rFonts w:ascii="Arial" w:cs="Arial" w:eastAsia="Arial" w:hAnsi="Arial"/>
          <w:sz w:val="18"/>
          <w:szCs w:val="18"/>
          <w:color w:val="auto"/>
        </w:rPr>
      </w:pPr>
    </w:p>
    <w:p>
      <w:pPr>
        <w:ind w:left="1020" w:right="600" w:hanging="503"/>
        <w:spacing w:after="0" w:line="301"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Phase 3—Phase 3 trials are undertaken to provide statistically significant evidence of clinical efficacy and to further evaluate dosage, potency, and safety in an expanded patient population at multiple clinical trial sites. They are performed after preliminary evidence suggesting effectiveness of the product has been obtained, and are intended to establish the overall benefit-risk relationship of the investigational product, and to provide an adequate basis for product approval and physician labeling.</w:t>
      </w:r>
    </w:p>
    <w:p>
      <w:pPr>
        <w:spacing w:after="0" w:line="49" w:lineRule="exact"/>
        <w:rPr>
          <w:rFonts w:ascii="Arial" w:cs="Arial" w:eastAsia="Arial" w:hAnsi="Arial"/>
          <w:sz w:val="16"/>
          <w:szCs w:val="16"/>
          <w:color w:val="auto"/>
        </w:rPr>
      </w:pPr>
    </w:p>
    <w:p>
      <w:pPr>
        <w:ind w:left="1020" w:right="60" w:hanging="503"/>
        <w:spacing w:after="0" w:line="296"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Phase 4 – In some cases, the FDA may condition approval of a BLA for a product candidate on the sponsor’s agreement to conduct additional clinical studies to further assess the candidate’s safety and effectiveness after approval. Such post-approval trials are typically referred to as Phase 4 clinical trials. The FDA has statutory authority to require post-market clinical trials to address safety issues. A sponsor may also voluntarily conduct additional clinical studies after approval to gain more information about their product. All of these trials must be conducted in accordance with GCP requirements in order for the data to be considered reliable for regulatory purposes.</w:t>
      </w:r>
    </w:p>
    <w:p>
      <w:pPr>
        <w:spacing w:after="0" w:line="53"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Within 15 calendar days after the sponsor determines that the information qualifies for reporting, written IND safety reports must be submitted to the 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p>
    <w:p>
      <w:pPr>
        <w:spacing w:after="0" w:line="6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trial is not being conducted in accordance with the IRB’s requirements or if the investigated product has been associated with unexpected serious harm to patients, and the trial may not recommence without the IRB’s authorization.</w:t>
      </w:r>
    </w:p>
    <w:p>
      <w:pPr>
        <w:spacing w:after="0" w:line="7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Typically, if a product is intended to treat a chronic disease, safety and efficacy data must be gathered over an extended period of time, which can range from six months to three years or more.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Concurrently with clinical trials, companies usually complete additional animal studies and must also develop additional information about the physical characteristics of the investigational product and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5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 drug being studied in clinical trials may be made available to individual patients in certain circumstances. Pursuant to the 21st Century Cures Act (the Cures Act), as amended,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RMAT. Further, the Right to Try Act of 2017 among other things, provides a federal framework for certain patients to request access to certain investigational new drug products that have completed a Phase 1 clinical trial and that are undergoing investigation for FDA approval. There is no obligation for a pharmaceutical manufacturer to make its drug products available to eligible patients as a result of the Right to Try Act. We review each individual request for access through the Cures Act, the Right to Try Act and similar state laws, and may or may not provide access depending upon the facts of each request.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In order to obtain approval to market a biological product in the United States, a BLA must be submitted to the FDA that provides data establishing to the FDA’s satisfaction the safety, purity and potency of the investigational product for the proposed indication. A BLA includes all data available from nonclinical studies and clinical trials, together with detailed information relating to the product’s manufacture and composition, and proposed labeling.</w:t>
      </w:r>
    </w:p>
    <w:p>
      <w:pPr>
        <w:spacing w:after="0" w:line="4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Under the Prescription Drug User Fee Act (PDUFA), as amended, each BLA must be accompanied by a user fee. The FDA adjusts the PDUFA user fees on an annual basis. According to the FDA’s fee schedule, effective through September 30, 2023, the user fee for an application requiring clinical data, such as a BLA and an NDA, is $3,242,026. PDUFA also imposes an annual prescription drug product program fee for biologics and drugs ($393,933). Fee waivers or reductions are available in certain circumstances, including a waiver of the application fee for the first application filed by a small business having fewer than 500 employees. Additionally, no user fees are assessed on BLAs for products designated as orphan drugs, unless the product also includes a non-orphan indication.</w:t>
      </w:r>
    </w:p>
    <w:p>
      <w:pPr>
        <w:spacing w:after="0" w:line="84"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The FDA has 60 days from its receipt of a BLA to determine whether the application will be accepted for filing based on the agency’s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effective for its intended use, and has an acceptable purity profile, and whether the product is being manufactured in accordance with cGMPs to assure and preserve the product’s identity, safety, strength, quality, potency, and purity, and for a biological product, whether it meets the biological product standards. The FDA may refer applications for novel products or products that present difficult questions of safety or efficacy to an advisory committee, typically comprised of clinicians and other experts, for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6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human cellular or tissue product, the FDA also will not approve the product if the manufacturer is not in compliance with cGTPs. FDA regulations also require tissue establishments to register and list their human cells, tissues, and cellular and tissue based products (HCT/Ps) with the FDA and, when applicable, to evaluate donors through screening and testing. Additionally, before approving a BLA, the FDA may inspect clinical sites to assure that the clinical trials were conducted in compliance with IND study requirements and GCPs. If the FDA determines the manufacturing process or manufacturing facilities are not acceptable, it typically will outline the deficiencies and often will require the facility to take corrective action and provide documentation evidencing the implementation of such corrective action, which may delay further review of the application. If the FDA finds that a clinical site did not conduct the clinical trial in accordance with GCPs, the FDA may determine the data generated by the site should be excluded from the primary efficacy analyses provided in the BLA, and request additional testing or data. Additionally, the FDA ultimately may still decide that the application does not satisfy the regulatory criteria for approval.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These elements are negotiated as part of the BLA approval, and in some cases may delay the approval date. Once adopted, REMS are subject to periodic assessment and modification.</w:t>
      </w:r>
    </w:p>
    <w:p>
      <w:pPr>
        <w:spacing w:after="0" w:line="6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After the FDA completes its initial review of a BLA, it will communicate to the sponsor that the biological product will either be approved, or it will issue a complete response letter to communicate that the BLA will not be approved in its current form. The complete response letter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to address all of the deficiencies identified in the letter, or withdraw the application, or request a hearing.</w:t>
      </w:r>
    </w:p>
    <w:p>
      <w:pPr>
        <w:spacing w:after="0" w:line="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One of the performance goals of the FDA under PDUFA is to review 90% of standard BLAs in 10 months and 90% of priority BLAs in six months, whereupon a review decision is to be made. The FDA does not always meet its PDUFA goal dates for standard and priority BLAs and its review goals are subject to change from time to time. The review process and the PDUFA goal data may be extended by three months if the FDA requests or the BLA applicant otherwise provides additional information or clarification regarding information already provided in the submission within the last three months before the PDUFA goal date.</w:t>
      </w:r>
    </w:p>
    <w:p>
      <w:pPr>
        <w:spacing w:after="0" w:line="80"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Even if a product candidate receives regulatory approval, the approval may be limited to specific disease states, patient populations and dosages, or the indications for use may otherwise be limited.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Phase 4 post-marketing clinical trials and testing and surveillance programs to monitor the safety of approved products that have been commercialized. Further, even after regulatory approval is obtained, later discovery of previously unknown problems with a product may result in the imposition of new restrictions on the product or complete withdrawal of the product from the market.</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Products manufactured or distributed pursuant to FDA approvals are subject to continuing regulation by the FDA, including, among other things, requirements relating to monitoring, record-keeping, advertising and promotion, reporting of adverse experiences, and limitations on industry-sponsored scientific and educational activities. Further, if there are any modifications to the drug or biologic, including changes in indications, labeling or manufacturing processes or facilities, the applicant may be required to submit and obtain FDA approval of a new BLA or a BLA supplement, which may require the development of additional data or preclinical studies and clinical trials.</w:t>
      </w:r>
    </w:p>
    <w:p>
      <w:pPr>
        <w:spacing w:after="0" w:line="80"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FDA regulations require that approved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Accordingly, manufacturers must continue to expend time, money and effort in the area of production and quality control to maintain cGMP compliance. The discovery of violative conditions, including failure to conform to cGMP regulations, could result in enforcement actions.</w:t>
      </w:r>
    </w:p>
    <w:p>
      <w:pPr>
        <w:spacing w:after="0" w:line="58"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does not regulate behavior of physicians in their choice of treatments and physicians may legally prescribe available products for uses that are not described in the product’s labeling and that differ from those approved by the FDA. However, the FDA does restrict an applicant’s communications on the subject of off-label use of their products. The FDA and other agencies actively enforce the laws prohibiting the marketing and promotion of off-label uses, and a company that is found to have improperly marketed or promoted off-label use may be subject to significant liability, including criminal and civil penalties under the FDCA and False Claims Act, exclusion from participation in federal healthcare programs, and mandatory compliance programs.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restrictions on a product, and judicial or administrative enforcement.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The FDA is authorized to designate certain products for expedited review if they demonstrate the potential to address an unmet medical need in the treatment of a serious or life-threatening disease or condition for which there is no effective treatment. These programs are referred to as fast track designation, priority review, accelerated approval, breakthrough therapy designation, and regenerative advanced therapy designation.</w:t>
      </w:r>
    </w:p>
    <w:p>
      <w:pPr>
        <w:spacing w:after="0" w:line="5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i w:val="1"/>
          <w:iCs w:val="1"/>
          <w:color w:val="auto"/>
        </w:rPr>
        <w:t xml:space="preserve">Fast Track Designation. </w:t>
      </w:r>
      <w:r>
        <w:rPr>
          <w:rFonts w:ascii="Arial" w:cs="Arial" w:eastAsia="Arial" w:hAnsi="Arial"/>
          <w:sz w:val="17"/>
          <w:szCs w:val="17"/>
          <w:color w:val="auto"/>
        </w:rPr>
        <w:t>The FDA may grant “fast track” status to product candidates that are intended to treat serious or life-threatening diseases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demonstrate the potential to address an unmet medical need for the condition. Fast track is a process designed to facilitate the development and expedite the review of such product candidates by providing, among other things, more frequent meetings with the FDA to discuss the product candidate’s development plan and rolling review, which allows submission of individually completed sections of an BLA for FDA review before the entire submission is completed. Fast track designation applies to the combination of the product and the specific indication for which it is being studied. The sponsor of a product candidate may request the FDA to designate the product as a fast track product at any time during clinical development. Fast track status does not ensure that a product will be developed more quickly or receive FDA approval. In addition, the fast track designation may be withdrawn by the FDA if the FDA believes that the designation is no longer supported by data emerging in the clinical trial process, or if the designated drug development program is no longer being pursued.</w:t>
      </w:r>
    </w:p>
    <w:p>
      <w:pPr>
        <w:spacing w:after="0" w:line="73"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i w:val="1"/>
          <w:iCs w:val="1"/>
          <w:color w:val="auto"/>
        </w:rPr>
        <w:t xml:space="preserve">Priority Review. </w:t>
      </w:r>
      <w:r>
        <w:rPr>
          <w:rFonts w:ascii="Arial" w:cs="Arial" w:eastAsia="Arial" w:hAnsi="Arial"/>
          <w:sz w:val="16"/>
          <w:szCs w:val="16"/>
          <w:color w:val="auto"/>
        </w:rPr>
        <w:t>The FDA may give a priority review designation to a product candidate if it has the potential to provide safe and effective therapy</w:t>
      </w:r>
      <w:r>
        <w:rPr>
          <w:rFonts w:ascii="Arial" w:cs="Arial" w:eastAsia="Arial" w:hAnsi="Arial"/>
          <w:sz w:val="16"/>
          <w:szCs w:val="16"/>
          <w:i w:val="1"/>
          <w:iCs w:val="1"/>
          <w:color w:val="auto"/>
        </w:rPr>
        <w:t xml:space="preserve"> </w:t>
      </w:r>
      <w:r>
        <w:rPr>
          <w:rFonts w:ascii="Arial" w:cs="Arial" w:eastAsia="Arial" w:hAnsi="Arial"/>
          <w:sz w:val="16"/>
          <w:szCs w:val="16"/>
          <w:color w:val="auto"/>
        </w:rPr>
        <w:t>where no satisfactory alternative therapy exists or to provide a significant improvement in the treatment, diagnosis or prevention of a disease compared to marketed products. Priority review is intended to reduce the time it takes for the FDA to review a BLA, with the goal to take action on the application within six months from when the application is filed, compared to ten months for a standard review. The FDA will attempt to direct additional resources to the evaluation of an application for a biological product or drug designated for priority review in an effort to facilitate the review.</w:t>
      </w:r>
    </w:p>
    <w:p>
      <w:pPr>
        <w:spacing w:after="0" w:line="53"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i w:val="1"/>
          <w:iCs w:val="1"/>
          <w:color w:val="auto"/>
        </w:rPr>
        <w:t xml:space="preserve">Accelerated Approval. </w:t>
      </w:r>
      <w:r>
        <w:rPr>
          <w:rFonts w:ascii="Arial" w:cs="Arial" w:eastAsia="Arial" w:hAnsi="Arial"/>
          <w:sz w:val="16"/>
          <w:szCs w:val="16"/>
          <w:color w:val="auto"/>
        </w:rPr>
        <w:t>Additionally, a product may be eligible for accelerated approval. Drug or biological products studied for their safety and</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or drug receiving accelerated approval perform adequate and well-controlled post-marketing clinical trials with due diligence and, under the Food and Drug Omnibus Reform Act of 2022 (FDORA), the FDA is now permitted to require, as appropriate, that such trials be underway prior to approval or within a specific time period after the date of approval for a product granted accelerated approval. In addition, the FDA currently requires, unless otherwise informed by the agency, pre-approval of promotional materials for products being considered for accelerated approval.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60"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i w:val="1"/>
          <w:iCs w:val="1"/>
          <w:color w:val="auto"/>
        </w:rPr>
        <w:t xml:space="preserve">Breakthrough Therapy Designation. </w:t>
      </w:r>
      <w:r>
        <w:rPr>
          <w:rFonts w:ascii="Arial" w:cs="Arial" w:eastAsia="Arial" w:hAnsi="Arial"/>
          <w:sz w:val="16"/>
          <w:szCs w:val="16"/>
          <w:color w:val="auto"/>
        </w:rPr>
        <w:t>A product candidate intended to treat a serious or life-threatening disease or condition may also be eligible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breakthrough therapy designation if preliminary clinical evidence indicates that it may demonstrate substantial improvement over existing therapies on one or more clinically significant endpoints. If so designated, the FDA will expedite the development and review of the product candidate’s marketing application, including by meeting with, and providing advice to, the sponsor throughout the product candidate’s development, and taking steps to facilitate an efficient review of the development program and to ensure that the design of the clinical trials is as efficient as practicable.</w:t>
      </w:r>
    </w:p>
    <w:p>
      <w:pPr>
        <w:spacing w:after="0" w:line="5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i w:val="1"/>
          <w:iCs w:val="1"/>
          <w:color w:val="auto"/>
        </w:rPr>
        <w:t xml:space="preserve">RMAT Designation. </w:t>
      </w:r>
      <w:r>
        <w:rPr>
          <w:rFonts w:ascii="Arial" w:cs="Arial" w:eastAsia="Arial" w:hAnsi="Arial"/>
          <w:sz w:val="16"/>
          <w:szCs w:val="16"/>
          <w:color w:val="auto"/>
        </w:rPr>
        <w:t>As part of the Cures Act, Congress amended the FDCA to create an accelerated approval program for regenerative advanced</w:t>
      </w:r>
      <w:r>
        <w:rPr>
          <w:rFonts w:ascii="Arial" w:cs="Arial" w:eastAsia="Arial" w:hAnsi="Arial"/>
          <w:sz w:val="16"/>
          <w:szCs w:val="16"/>
          <w:i w:val="1"/>
          <w:iCs w:val="1"/>
          <w:color w:val="auto"/>
        </w:rPr>
        <w:t xml:space="preserve"> </w:t>
      </w:r>
      <w:r>
        <w:rPr>
          <w:rFonts w:ascii="Arial" w:cs="Arial" w:eastAsia="Arial" w:hAnsi="Arial"/>
          <w:sz w:val="16"/>
          <w:szCs w:val="16"/>
          <w:color w:val="auto"/>
        </w:rPr>
        <w:t>therapies. To qualify for this program, and be granted regenerative advanced medicine therapy (RMAT) designation, a product must be a cell therapy, therapeutic tissue engineering product, human cell and tissue product, or a combination of such products, and not a product solely regulated as a human cell and tissue product. This program is intended to facilitate efficient development and expedite review of regenerative advanced therapies, which are intended to treat, modify, reverse, or cure a serious or life-threatening disease or condition and preliminary clinical evidence must indicate that the product candidate has the potential to address an unmet need for such disease or condition. A BLA for a product candidate that has received RMAT designation may be eligible for priority review or accelerated approval through (1) surrogate or intermediate endpoints reasonably likely to predict long-term clinical benefit or</w:t>
      </w:r>
    </w:p>
    <w:p>
      <w:pPr>
        <w:spacing w:after="0" w:line="2" w:lineRule="exact"/>
        <w:rPr>
          <w:sz w:val="20"/>
          <w:szCs w:val="20"/>
          <w:color w:val="auto"/>
        </w:rPr>
      </w:pPr>
    </w:p>
    <w:p>
      <w:pPr>
        <w:ind w:left="5540" w:right="3400" w:hanging="5532"/>
        <w:spacing w:after="0" w:line="511" w:lineRule="auto"/>
        <w:tabs>
          <w:tab w:leader="none" w:pos="2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upon data obtained from a meaningful number of sites. Benefits of such designation also include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early interactions with FDA to discuss any potential surrogate or intermediate endpoint to be used to support accelerated approval. A designated RMAT product candidate that is granted accelerated approval and is subject to post approval requirements may fulfill such requirements through the submission of clinical evidence, clinical studies, patient registries, or other sources of real world evidence, such as electronic health records; the collection of larger confirmatory data sets; or post approval monitoring of all patients treated with such therapy prior to its approval.</w:t>
      </w:r>
    </w:p>
    <w:p>
      <w:pPr>
        <w:spacing w:after="0" w:line="63"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i w:val="1"/>
          <w:iCs w:val="1"/>
          <w:color w:val="auto"/>
        </w:rPr>
        <w:t xml:space="preserve">Designated Platform Technology Status. </w:t>
      </w:r>
      <w:r>
        <w:rPr>
          <w:rFonts w:ascii="Arial" w:cs="Arial" w:eastAsia="Arial" w:hAnsi="Arial"/>
          <w:sz w:val="16"/>
          <w:szCs w:val="16"/>
          <w:color w:val="auto"/>
        </w:rPr>
        <w:t>Under FDORA, a platform technology incorporated within or utilized by a drug or biological product is</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for designation as a designated platform technology if (1) the platform technology is incorporated in, or utilized by, a drug approved under a BLA or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w:t>
      </w:r>
    </w:p>
    <w:p>
      <w:pPr>
        <w:spacing w:after="0" w:line="6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Fast Track designation, priority review, accelerated approval, breakthrough therapy designation, RMAT designation, and designated platform technology status do not change the standards for approval but may expedite the development or approval process. Moreover, even if a product candidate or platform technology qualifies for one or more of these programs, the FDA may later decide that the product candidate or platform technology no longer meets the conditions for qualification or decide that the time period for FDA review or approval will not be shortened.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Under certain circumstances,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application (falling after issuance of the patent) and the submission date of a BLA, plus the time between the submission date of the BLA and the approval of that application, provided the sponsor acted with diligence. Only one patent applicable to an approved product is eligible for the extension and the application for the extension must be submitted prior to the expiration of the patent. The application for patent term extension is subject to approval by the U.S. Patent and Trademark Office in consultation with the FDA. A patent term extension is only available when the FDA approves a biological product or drug for the first time.</w:t>
      </w:r>
    </w:p>
    <w:p>
      <w:pPr>
        <w:spacing w:after="0" w:line="73"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With the Hatch-Waxman Amendments, Congress authorized the FDA to approve generic drugs that are the same as drugs previously approved by the FDA under the NDA provisions of the FDCA. To obtain approval of a generic drug, an applicant must submit to the agency an abbreviated new drug application (ANDA) which relies on the preclinical and clinical testing previously conducted for a drug approved under an NDA, known as the reference listed drug (RLD). For the ANDA to be approved, the FDA must find that the generic version is identical to the RLD with respect to the active ingredients, the route of administration, the dosage form, and the strength of the drug. The FDA must also determine that the generic drug is bioequivalent to the innovator drug.</w:t>
      </w:r>
    </w:p>
    <w:p>
      <w:pPr>
        <w:spacing w:after="0" w:line="8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An abbreviated approval pathway for biological products shown to be biosimilar to, or interchangeable with, an FDA-licensed reference biological product was created by the Biologics Price Competition and Innovation Act of 2009, which was part of the Patient Protection and Affordable Care Act of 2010 (ACA).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is biosimilar to the reference biological product and the product must demonstrate that it can be expected to produce the same clinical results as the reference product and, for products administered multiple times, the product and the reference product may be switched after one has been previously administered without increasing safety risks or risks of diminished efficacy relative to exclusive use of the reference biological product.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A reference biological product is granted twelve years of exclusivity from the time of first licensure of the reference product. The first biological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53" w:lineRule="exact"/>
        <w:rPr>
          <w:sz w:val="20"/>
          <w:szCs w:val="20"/>
          <w:color w:val="auto"/>
        </w:rPr>
      </w:pPr>
    </w:p>
    <w:p>
      <w:pPr>
        <w:ind w:right="280" w:firstLine="509"/>
        <w:spacing w:after="0" w:line="286" w:lineRule="auto"/>
        <w:rPr>
          <w:sz w:val="20"/>
          <w:szCs w:val="20"/>
          <w:color w:val="auto"/>
        </w:rPr>
      </w:pPr>
      <w:r>
        <w:rPr>
          <w:rFonts w:ascii="Arial" w:cs="Arial" w:eastAsia="Arial" w:hAnsi="Arial"/>
          <w:sz w:val="17"/>
          <w:szCs w:val="17"/>
          <w:color w:val="auto"/>
        </w:rPr>
        <w:t>A biological product or drug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Under the Orphan Drug Act, the FDA may grant orphan drug designation to biological products and drugs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or drug in the United States for this type of disease or condition will be recovered from sales of the product. Orphan drug designation must be requested before submitting a BLA. After the FDA grants orphan drug designation, the identity of the applicant, the name of the therapeutic agent and its designated orphan use are disclosed publicly by the FDA. Orphan drug designation does not convey any advantage in, or shorten the duration of, the regulatory review and approval process.</w:t>
      </w:r>
    </w:p>
    <w:p>
      <w:pPr>
        <w:spacing w:after="0" w:line="56"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If a biological product or drug that receives orphan drug designation is the first such product approved by FDA for the orphan indication, it receives orphan product exclusivity, which for seven years prohibits the FDA from approving another application to market the same product for the same indication. Orphan product exclusivity will not bar approval of another product under certain circumstances, including if the new product is shown to be clinically superior to the approved product on the basis of greater efficacy or safety or a demonstration that the new product otherwise makes a major contribution to patient care. More than one product may also be approved by the FDA for the same orphan indication or disease as long as the products are different. If a biological product or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Under the Pediatric Research Equity Act (PREA), as amended, a BLA or supplement must contain data to assess the safety and effectiveness of the biological product or drug for the claimed indications in all relevant pediatric subpopulations and to support dosing and administration for each pediatric subpopulation for which the product is safe and effective. The intent of PREA is to compel sponsors whose products have pediatric applicability to study those products in pediatric populations. The FDCA requires manufacturers of biological products and drugs that include a new active ingredient, new indication, new dosage form, new dosing regimen or new route of administration to submit a pediatric study plan to the FDA as part of the IND application. The plan must be submitted not later than 60 days after the end-of-Phase 2 meeting with the FDA; or if there is no such meeting, before the initiation of any Phase 3 trials or a combined Phase 2 and Phase 3 trial; or if no such trial will be conducted, no later than 210 days before submitting a marketing application or supplement. The FDA may grant deferrals for submission of data or full or partial waivers. Generally, PREA does not apply to any biological product or drug for an indication for which orphan designation has been granted.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Sales of our products, when and if approved,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Additionally, coverage determinations often require generating additional evidence related, for example, to the relative costs and benefits of new therapies versus standard of care – which goes beyond the data able to be generated within our clinical programs. Patients are unlikely to use our products unless coverage is provided and reimbursement is adequate to cover a significant portion of their cost.</w:t>
      </w:r>
    </w:p>
    <w:p>
      <w:pPr>
        <w:spacing w:after="0" w:line="5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the United States, for example, principal decisions about reimbursement for new products are typically made by the Centers for Medicare &amp; Medicaid Services, or CMS, which decides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coverage determination is often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time-consuming and costly process that will require us to provide scientific and clinical support for the use of our products to each payor separately, with no assurance that coverage and adequate reimbursement will be obtained. Further, coverage policies and third-party payor reimbursement rates may change at any time. Even if favorable coverage and reimbursement status is attained, less favorable coverage policies and reimbursement rates may be implemented in the future.</w:t>
      </w:r>
    </w:p>
    <w:p>
      <w:pPr>
        <w:spacing w:after="0" w:line="79"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biosimilars for branded prescription drugs.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Increasingly, third-party payors are also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spacing w:after="0" w:line="73"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Reform and Other Regulatory Changes</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7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For example, in 2010, the Patient Protection and Affordable Care Act, as amended by the Health Care and Education Reconciliation Act, each as amended, collectively known as the ACA was enacted in the United States. The ACA includes measures that have significantly changed, and are expected to continue to significantly change, the way healthcare is financed by both governmental and private insurers. The ACA contained a number of provisions, including those governing enrollment in federal healthcare programs, reimbursement adjustments and changes to fraud and abuse laws. Among the provisions of the ACA of greatest importance to the pharmaceutical industry are that the ACA:</w:t>
      </w:r>
    </w:p>
    <w:p>
      <w:pPr>
        <w:spacing w:after="0" w:line="68"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subjects biological products to potential competition by biosimilars;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made several changes to the Medicaid Drug Rebate Program, including increasing pharmaceutical manufacturers’ rebate liability; and</w:t>
      </w:r>
    </w:p>
    <w:p>
      <w:pPr>
        <w:spacing w:after="0" w:line="128" w:lineRule="exact"/>
        <w:rPr>
          <w:rFonts w:ascii="Arial" w:cs="Arial" w:eastAsia="Arial" w:hAnsi="Arial"/>
          <w:sz w:val="17"/>
          <w:szCs w:val="17"/>
          <w:color w:val="auto"/>
        </w:rPr>
      </w:pPr>
    </w:p>
    <w:p>
      <w:pPr>
        <w:ind w:left="1020" w:right="2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extended a manufacturer’s Medicaid rebate liability to covered drugs dispensed to individuals who are enrolled in Medicaid managed care organizations.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include the following:</w:t>
      </w:r>
    </w:p>
    <w:p>
      <w:pPr>
        <w:spacing w:after="0" w:line="140" w:lineRule="exact"/>
        <w:rPr>
          <w:sz w:val="20"/>
          <w:szCs w:val="20"/>
          <w:color w:val="auto"/>
        </w:rPr>
      </w:pPr>
    </w:p>
    <w:p>
      <w:pPr>
        <w:ind w:left="1020" w:right="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Budget Control Act of 2011, among other things, created measures for spending reductions by Congress. This includes aggregate reductions of Medicare payments to providers of 2% per fiscal year.</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January 2, 2013, the American Taxpayer Relief Act of 2012 was signed into law, which further reduced Medicare payments to several types of providers.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left="1020" w:hanging="503"/>
        <w:spacing w:after="0" w:line="25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Inflation Reduction Act (the IRA) includes several provisions that may impact our business to varying degrees, including provisions that create a $2,000 out-of-pocket cap for Medicare Part D beneficiaries, impose new manufacturer financial liability on certain drugs under Medicare Part D, allow the U.S. government to negotiate Medicare Part B and Part D pricing for certain high-cost drugs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 of IRA on our business and the healthcare industry in general is not yet known.</w:t>
      </w:r>
    </w:p>
    <w:p>
      <w:pPr>
        <w:spacing w:after="0" w:line="8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69"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Arrangements with third-party payors and customers can expose pharmaceutical manufactures to broadly applicable fraud and abuse and other healthcare laws and regulations, including, without limitation, the federal Anti-Kickback Statute and the federal False Claims Act, or the FCA, which may constrain the business or financial arrangements and relationships through which companies research, sell, market and distribute pharmaceutical products. In addition, transparency laws and patient privacy laws can apply to the activities of pharmaceutical manufactures. The applicable federal, state and foreign healthcare laws and regulations that can affect a pharmaceutical company’s operations include without limitation:</w:t>
      </w:r>
    </w:p>
    <w:p>
      <w:pPr>
        <w:spacing w:after="0" w:line="70" w:lineRule="exact"/>
        <w:rPr>
          <w:sz w:val="20"/>
          <w:szCs w:val="20"/>
          <w:color w:val="auto"/>
        </w:rPr>
      </w:pPr>
    </w:p>
    <w:p>
      <w:pPr>
        <w:ind w:left="1020" w:right="40" w:hanging="503"/>
        <w:spacing w:after="0" w:line="269"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FCA or federal civil monetary penalties.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but such exceptions and safe harbors are drawn narrowly and require strict compliance in order to offer protection;</w:t>
      </w:r>
    </w:p>
    <w:p>
      <w:pPr>
        <w:spacing w:after="0" w:line="70" w:lineRule="exact"/>
        <w:rPr>
          <w:rFonts w:ascii="Arial" w:cs="Arial" w:eastAsia="Arial" w:hAnsi="Arial"/>
          <w:sz w:val="17"/>
          <w:szCs w:val="17"/>
          <w:color w:val="auto"/>
        </w:rPr>
      </w:pPr>
    </w:p>
    <w:p>
      <w:pPr>
        <w:ind w:left="1020" w:right="4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 material to a false or fraudulent claim to the federal government. As a result of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0" w:lineRule="exact"/>
        <w:rPr>
          <w:sz w:val="20"/>
          <w:szCs w:val="20"/>
          <w:color w:val="auto"/>
        </w:rPr>
      </w:pPr>
    </w:p>
    <w:p>
      <w:pPr>
        <w:ind w:left="1020" w:right="80" w:hanging="503"/>
        <w:spacing w:after="0" w:line="272"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69" w:lineRule="exact"/>
        <w:rPr>
          <w:rFonts w:ascii="Arial" w:cs="Arial" w:eastAsia="Arial" w:hAnsi="Arial"/>
          <w:sz w:val="17"/>
          <w:szCs w:val="17"/>
          <w:color w:val="auto"/>
        </w:rPr>
      </w:pPr>
    </w:p>
    <w:p>
      <w:pPr>
        <w:ind w:left="1020" w:right="80" w:hanging="503"/>
        <w:spacing w:after="0" w:line="29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6" w:lineRule="exact"/>
        <w:rPr>
          <w:rFonts w:ascii="Arial" w:cs="Arial" w:eastAsia="Arial" w:hAnsi="Arial"/>
          <w:sz w:val="16"/>
          <w:szCs w:val="16"/>
          <w:color w:val="auto"/>
        </w:rPr>
      </w:pPr>
    </w:p>
    <w:p>
      <w:pPr>
        <w:ind w:left="1020" w:right="160" w:hanging="503"/>
        <w:spacing w:after="0" w:line="275"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other licensed care professionals and teaching hospitals, as well as ownership and investment interests held by physicians and their immediate family members;</w:t>
      </w:r>
    </w:p>
    <w:p>
      <w:pPr>
        <w:spacing w:after="0" w:line="6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20" w:right="20" w:hanging="503"/>
        <w:spacing w:after="0" w:line="25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laws governing the privacy and security of health information in some circumstances, many of which differ from each other in significant ways and often are not preempted by HIPAA, thus complicating compliance efforts.</w:t>
      </w:r>
    </w:p>
    <w:p>
      <w:pPr>
        <w:spacing w:after="0" w:line="86" w:lineRule="exact"/>
        <w:rPr>
          <w:sz w:val="20"/>
          <w:szCs w:val="20"/>
          <w:color w:val="auto"/>
        </w:rPr>
      </w:pPr>
    </w:p>
    <w:p>
      <w:pPr>
        <w:ind w:right="60" w:firstLine="562"/>
        <w:spacing w:after="0" w:line="289"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Ensuring our business arrangements comply with applicable healthcare laws, as well as responding to possible investigations by government authorities, can be time- and resource-consuming and can divert a company’s attention from the business.</w:t>
      </w:r>
    </w:p>
    <w:p>
      <w:pPr>
        <w:spacing w:after="0" w:line="58"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color w:val="auto"/>
        </w:rPr>
        <w:t>The failure to comply with any of these laws or regulatory requirements subjects companies to possible legal or regulatory action. Depending on the circumstances, failure to meet applicable regulatory requirements can result in significant penalties,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company to incur significant legal expenses and divert management’s attention from the operation of the business.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Regulations Governing Data Collection and the Use, Processing and Cross-Border Transfer of Personal Information</w:t>
      </w:r>
    </w:p>
    <w:p>
      <w:pPr>
        <w:spacing w:after="0" w:line="117" w:lineRule="exact"/>
        <w:rPr>
          <w:sz w:val="20"/>
          <w:szCs w:val="20"/>
          <w:color w:val="auto"/>
        </w:rPr>
      </w:pPr>
    </w:p>
    <w:p>
      <w:pPr>
        <w:ind w:right="160" w:firstLine="562"/>
        <w:spacing w:after="0" w:line="277" w:lineRule="auto"/>
        <w:rPr>
          <w:sz w:val="20"/>
          <w:szCs w:val="20"/>
          <w:color w:val="auto"/>
        </w:rPr>
      </w:pPr>
      <w:r>
        <w:rPr>
          <w:rFonts w:ascii="Arial" w:cs="Arial" w:eastAsia="Arial" w:hAnsi="Arial"/>
          <w:sz w:val="18"/>
          <w:szCs w:val="18"/>
          <w:color w:val="auto"/>
        </w:rPr>
        <w:t>We also may be or may become subject to various state and foreign laws governing the privacy and security of health information, many of which differ from each other in significant ways and often are not preempted by HIPAA, thus complicating compliance efforts.</w:t>
      </w:r>
    </w:p>
    <w:p>
      <w:pPr>
        <w:spacing w:after="0" w:line="62" w:lineRule="exact"/>
        <w:rPr>
          <w:sz w:val="20"/>
          <w:szCs w:val="20"/>
          <w:color w:val="auto"/>
        </w:rPr>
      </w:pPr>
    </w:p>
    <w:p>
      <w:pPr>
        <w:ind w:right="20" w:firstLine="562"/>
        <w:spacing w:after="0" w:line="289" w:lineRule="auto"/>
        <w:rPr>
          <w:sz w:val="20"/>
          <w:szCs w:val="20"/>
          <w:color w:val="auto"/>
        </w:rPr>
      </w:pPr>
      <w:r>
        <w:rPr>
          <w:rFonts w:ascii="Arial" w:cs="Arial" w:eastAsia="Arial" w:hAnsi="Arial"/>
          <w:sz w:val="16"/>
          <w:szCs w:val="16"/>
          <w:color w:val="auto"/>
        </w:rPr>
        <w:t>For example, California has enacted the California Consumer Privacy Act (CCPA), which created new individual privacy rights for California consumers (as defined in the law) and placed increased privacy and security obligations on entities handling personal data of consumers or households. Effective as of January 2020, the CCPA requires covered companies to provide certain disclosures to consumers about its data collection, use and sharing practices, and to provide affected California residents with ways to opt out of certain sales or transfers of personal information, and also regulates employee information. On November 3, 2020, California passed the California Privacy Rights Act (CPRA) which builds on the CCPA and expands consumer privacy rights. The CPRA went into effect on January 1, 2023 and applies to information collected on or after January 1, 2022. While there is currently an exception in the CCPA and CPRA for protected health information that is subject to HIPAA, the CCPA and CPRA may impact our business activities. Virginia and Colorado have also passed comprehensive privacy laws that became effective in 2023 and other U.S. states also are considering omnibus privacy legislation, and industry organizations regularly adopt and advocate for new standards in these areas.</w:t>
      </w:r>
    </w:p>
    <w:p>
      <w:pPr>
        <w:spacing w:after="0" w:line="5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addition, as of May 25, 2018, the General Data Protection Regulation (GDPR) regulates the collection and use of personal data in the European Union (EU). The GDPR covers any business, regardless of its location, that provides goods or services to residents in the EU and, thus, could incorporate any activities we undertake in EU member states. The GDPR imposes strict requirements on controllers and processors of personal data, including special protections for “sensitive information,” which includes health and genetic information of individuals residing in the EU. The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regions that have not been deemed to offer “adequate” privacy protections, such as the U.S. currently. Failure to comply with the requirements of the GDPR and the related national data protection laws of the EU member states, which may deviate slightly from the GDPR, may result in warning letters, mandatory audits and financial penalties, including fines of up to 4% of global revenues, or €20,000,000, whichever is greater.</w:t>
      </w:r>
    </w:p>
    <w:p>
      <w:pPr>
        <w:spacing w:after="0" w:line="7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Further to the United Kingdom's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The biotechnology and pharmaceutical industries are characterized by rapid innovation, intense and dynamic competition and a strong emphasis on proprietary products. While we believe that our technology, scientific knowledge and experience in the field of cellular immunotherapy provide us with competitive advantages, we face potential competition from many different sources, including major pharmaceutical, specialty pharmaceutical and biotechnology companies, academic institutions and governmental agencies and public and private research institutions, as well as standard-of-care treatments, new products undergoing development and combinations of existing and new therapies. Any product candidates that we successfully develop and commercialize will compete with existing therapies and new therapies, including antibody-based therapies such as bi-specific antibodies, and combinations thereof, that may become available in the future.</w:t>
      </w:r>
    </w:p>
    <w:p>
      <w:pPr>
        <w:spacing w:after="0" w:line="6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Cellular immunotherapies for the treatment of cancer have recently been an area of significant research and development by academic institutions and biopharmaceutical companies. Novartis AG (Novartis) and Kite Pharma, Inc. (Kite) were the first to obtain FDA approval for autologous CAR T-cell therapies for the treatment of certain cancers. Novartis obtained FDA approval to commercialize Kymriah in August 2017 for the treatment of children and young adults with relapsed / refractory B-cell acute lymphoblastic leukemia, in May 2018, for the treatment of adults with relapsed / refractory diffuse large B-cell lymphoma, and in May 2022 for the treatment of adult patients with relapsed / refractory follicular lymphoma. In October 2017, Kite obtained FDA approval to commercialize Yescarta for the treatment of adults with relapsed / refractory diffuse large B-cell lymphoma. Bristol-Myers Squibb received FDA approval in 2021 for two new, autologous T-cell therapy products – Breyanzi for the treatment of relapsed or refractory large B-cell lymphoma after two or more lines of systemic therapy, and Abecma for the treatment of adult patients with relapsed or refractory multiple myeloma. More recently, Janssen Biotech, Inc. received FDA approval in February 2022 for Carvykti for the treatment of adult patients with relapsed / refractory multiple myeloma.</w:t>
      </w:r>
    </w:p>
    <w:p>
      <w:pPr>
        <w:spacing w:after="0" w:line="58"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We are developing our off-the-shelf NK- and T-cell product candidates for the treatment of cancer. While we believe our use of clonal master iPSC lines for the production of our off-the-shelf NK- and T-cell product candidates is highly differentiated, a number of clinical-stage companies are currently focused on the development of cellular immunotherapies for the treatment of cancer, including Adaptimmune Therapeutics plc, Allogene Therapeutics, Inc., Atara Biotherapeutics, Inc., Bristol-Myers Squibb Company, Caribou Biosciences, Inc., Cellectis SA, Celularity, Inc., CRISPR Therapeutics AG, Gilead Sciences, Inc., ImmunityBio, Inc., Intellia Therapeutics, Inc., Iovance Biotherapeutics, Inc., Johnson &amp; Johnson, Legend Biotech Corporation, Nkarta, Inc., Novartis AG, Precision Biosciences, Inc., Sanofi SA, and Takeda Pharmaceutical Company Limited, and 2seventy bio, Inc. Preclinical-stage companies may also prove to be significant competitors, particularly through collaborative arrangements with large and established companies.</w:t>
      </w:r>
    </w:p>
    <w:p>
      <w:pPr>
        <w:spacing w:after="0" w:line="5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compete against our competitors in recruiting and retaining qualified scientific and management personnel and establishing clinical study sites and subject enrollment for clinical studies, as well as in acquiring technologies complementary to, or necessary for, our programs. Many of our competitors, either alone or with their collaboration partners, have substantially greater financial, technical and human resources than we do and significantly greater experience in the discovery and development of product candidates, obtaining FDA and other regulatory approvals of treatments and commercializing those treatments. Accordingly, our competitors may be more successful than us in obtaining approval for treatments and achieving widespread market acceptance.</w:t>
      </w:r>
    </w:p>
    <w:p>
      <w:pPr>
        <w:spacing w:after="0" w:line="84"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We anticipate that we will face intense and increasing competition as new products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payers.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We maintain product liability insurance for our clinical trials. We intend to expand our insurance coverage to include the sale of commercial products if marketing approval is obtained for products in development. However, insurance coverage is becoming increasingly expensive, and we may not be able to maintain insurance coverage at a reasonable cost or in sufficient amounts to protect us against losses due to liability. In addition, we may not be able to obtain commercially reasonable product liability insurance for any products approved for marketing.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Our success as a company depends upon the innovation, drive, and dedication of our employees, and we seek to attract, incentivize, and reward creative and performance-driven employees. We believe our commitment to our human capital resources is an important component of our business that enables us to deliver superior performance in our industry.</w:t>
      </w:r>
    </w:p>
    <w:p>
      <w:pPr>
        <w:spacing w:after="0" w:line="7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We focus on identifying, recruiting, developing and retaining a team of highly talented and motivated employees. As of December 31, 2022, we employed 551 employees, all of whom are full-time employees, including 238 in research and development, 212 in clinical development, manufacturing and regulatory affairs and 101 in general and administrative. We have never had a work stoppage, and none of our employees is represented by a labor organization or under any collective bargaining arrangements. We believe that our relationship with our employees is good, and we provide all employees with the opportunity to share their opinions in open dialogues with our human resources department and senior management.</w:t>
      </w:r>
    </w:p>
    <w:p>
      <w:pPr>
        <w:spacing w:after="0" w:line="5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January 2023, we implemented a corporate restructuring to streamline our operations, reduce our operating expenses, extend our cash runway and focus our resources on our most promising programs. In connection with the restructuring, we committed to a reduction in our total workforce by approximately 60%, to approximately 220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Diversity, and Inclusion</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We believe that an equitable, diverse, and inclusive workforce is a necessary foundation for innovation and dedication of our employees. Accordingly, we strive to promote diversity, inclusion and equal opportunity across the organization. We are committed to actively seeking out highly qualified women and minority candidates, as well as candidates with diverse backgrounds, skills and experiences. As of January 6, 2023, women made up 53.4% of our workforce and represented 42.9% of leadership positions at the Director level and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7"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The success of our business is fundamentally connected to the well-being, health and safety of our employees, and we are committed to providing a safe, healthy and secure workplace for our employees. We have an environmental health and safety program and maintain various compliance programs to support this commitment. We routinely train and educate our employees on workplace safety and security. Early in the pandemic we formed a COVID-19 task force dedicated to monitoring ongoing developments and guidance issued by local, state and public health authorities. Our COVID-19 task force provides regular updates and recommendations to our executive team, and provides timely communication and training to our employee base about the various safety measures we have put into place to protect their health and wellbeing. We took proactive action early on, implementing site enhancements and risk protocols, instituting remote working arrangements and adjusting our sick leave policies, and in our effort to support the safe occupancy of our sites, reconfigured work and common spaces to allow for social distancing increased office cleaning protocols, instituted daily health screenings and COVID-19 testing. As testing has become more readily available, we have offered both onsite testing and memberships to local medical clinics that offer testing. We continue to monitor and adjust our safety training and protocols as the pandemic continues to evolve.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offer competitive pay, with performance-based bonuses and equity awards.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have a comprehensive benefits program offering flexibility for our employees’ individual needs and requirements. Our benefits program includes a choice of medical plans, vision and dental coverage, flexible spending accounts for health and dependent day care needs, and income protection through life, AD&amp;D, short term and long term disability coverage, sick leave, paid family leave, and generous paid time off. We offer a 401(k) retirement plan with company matching a percentage of employee contributions, an employee assistance program, and onsite fitness centers at no cost to our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 and Engagement</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We are focused on attracting and retaining a team of highly talented and motivated employees. We invest in and develop all levels of employees by engaging in ongoing career pathing and professional development conversations throughout an employee’s tenure. In addition, we provide targeted leadership development programs for frontline leaders through executive leadership programs and offer a number of professional, management and leadership development training programs to help our employees develop cross-functional skills and tools to grow their careers.</w:t>
      </w:r>
    </w:p>
    <w:p>
      <w:pPr>
        <w:spacing w:after="0" w:line="6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 xml:space="preserve">Employees are incentivized for key contributions through awards programs that recognize their commitment and dedication by demonstrating our </w:t>
      </w:r>
      <w:r>
        <w:rPr>
          <w:rFonts w:ascii="Arial" w:cs="Arial" w:eastAsia="Arial" w:hAnsi="Arial"/>
          <w:sz w:val="18"/>
          <w:szCs w:val="18"/>
          <w:i w:val="1"/>
          <w:iCs w:val="1"/>
          <w:color w:val="auto"/>
        </w:rPr>
        <w:t>Fate Pathways to Success</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focus on identifying, recruiting, developing and retaining a team of highly talented and motivated employees. We believe that our relationship with our employees is good. We believe our commitment to our human capital resources is an important component of our business that enables us to deliver superior performance in our industry. We provide all employees with the opportunity to share their opinions in open dialogues with our human resources department and senior management. We provide all employees a wide range of professional development experiences, both formal and informal. The safety and wellbeing of our employees is a paramount value for us. Further, the health and wellness of our employees are critical to our success. We provide our employees with access to a variety of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competitive compensation and benefits. In addition to salaries, these programs can include annual bonuses, stock-based compensation awards, a 401(k) plan with employee matching opportunities, healthcare and insurance benefits, health savings and flexible spending accounts, paid time off, family leave, and family care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We were incorporated in Delaware in 2007, and are headquartered in San Diego, CA. Our principal executive office is located at 12278 Scripps Summit Drive, San Diego, California 92131, and our telephone number is (858) 875-1800. Our website address is www.fatetherapeutics.com. We do not incorporate the information on or accessible through our website into this Annual Report on Form 10-K, and you should not consider any information on, or that can be accessed through, our website a part of this Annual Report on Form 10-K.</w:t>
      </w:r>
    </w:p>
    <w:p>
      <w:pPr>
        <w:spacing w:after="0" w:line="68" w:lineRule="exact"/>
        <w:rPr>
          <w:sz w:val="20"/>
          <w:szCs w:val="20"/>
          <w:color w:val="auto"/>
        </w:rPr>
      </w:pPr>
    </w:p>
    <w:p>
      <w:pPr>
        <w:ind w:right="200" w:firstLine="509"/>
        <w:spacing w:after="0" w:line="223" w:lineRule="auto"/>
        <w:rPr>
          <w:sz w:val="20"/>
          <w:szCs w:val="20"/>
          <w:color w:val="auto"/>
        </w:rPr>
      </w:pPr>
      <w:r>
        <w:rPr>
          <w:rFonts w:ascii="Arial" w:cs="Arial" w:eastAsia="Arial" w:hAnsi="Arial"/>
          <w:sz w:val="18"/>
          <w:szCs w:val="18"/>
          <w:color w:val="auto"/>
        </w:rPr>
        <w:t>We own various U.S. federal trademark registrations and applications, and unregistered trademarks, including Fate Therapeutics</w:t>
      </w:r>
      <w:r>
        <w:rPr>
          <w:rFonts w:ascii="Arial" w:cs="Arial" w:eastAsia="Arial" w:hAnsi="Arial"/>
          <w:sz w:val="24"/>
          <w:szCs w:val="24"/>
          <w:color w:val="auto"/>
          <w:vertAlign w:val="superscript"/>
        </w:rPr>
        <w:t>®</w:t>
      </w:r>
      <w:r>
        <w:rPr>
          <w:rFonts w:ascii="Arial" w:cs="Arial" w:eastAsia="Arial" w:hAnsi="Arial"/>
          <w:sz w:val="18"/>
          <w:szCs w:val="18"/>
          <w:color w:val="auto"/>
        </w:rPr>
        <w:t>, our corporate logo. All other trademarks or trade names referred to in this document are the property of their respective owners. Solely for convenience, the trademarks and trade names in this document are referred to without the symbols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We post our Annual Report on Form 10-K, Quarterly Reports on Form 10-Q, Current Reports on Form 8-K, including exhibits, and any amendments to those reports filed or furnished pursuant to Section 13(a) or 15(d) of the Securities Exchange Act of 1934, as amended, on the Investors section of our public website (www.fatetherapeutics.com) as soon as reasonably practicable after we electronically file such material with, or furnish it to, the SEC. In addition, you can read our SEC filings over the Internet at the SEC’s website at www.sec.gov. You can access these filings on our website or from the SEC free of charge. The contents of these websites are not incorporated into this Annual Report on Form 10-K. Further, our references to the URLs for these websites are intended to be inactive textual references only.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the other information in this Annual Report on Form 10-K,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complete the preclinical or clinical development of, or to obtain regulatory approval for, our product candidates, our business would be significantly harmed.</w:t>
      </w:r>
    </w:p>
    <w:p>
      <w:pPr>
        <w:spacing w:after="0" w:line="62"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All of our product candidates are currently in research or early clinical development. We have not completed clinical development of or obtained regulatory approval for any of our product candidates.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We may delay or cancel our ongoing and planned clinical development activities or research and development activities for any of our product candidates for a variety of reasons, including:</w:t>
      </w:r>
    </w:p>
    <w:p>
      <w:pPr>
        <w:spacing w:after="0" w:line="62" w:lineRule="exact"/>
        <w:rPr>
          <w:sz w:val="20"/>
          <w:szCs w:val="20"/>
          <w:color w:val="auto"/>
        </w:rPr>
      </w:pPr>
    </w:p>
    <w:p>
      <w:pPr>
        <w:ind w:left="1020" w:right="66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optimizing the right dose and schedule for our product candidates, which might result in a determination that a product candidate is ineffective, causes harmful side effects, or otherwise presents unacceptable safety risks during clinical trials or has an unfavorable toxicity profile in preclinical studies to support clinical investigation;</w:t>
      </w:r>
    </w:p>
    <w:p>
      <w:pPr>
        <w:spacing w:after="0" w:line="75"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FDA for the conduct of clinical trials or for marketing approval;</w:t>
      </w:r>
    </w:p>
    <w:p>
      <w:pPr>
        <w:spacing w:after="0" w:line="75" w:lineRule="exact"/>
        <w:rPr>
          <w:rFonts w:ascii="Arial" w:cs="Arial" w:eastAsia="Arial" w:hAnsi="Arial"/>
          <w:sz w:val="18"/>
          <w:szCs w:val="18"/>
          <w:color w:val="auto"/>
        </w:rPr>
      </w:pPr>
    </w:p>
    <w:p>
      <w:pPr>
        <w:ind w:left="1020" w:hanging="503"/>
        <w:spacing w:after="0" w:line="293"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prioritization of other of our product candidates for advancement or the emergence of competing product candidates developed by others, including a decision to cease research and development of any existing product candidate due to the potential obsolescence of our product candidate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more a favorable commercial profile, including greater market acceptance or commercial potential, or more advantageous intellectual property position;</w:t>
      </w:r>
    </w:p>
    <w:p>
      <w:pPr>
        <w:spacing w:after="0" w:line="56" w:lineRule="exact"/>
        <w:rPr>
          <w:rFonts w:ascii="Arial" w:cs="Arial" w:eastAsia="Arial" w:hAnsi="Arial"/>
          <w:sz w:val="16"/>
          <w:szCs w:val="16"/>
          <w:color w:val="auto"/>
        </w:rPr>
      </w:pPr>
    </w:p>
    <w:p>
      <w:pPr>
        <w:jc w:val="both"/>
        <w:ind w:left="1020" w:right="8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and delays in trial execution associated with our testing of multiple product candidates in the same indication in different clinical trials, as well as competition from biotechnology and pharmaceutical companies, universities, and other research institutions for patients and clinical trial sites;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proprietary rights of third parties, which may preclude us from developing, manufacturing or commercializing a product candidate;</w:t>
      </w:r>
    </w:p>
    <w:p>
      <w:pPr>
        <w:spacing w:after="0" w:line="128"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that a product candidate may be uneconomical to develop, manufacture, or commercialize, or may fail to achieve market acceptance or an adequate pricing and reimbursement profile;</w:t>
      </w:r>
    </w:p>
    <w:p>
      <w:pPr>
        <w:spacing w:after="0" w:line="62" w:lineRule="exact"/>
        <w:rPr>
          <w:rFonts w:ascii="Arial" w:cs="Arial" w:eastAsia="Arial" w:hAnsi="Arial"/>
          <w:sz w:val="18"/>
          <w:szCs w:val="18"/>
          <w:color w:val="auto"/>
        </w:rPr>
      </w:pPr>
    </w:p>
    <w:p>
      <w:pPr>
        <w:ind w:left="1020" w:right="120" w:hanging="503"/>
        <w:spacing w:after="0" w:line="342"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or</w:t>
      </w:r>
    </w:p>
    <w:p>
      <w:pPr>
        <w:spacing w:after="0" w:line="15" w:lineRule="exact"/>
        <w:rPr>
          <w:rFonts w:ascii="Arial" w:cs="Arial" w:eastAsia="Arial" w:hAnsi="Arial"/>
          <w:sz w:val="16"/>
          <w:szCs w:val="16"/>
          <w:color w:val="auto"/>
        </w:rPr>
      </w:pPr>
    </w:p>
    <w:p>
      <w:pPr>
        <w:ind w:left="1020" w:right="16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establishing predictive preclinical models for demonstration of safety and efficacy of a product candidate in one or more potential therapeutic areas for clinical development.</w:t>
      </w:r>
    </w:p>
    <w:p>
      <w:pPr>
        <w:spacing w:after="0" w:line="17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For example, in January 2023, we announced the discontinuation of our FT516, FT596, FT538, and FT536 NK cell programs to focus our resources on advancing our most innovative and differentiated programs. We also announced the termination of our Collaboration and Option Agreement with Janssen, which will take effect on April 3, 2023. As a result of the termination, we will wind down all collaboration activities in the first quarter of 2023, including development of two product candidates that were expected to enter the clinic in 2023.</w:t>
      </w:r>
    </w:p>
    <w:p>
      <w:pPr>
        <w:spacing w:after="0" w:line="187"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delays in initiating, conducting or completing our clinical trials, and we may not be able to initiate, conduct or complete them at all.</w:t>
      </w:r>
    </w:p>
    <w:p>
      <w:pPr>
        <w:spacing w:after="0" w:line="140"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spacing w:after="0" w:line="84" w:lineRule="exact"/>
        <w:rPr>
          <w:sz w:val="20"/>
          <w:szCs w:val="20"/>
          <w:color w:val="auto"/>
        </w:rPr>
      </w:pPr>
    </w:p>
    <w:p>
      <w:pPr>
        <w:ind w:left="1020" w:right="70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identifying eligible patients for participation in clinical trials of our product candidates, due in part to our focus on the development of certain of our product candidates for the treatment of rare diseases;</w:t>
      </w:r>
    </w:p>
    <w:p>
      <w:pPr>
        <w:spacing w:after="0" w:line="62" w:lineRule="exact"/>
        <w:rPr>
          <w:rFonts w:ascii="Arial" w:cs="Arial" w:eastAsia="Arial" w:hAnsi="Arial"/>
          <w:sz w:val="18"/>
          <w:szCs w:val="18"/>
          <w:color w:val="auto"/>
        </w:rPr>
      </w:pPr>
    </w:p>
    <w:p>
      <w:pPr>
        <w:ind w:left="1020" w:right="160" w:hanging="503"/>
        <w:spacing w:after="0" w:line="275"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enrolling a sufficient number of suitable patients to conduct clinical trials of our product candidates, including difficulties resulting from patients enrolling in studies of therapeutic product candidates sponsored by us or our competitors and difficulties resulting from patient availability as a result of mandated travel restrictions, prioritization of hospital and other medical resources toward pandemic efforts, policies and procedures implemented at clinical sites with respect to the conduct of clinical trials, and other precautionary measures taken in treating patients or in practicing medicine in response to the ongoing COVID-19 pandemic;</w:t>
      </w:r>
    </w:p>
    <w:p>
      <w:pPr>
        <w:spacing w:after="0" w:line="68"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determining suitable doses and schedules of our novel cell product candidates for evaluation in clinical trials;</w:t>
      </w:r>
    </w:p>
    <w:p>
      <w:pPr>
        <w:spacing w:after="0" w:line="117" w:lineRule="exact"/>
        <w:rPr>
          <w:rFonts w:ascii="Arial" w:cs="Arial" w:eastAsia="Arial" w:hAnsi="Arial"/>
          <w:sz w:val="18"/>
          <w:szCs w:val="18"/>
          <w:color w:val="auto"/>
        </w:rPr>
      </w:pPr>
    </w:p>
    <w:p>
      <w:pPr>
        <w:ind w:left="1020" w:right="46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75"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obtaining agreement from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identify;</w:t>
      </w:r>
    </w:p>
    <w:p>
      <w:pPr>
        <w:spacing w:after="0" w:line="75"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62" w:lineRule="exact"/>
        <w:rPr>
          <w:rFonts w:ascii="Arial" w:cs="Arial" w:eastAsia="Arial" w:hAnsi="Arial"/>
          <w:sz w:val="18"/>
          <w:szCs w:val="18"/>
          <w:color w:val="auto"/>
        </w:rPr>
      </w:pPr>
    </w:p>
    <w:p>
      <w:pPr>
        <w:ind w:left="1020" w:right="28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75"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62" w:lineRule="exact"/>
        <w:rPr>
          <w:rFonts w:ascii="Arial" w:cs="Arial" w:eastAsia="Arial" w:hAnsi="Arial"/>
          <w:sz w:val="18"/>
          <w:szCs w:val="18"/>
          <w:color w:val="auto"/>
        </w:rPr>
      </w:pPr>
    </w:p>
    <w:p>
      <w:pPr>
        <w:ind w:left="1020" w:right="60" w:hanging="503"/>
        <w:spacing w:after="0" w:line="308"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by us or third parties that we contract with, to manufacture certain of our product candidates consistently, and in sufficient quantities, in accordance with our protocol-specified manufacturing requirements and applicable regulatory requirements;</w:t>
      </w:r>
    </w:p>
    <w:p>
      <w:pPr>
        <w:spacing w:after="0" w:line="38" w:lineRule="exact"/>
        <w:rPr>
          <w:rFonts w:ascii="Arial" w:cs="Arial" w:eastAsia="Arial" w:hAnsi="Arial"/>
          <w:sz w:val="17"/>
          <w:szCs w:val="17"/>
          <w:color w:val="auto"/>
        </w:rPr>
      </w:pPr>
    </w:p>
    <w:p>
      <w:pPr>
        <w:ind w:left="102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the COVID-19 pandemic and the ongoing conflict in Ukraine;</w:t>
      </w:r>
    </w:p>
    <w:p>
      <w:pPr>
        <w:spacing w:after="0" w:line="75"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are often required to condition patients for treatment with our product candidates, or certain monoclonal antibodies which are intended for administration to patients in combination with many of our product candidates in certain of our clinical trials;</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distributing our product candidates to clinical trial sites, or failure to establish effective protocols for the supply and transport of our product candidates;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reach agreement on clinical trial design and parameters with regulatory authorities, investigators, and IRBs;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420" w:hanging="503"/>
        <w:spacing w:after="0" w:line="342"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regulatory authorities or data monitoring committees requiring or recommending suspension, termination or a clinical hold for various reasons, including concerns about patient safety or the safety of novel therapeutics derived from pluripotent or genome edited therapies;</w:t>
      </w:r>
    </w:p>
    <w:p>
      <w:pPr>
        <w:spacing w:after="0" w:line="15" w:lineRule="exact"/>
        <w:rPr>
          <w:rFonts w:ascii="Arial" w:cs="Arial" w:eastAsia="Arial" w:hAnsi="Arial"/>
          <w:sz w:val="16"/>
          <w:szCs w:val="16"/>
          <w:color w:val="auto"/>
        </w:rPr>
      </w:pPr>
    </w:p>
    <w:p>
      <w:pPr>
        <w:ind w:left="1020" w:right="28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serious, life-threatening diseases of the patients enrolled in our clinical trials, who may die or suffer adverse medical events during the course of the trials for reasons that may not be related to our product candidates;</w:t>
      </w:r>
    </w:p>
    <w:p>
      <w:pPr>
        <w:spacing w:after="0" w:line="62"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patients to complete clinical trials or adhere to study protocols due to safety issues, side effects, disruptions in study conduct, including study monitoring, data collection and analysis, restrictions on hospital visits or travel relating to the COVID-19 pandemic, or other reasons;</w:t>
      </w:r>
    </w:p>
    <w:p>
      <w:pPr>
        <w:spacing w:after="0" w:line="75"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of competitive agents that may materially alter the standard of care on which a clinical development plan was based, which may require new or additional trials, or render our product candidates or clinical trial designs obsolete;</w:t>
      </w:r>
    </w:p>
    <w:p>
      <w:pPr>
        <w:spacing w:after="0" w:line="62" w:lineRule="exact"/>
        <w:rPr>
          <w:rFonts w:ascii="Arial" w:cs="Arial" w:eastAsia="Arial" w:hAnsi="Arial"/>
          <w:sz w:val="18"/>
          <w:szCs w:val="18"/>
          <w:color w:val="auto"/>
        </w:rPr>
      </w:pPr>
    </w:p>
    <w:p>
      <w:pPr>
        <w:ind w:left="1020" w:right="260" w:hanging="503"/>
        <w:spacing w:after="0" w:line="25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or regulatory delays, including any delays due to limitations on the availability of governmental and regulatory agency personnel to review regulatory filings, conduct site inspections or engage in discussions with us as a result of the ongoing COVID-19 pandemic, failure to obtain regulatory approval, or uncertainty or changes in U.S. or foreign regulatory requirements, policy or guidelines; and</w:t>
      </w:r>
    </w:p>
    <w:p>
      <w:pPr>
        <w:spacing w:after="0" w:line="78" w:lineRule="exact"/>
        <w:rPr>
          <w:rFonts w:ascii="Arial" w:cs="Arial" w:eastAsia="Arial" w:hAnsi="Arial"/>
          <w:sz w:val="18"/>
          <w:szCs w:val="18"/>
          <w:color w:val="auto"/>
        </w:rPr>
      </w:pPr>
    </w:p>
    <w:p>
      <w:pPr>
        <w:ind w:left="1020" w:hanging="503"/>
        <w:spacing w:after="0" w:line="279"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on clinical trial conduct at our clinical trial sites resulting from prioritization of hospital and other medical resources toward other efforts, such as the COVID-19 pandemic or other public health concerns, policies 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various public health concerns.</w:t>
      </w:r>
    </w:p>
    <w:p>
      <w:pPr>
        <w:spacing w:after="0" w:line="63"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If there are delays in initiating or conducting any clinical trials of our product candidates or any of these clinical trials are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the COVID-19 pandemic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spacing w:after="0" w:line="286"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b w:val="1"/>
          <w:bCs w:val="1"/>
          <w:i w:val="1"/>
          <w:iCs w:val="1"/>
          <w:color w:val="auto"/>
        </w:rPr>
        <w:t>The manufacture and distribution of our cell product candidates, particularly our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6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manufacture and supply of our cell product candidates involve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in some cases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84"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may make changes or be required by the FDA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70"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manufacturing processes for any products that we may develop are subject to FDA and foreign regulatory authority approval requirements, and we will need to meet, and our CMOs or other third party manufacturers will need to meet, all applicable FDA and foreign regulatory authority requirements on an ongoing basis. Our existing product candidates are currently manufactured by us or by third-party cell processing facilities or CMOs, including facilities operated by or affiliated with our clinical sites,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our CMOs or other third-party manufacturers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our CMOs or other third-party manufacturers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our third-party manufacturers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6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plan to develop and potentially commercialize our product candidates worldwide. Accordingly, we expect that we will be subject to additional risks related to operating in foreign countries, including:</w:t>
      </w:r>
    </w:p>
    <w:p>
      <w:pPr>
        <w:spacing w:after="0" w:line="62"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the U.S. and shipping the product candidate to the patient abroad;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4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the ongoing conflict in Ukraine.</w:t>
      </w:r>
    </w:p>
    <w:p>
      <w:pPr>
        <w:spacing w:after="0" w:line="117"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may not accept data from trials conducted in such locations.</w:t>
      </w:r>
    </w:p>
    <w:p>
      <w:pPr>
        <w:spacing w:after="0" w:line="6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To date, we have only conducted clinical trials in the United States. However, we may in the future choose to conduct one or more of our clinical trials or include sites in current or future clinical trials outside the United States.</w:t>
      </w:r>
    </w:p>
    <w:p>
      <w:pPr>
        <w:spacing w:after="0" w:line="62"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Although the FDA may accept data from sites or clinical trials outside the United States, acceptance of these data is subject to conditions imposed by the FDA. The FDA will generally not consider the data from a foreign clinical trial not conducted under an IND unless (i) the trial was well-designed and well-conducted in accordance with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it would likely result in the need for additional trials, which would be costly and time-consuming and would delay or halt our development of the applicable product candidates.</w:t>
      </w:r>
    </w:p>
    <w:p>
      <w:pPr>
        <w:spacing w:after="0" w:line="2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A disruption to our manufacturing operations, or our or our third-party suppliers’ or manufacturers’ inability to manufacture sufficient quantities of our product candidates at acceptable quality levels or costs, or at all, would materially and adversely affect our business</w:t>
      </w:r>
      <w:r>
        <w:rPr>
          <w:rFonts w:ascii="Arial" w:cs="Arial" w:eastAsia="Arial" w:hAnsi="Arial"/>
          <w:sz w:val="17"/>
          <w:szCs w:val="17"/>
          <w:color w:val="auto"/>
        </w:rPr>
        <w:t>.</w:t>
      </w:r>
    </w:p>
    <w:p>
      <w:pPr>
        <w:spacing w:after="0" w:line="3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spacing w:after="0" w:line="8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substantially dependent on our own internal manufacturing facilities in San Diego, California for the production of our product candidates, and we rely, and expect to continue to rely, on third parties for the manufacture of certain components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Because we rely on our own manufacturing facilities to produce our product candidates and on third parties for the manufacture of certain components, we are required to transfer certain manufacturing process know-how and certain intermediates to third parties, including larger-scale facilities operated by a CMO or by us, to facilitate manufacture of our product candidates for clinical trials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our CMOs could delay the continued development of our product candidates.</w:t>
      </w:r>
    </w:p>
    <w:p>
      <w:pPr>
        <w:spacing w:after="0" w:line="6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addition to relying on third parties for the manufacture of certain components for the manufacture of our product candidates, we manufacture our product candidates ourselves, and intend to manufacture some or all of the clinical supply of our iPSC-derived NK-cell and T-cell product candidates for our ongoing and planned clinical trials. To do so, we will need to scale up our own manufacturing operations, as we do not currently have the infrastructure or capability internally to manufacture sufficient quantities of each of our product candidates to support the conduct of each of our clinical trials or commercialization of each of our product candidates, if approved. Accordingly, we will be required to make significant investments to maintain and expand our existing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84"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facility shutdowns due to the ongoing COVID-19 pandemic or other public health concerns, the ongoing conflict in Ukraine, natural disasters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Further, delays in regulatory inspections, commissioning and receiving regulatory approvals for our manufacturing capabilities or facilities, including new facilities, as a result of limited governmental resources due to the COVID-19 pandemic or otherwise, could delay our development plans, including the initiation and conduct of our ongoing and planned clinical trials. In addition, we and our third-party manufacturers may have limited manufacturing capacity for certain product candidates or components, and we may fail to locate suitable additional or replacement manufacturing capacity, including for the manufacture of our product candidates in compliance with cGMP or cGTP, on a reasonable basis or at all. Any such failure could be the basis for the FDA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63"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applicable standards or specifications with consistent and acceptable production yields and costs. In addition, if contaminants are discovered in our supply of product candidates or in our manufacturing facilities or those of our third-party suppliers and manufacturers, such manufacturing facilities may need to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3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62"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The development of such complex cell therapies is a relatively new and emerging field, and the scientific research that forms the basis of our efforts to discover and develop iPSC-derived and genome edited cellular immunotherapies is ongoing.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 xml:space="preserve">candidates, and we may never know precisely how they function </w:t>
      </w:r>
      <w:r>
        <w:rPr>
          <w:rFonts w:ascii="Arial" w:cs="Arial" w:eastAsia="Arial" w:hAnsi="Arial"/>
          <w:sz w:val="18"/>
          <w:szCs w:val="18"/>
          <w:i w:val="1"/>
          <w:iCs w:val="1"/>
          <w:color w:val="auto"/>
        </w:rPr>
        <w:t>in vivo</w:t>
      </w:r>
      <w:r>
        <w:rPr>
          <w:rFonts w:ascii="Arial" w:cs="Arial" w:eastAsia="Arial" w:hAnsi="Arial"/>
          <w:sz w:val="18"/>
          <w:szCs w:val="18"/>
          <w:color w:val="auto"/>
        </w:rPr>
        <w:t>. Moreover, our genome editing approach may cause unintended changes to the DNA such as a non-target site gene editing, a large deletion or a DNA translocation, any of which could lead to oncogenesis or other adverse effects. As with any new biologic or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188"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found ineffective or cause harmful side effects during preclinical studies or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 to receive necessary regulatory approvals on a timely basis or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precluded from commercialization by proprietary rights of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difficult to manufacture on a large scale;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uneconomical to commercialize or fail to achieve market acceptance.</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w:t>
      </w:r>
    </w:p>
    <w:p>
      <w:pPr>
        <w:spacing w:after="0" w:line="68"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Our ability, and the ability of investigators, to enroll patients in our ongoing and planned clinical trials of our product candidates is affected by factors including:</w:t>
      </w:r>
    </w:p>
    <w:p>
      <w:pPr>
        <w:spacing w:after="0" w:line="62"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identify, solicit and recruit a sufficient number of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relatively small size and nature of the patient populations for certain of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eligibility criteria for the trials in question;</w:t>
      </w:r>
    </w:p>
    <w:p>
      <w:pPr>
        <w:spacing w:after="0" w:line="117" w:lineRule="exact"/>
        <w:rPr>
          <w:rFonts w:ascii="Arial" w:cs="Arial" w:eastAsia="Arial" w:hAnsi="Arial"/>
          <w:sz w:val="18"/>
          <w:szCs w:val="18"/>
          <w:color w:val="auto"/>
        </w:rPr>
      </w:pPr>
    </w:p>
    <w:p>
      <w:pPr>
        <w:ind w:left="1020" w:right="80" w:hanging="503"/>
        <w:spacing w:after="0" w:line="342"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 including any perceived risks associated with our iPSC-derived product candidates, which we believe are the first ever iPSC-derived cell therapies cleared by the FDA for clinical investigation in the United States;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competing therapies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the COVID-19 pandemic or other infectious diseases;</w:t>
      </w:r>
    </w:p>
    <w:p>
      <w:pPr>
        <w:spacing w:after="0" w:line="75"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cells suitable for the manufacture of our clinical product candidates from eligible and qualified donors for certain of our product candidates;</w:t>
      </w:r>
    </w:p>
    <w:p>
      <w:pPr>
        <w:spacing w:after="0" w:line="62"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components and agents necessary to enroll and treat prospective patients in our clinical trials, including agents such as cyclophosphamide and fludarabine which are often required to condition patients and the latter of which is reported to be in short supply in the United States and worldwide, or monoclonal antibodies which are intended for administration to patients in combination with our product candidates, in certain of our clinical trials;</w:t>
      </w:r>
    </w:p>
    <w:p>
      <w:pPr>
        <w:spacing w:after="0" w:line="78" w:lineRule="exact"/>
        <w:rPr>
          <w:rFonts w:ascii="Arial" w:cs="Arial" w:eastAsia="Arial" w:hAnsi="Arial"/>
          <w:sz w:val="18"/>
          <w:szCs w:val="18"/>
          <w:color w:val="auto"/>
        </w:rPr>
      </w:pPr>
    </w:p>
    <w:p>
      <w:pPr>
        <w:ind w:left="1020" w:right="800" w:hanging="503"/>
        <w:spacing w:after="0" w:line="308"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including through remote monitoring if required as a result of precautionary changes implemented at certain clinical trial sites as a result of the COVID-19 pandemic;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In addition, certain of our clinical trial sites at times have delayed or paused patient enrollment in clinical trials as a result of the COVID-19 pandemic and supply chain shortages, and quarantines or other travel limitations relating to the COVID-19 pandemic may impede patient movement and affect access to study sites, which may further impact patient enrollment in our clinical trials. The extent and duration of such delays and disruptions, and the overall impact on the timing and conduct of our clinical trials, are uncertain.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272"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spacing w:after="0" w:line="1"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The FDA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may cause delays in the initiation or conduct of the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spacing w:after="0" w:line="7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6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delayed in obtaining, or unable to obtain, regulatory approval for such product candidates;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or contraindications; or</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a product candidate is approved, have regulatory authorities withdraw their approval of the product or impose restrictions on its use.</w:t>
      </w:r>
    </w:p>
    <w:p>
      <w:pPr>
        <w:spacing w:after="0" w:line="62"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286"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3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focus on the development of programmed cellular immunotherapies for patients with cancer,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in development than those we ultimately elect to pursue. For example, in January 2023, we announced the discontinuation of our FT516, FT596, FT538, and FT536 NK cell programs to focus our resources on advancing our most innovative and differentiated programs. We are also expanding our research and development efforts into areas outside of oncology, such as autoimmune diseases, where we have limited or no experience. Due to these factors, our spending on current and future research and development programs and product candidates and the scientific innovation arising from these expenditures, may not yield commercially viable product candidates.</w:t>
      </w:r>
    </w:p>
    <w:p>
      <w:pPr>
        <w:spacing w:after="0" w:line="296"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b w:val="1"/>
          <w:bCs w:val="1"/>
          <w:i w:val="1"/>
          <w:iCs w:val="1"/>
          <w:color w:val="auto"/>
        </w:rPr>
        <w:t>We study our product candidates in patient populations with significant comorbidities that may result in deaths or serious adverse events or unacceptable side effects and require us to abandon or limit our clinical development activities.</w:t>
      </w:r>
    </w:p>
    <w:p>
      <w:pPr>
        <w:spacing w:after="0" w:line="38"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Patients treated with our current product candidates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28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w:t>
      </w:r>
    </w:p>
    <w:p>
      <w:pPr>
        <w:spacing w:after="0" w:line="76"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early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w:t>
      </w:r>
    </w:p>
    <w:p>
      <w:pPr>
        <w:spacing w:after="0" w:line="73" w:lineRule="exact"/>
        <w:rPr>
          <w:sz w:val="20"/>
          <w:szCs w:val="20"/>
          <w:color w:val="auto"/>
        </w:rPr>
      </w:pPr>
    </w:p>
    <w:p>
      <w:pPr>
        <w:ind w:right="220" w:firstLine="509"/>
        <w:spacing w:after="0" w:line="291" w:lineRule="auto"/>
        <w:rPr>
          <w:sz w:val="20"/>
          <w:szCs w:val="20"/>
          <w:color w:val="auto"/>
        </w:rPr>
      </w:pPr>
      <w:r>
        <w:rPr>
          <w:rFonts w:ascii="Arial" w:cs="Arial" w:eastAsia="Arial" w:hAnsi="Arial"/>
          <w:sz w:val="16"/>
          <w:szCs w:val="16"/>
          <w:color w:val="auto"/>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Additionally, due to the uncertainties associated with the preclinical and clinical development, manufacture, and regulatory requirements for approval of our product candidates, we may be required to modify or change our preclinical and clinical development 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spacing w:after="0" w:line="5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Cellular immunotherapies, and iPSC-derived cell therapies in particular, represent relatively new therapeutic areas, and the FDA has cautioned consumers about potential safety risks associated with cell therapies. To date, there are relatively few approved cell therapies, and the development of any cell therapy may be placed on hold by the FDA upon the detection of any unexpected safety event to evaluate the potential relevance of such novel technology to the occurrence of such safety event, highlighting the technical and regulatory risk of working with new technology. As a result, the regulatory approval process for product candidates such as ours is uncertain and may be more expensive and take longer than the approval process for cell therapy product candidates based on other, better known or more extensively studied technologies and therapeutic approaches.</w:t>
      </w:r>
    </w:p>
    <w:p>
      <w:pPr>
        <w:spacing w:after="0" w:line="56"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Regulatory requirements in the United States and in other countries governing the development of cell therapy products have changed frequently and the FDA or other regulatory bodies may change the requirements, or identify different regulatory pathways, for approval for any of our product candidates. The FDA previously established the Office of Tissues and Advanced Therapies (OTAT) within the Center for Biologics Evaluation and Research (CBER) to consolidate the review of cell therapy and related products, and to advise CBER on its review. In September 2022, the FDA announced retitling of OTAT to the Office of Therapeutic Products (OTP) and elevation of OTP to a "Super Office" to meet its growing cell and gene therapy workload and new commitments under the Prescription Drug User Fee Act agreement for fiscal years 2023-2027. It is possible that over time new or different divisions may be established or be granted the responsibility for regulating cell and/or gene therapy products, including iPSC-derived cell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products, such as ours. 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spacing w:after="0" w:line="27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7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7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results of our current and future clinical trials may differ from results achieved in earlier preclinical and clinical studies for a variety of reasons, including:</w:t>
      </w:r>
    </w:p>
    <w:p>
      <w:pPr>
        <w:spacing w:after="0" w:line="62"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demonstrate the potency and efficacy benefits observed in previous studies;</w:t>
      </w:r>
    </w:p>
    <w:p>
      <w:pPr>
        <w:spacing w:after="0" w:line="117" w:lineRule="exact"/>
        <w:rPr>
          <w:rFonts w:ascii="Arial" w:cs="Arial" w:eastAsia="Arial" w:hAnsi="Arial"/>
          <w:sz w:val="18"/>
          <w:szCs w:val="18"/>
          <w:color w:val="auto"/>
        </w:rPr>
      </w:pPr>
    </w:p>
    <w:p>
      <w:pPr>
        <w:ind w:left="1020" w:right="260" w:hanging="503"/>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differences in study design, including differences in conditioning regimens, eligibility criteria, and patient populations;</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advancements in the standard of care may affect our ability to demonstrate efficacy or achieve study endpoints in our current or future clinical trials;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issues or adverse events in patients who enroll in our current or future clinical trials.</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Additionally, some clinical trials of our product candidates performed to date were generated from open-label studies and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Phase 1 clinical trials of certain of our product candidates may not be predictive of future clinical trial results for these or other product candidates when studied in a controlled environment or larger patient populations.</w:t>
      </w:r>
    </w:p>
    <w:p>
      <w:pPr>
        <w:spacing w:after="0" w:line="60"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have, from time to time, reported positive interim clinical data for certain of our clinical programs,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62"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spacing w:after="0" w:line="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80"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2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the ongoing global COVID-19 pandemic, which could seriously impact the research and development of our product candidates.</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ongoing COVID-19 pandemic has broadly affected the global economy, resulted in significant travel and work restrictions in many regions and put a significant strain on healthcare resources. The pandemic has had, and may continue to have, an impact on our operations and on the operations of our collaborators, third-party contractors and other entities, including governmental agencies with which we interact. For example, in the first two years of the pandemic, state and local regulations required a significant portion of our employees to work remotely, which had an impact on our operations and research and development of our product candidates. We have also experienced delays in obtaining materials and supplies needed to maintain our operations and manufacture our product candidates as a result of production shortages experienced by our suppliers. Additionally, at times we have been subject to temporary pauses in enrollment and dosing implemented by some clinical trial sites due to COVID-19, and some clinical trial sites have also restricted initiation of new trials at times as well as visits by sponsors and clinical research organizations (CROs) for ongoing trials to protect both site staff and patients from possible COVID-19 exposure.</w:t>
      </w:r>
    </w:p>
    <w:p>
      <w:pPr>
        <w:spacing w:after="0" w:line="73"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COVID-19 pandemic, including the emergence of new variants, has impacted, and may in the future impact, the clinical development of our product candidates if we are subject to restrictions or limitations on, or delays in, the performance of study procedures (particularly any procedures that may be deemed non-essential), participant dosing, distribution of our product candidates or clinical trial materials, study monitoring, or site inspections and data analysis, including as a result of changes in hospital or research institution policies, federal, state or local regulations, prioritization of hospital and other medical resources toward pandemic efforts, reduced availability of site staff supporting the conduct of clinical trials, heightened risks of exposure of study participants, principal investigators or site staff to COVID-19 if an outbreak occurs in their geographic region, or other reasons related to the pandemic. Quarantine or other travel limitations (whether voluntary or required) also may impede participant movement, affect access to study sites, or interrupt healthcare services.</w:t>
      </w:r>
    </w:p>
    <w:p>
      <w:pPr>
        <w:spacing w:after="0" w:line="8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Furthermore, the pandemic could cause delays in review and response times by the FDA and other regulatory agencies, or such health regulatory agencies may refuse to accept data from our clinical trials due to mitigation strategies we implement in response to the COVID-19 pandemic or other public health concerns and current regulatory guidance. In addition, our ability to manufacture and ship our product candidates for our clinical trials may be impacted if we, or any third parties which manufacture and supply materials used in either the manufacture of our product candidates or the conduct of our research and development activities, or which perform certain testing relating to our product candidates, are adversely impacted by restrictions resulting from the coronavirus outbreak. There is also the potential that manufacturing facilities, equipment, and materials required for manufacture or administration of our product candidates could be commandeered under the Defense Production Act of 1950, or equivalent foreign legislation, which may make it more difficult to obtain materials, equipment, or manufacturing slots necessary for the clinical supply of our product candidates.</w:t>
      </w:r>
    </w:p>
    <w:p>
      <w:pPr>
        <w:spacing w:after="0" w:line="5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extent to which the pandemic affects our operations and the research and development of our product candidates will depend on continuously changing circumstances, which are highly uncertain and cannot be predicted with confidence, such as the duration of the pandemic, including the continued emergence of new variants of the virus, which may impact rates of infection and vaccination efforts and effectiveness, developments or perceptions regarding the safety of vaccines, future waves of infection, and the effectiveness of actions taken to contain the pandemic or mitigate its impact, including vaccination campaigns. While the ultimate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impact of the COVID-19 pandemic on our business is highly uncertain, any negative impacts that materialize could materially adversely affect our clinical development and operations, financial performance and stock price.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current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may seek regenerative medicine advanced therapy, or RMAT, designation for certain of our product candidates, but such designation may not actually lead to a faster development or regulatory review or approval process and we may be unable to obtain or maintain the benefits associated with such designation.</w:t>
      </w:r>
    </w:p>
    <w:p>
      <w:pPr>
        <w:spacing w:after="0" w:line="76"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We may seek regenerative medicine advanced therapy, or RMAT, designation from the FDA for certain of our product candidates.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qualifies for RMAT designation, the FDA may later decide that the product candidate no longer meets the conditions for qualification.</w:t>
      </w:r>
    </w:p>
    <w:p>
      <w:pPr>
        <w:spacing w:after="0" w:line="200" w:lineRule="exact"/>
        <w:rPr>
          <w:sz w:val="20"/>
          <w:szCs w:val="20"/>
          <w:color w:val="auto"/>
        </w:rPr>
      </w:pPr>
    </w:p>
    <w:p>
      <w:pPr>
        <w:spacing w:after="0" w:line="30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7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may rely on orphan drug exclusivity for product candidates that we may develop. Orphan drug status confers seven years of marketing exclusivity in the United States under the FDCA,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timeframes. Furthermore, any marketing exclusivity in Europe can be reduced from ten years to six years if the initial designation criteria have significantly changed since the market authorization of the orphan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For any product candidate for which we may be granted orphan drug designation in a particular indication,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Even if we are the first to obtain marketing authorization for an orphan drug indication in the United States, there are circumstances under which a competing product may be approved for the same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28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may seek designation for our cell programming technology as a designated platform technology, but we might not receive such designation, and even if we do, such designation may not lead to a faster development or regulatory review or approval process.</w:t>
      </w:r>
    </w:p>
    <w:p>
      <w:pPr>
        <w:spacing w:after="0" w:line="3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may seek designation for our cell programming technology as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or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or NDA for a drug that uses or incorporates the platform technology. Even if we believe our cell programming technology meets the criteria for such designation, the FDA may disagree and instead determine not to grant such designation. In addition, the receipt of such designation for a platform technology does not ensure that a drug will be developed more quickly or lead to a faster FDA review or approval process and does not assure ultimate FDA approval of a drug. Moreover, the FDA may revoke a designation if the FDA determines that a designated platform technology no longer meets the criteria for such designation.</w:t>
      </w:r>
    </w:p>
    <w:p>
      <w:pPr>
        <w:spacing w:after="0" w:line="29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57"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6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7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16"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While we currently manufacture our iPSC-derived cell product candidates at our cGMP facilities located in San Diego, California, we also rely, on third parties to manufacture certain components required for the manufacture of our product candidates, and we may rely on third parties to conduct some or all aspects of manufacturing of our product candidates for use in conducting later stage clinical trials and for commercial sale upon approval of any of our product candidates.</w:t>
      </w:r>
    </w:p>
    <w:p>
      <w:pPr>
        <w:spacing w:after="0" w:line="79"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6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spacing w:after="0" w:line="7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termination of our collaboration with Janssen will have a material impact on our business and could result in disruptions to our operations that have a material adverse effect on our business and financial condition.</w:t>
      </w:r>
    </w:p>
    <w:p>
      <w:pPr>
        <w:spacing w:after="0" w:line="62"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The termination of our Collaboration and Option Agreement with Janssen is expected to take effect on April 3, 2023. As a result of this termination, we have discontinued development of two collaboration candidates that were expected to enter clinical development in 2023. We have also prioritized our pipeline and substantially reduced our operating costs, including by implementing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company-wide reduction in force, to fund our operations into the second half of 2025. For more information on the termination of our collaboration with Janssen, see the section titled, "</w:t>
      </w:r>
      <w:r>
        <w:rPr>
          <w:rFonts w:ascii="Arial" w:cs="Arial" w:eastAsia="Arial" w:hAnsi="Arial"/>
          <w:sz w:val="18"/>
          <w:szCs w:val="18"/>
          <w:i w:val="1"/>
          <w:iCs w:val="1"/>
          <w:color w:val="auto"/>
        </w:rPr>
        <w:t>Business - Discontinued Product Candidates"</w:t>
      </w:r>
      <w:r>
        <w:rPr>
          <w:rFonts w:ascii="Arial" w:cs="Arial" w:eastAsia="Arial" w:hAnsi="Arial"/>
          <w:sz w:val="18"/>
          <w:szCs w:val="18"/>
          <w:color w:val="auto"/>
        </w:rPr>
        <w:t xml:space="preserve">. For more information on the risks associated with our reduction in force, see </w:t>
      </w:r>
      <w:r>
        <w:rPr>
          <w:rFonts w:ascii="Arial" w:cs="Arial" w:eastAsia="Arial" w:hAnsi="Arial"/>
          <w:sz w:val="18"/>
          <w:szCs w:val="18"/>
          <w:i w:val="1"/>
          <w:iCs w:val="1"/>
          <w:color w:val="auto"/>
        </w:rPr>
        <w:t>"- Risks Related to Our Business and Industry"</w:t>
      </w:r>
      <w:r>
        <w:rPr>
          <w:rFonts w:ascii="Arial" w:cs="Arial" w:eastAsia="Arial" w:hAnsi="Arial"/>
          <w:sz w:val="18"/>
          <w:szCs w:val="18"/>
          <w:color w:val="auto"/>
        </w:rPr>
        <w:t>.</w:t>
      </w:r>
    </w:p>
    <w:p>
      <w:pPr>
        <w:spacing w:after="0" w:line="29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depend on strategic partnerships and collaboration arrangements for the development and commercialization of certain of our product candidates in certain indications or geographic territories, and if these arrangements are unsuccessful, this could result in delays and other obstacles in the development, manufacture or commercialization of any of our product candidates and materially harm our results of operations.</w:t>
      </w:r>
    </w:p>
    <w:p>
      <w:pPr>
        <w:spacing w:after="0" w:line="4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Our strategy for fully developing and commercializing our product candidates is dependent upon maintaining our current arrangements and establishing new arrangements with research collaborators, corporate collaborators and other third parties. We currently have a corporate collaboration agreement with Ono; our collaboration with Janssen will terminate effective April 2023. Our collaboration agreement with Ono provides for, among other things, research funding and significant future payments should certain development, regulatory and commercial milestones be achieved. Under our arrangement with Ono and any future corporate arrangements that we may form, our corporate collaborators may be responsible for:</w:t>
      </w:r>
    </w:p>
    <w:p>
      <w:pPr>
        <w:spacing w:after="0" w:line="53"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electing to advance product candidates through preclinical and into clinical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conducting clinical development and obtaining required regulatory approvals for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commercializing any resulting products.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a result, we may not be able to conduct such corporate collaborations in the manner or on the time schedule we currently contemplate, which may negatively impact our business operations.</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Our lack of control over the research funding for, and the development and commercialization of, certain of our product candidates being developed under the Ono Agreement and any other product candidates that we may develop under a future arrangement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collaborator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70" w:lineRule="exact"/>
        <w:rPr>
          <w:sz w:val="20"/>
          <w:szCs w:val="20"/>
          <w:color w:val="auto"/>
        </w:rPr>
      </w:pPr>
    </w:p>
    <w:p>
      <w:pPr>
        <w:ind w:left="1020" w:right="5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shifts its priorities and resources away from our collaborations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ceases development in therapeutic areas which are the subject of our collaboration;</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fails to select a product candidate for advancement into preclinical development, clinical development, or subsequent clinical development into a marketed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the success criteria for a particular product candidate, thereby delaying or ceasing development of such product candidate;</w:t>
      </w:r>
    </w:p>
    <w:p>
      <w:pPr>
        <w:spacing w:after="0" w:line="128" w:lineRule="exact"/>
        <w:rPr>
          <w:rFonts w:ascii="Arial" w:cs="Arial" w:eastAsia="Arial" w:hAnsi="Arial"/>
          <w:sz w:val="17"/>
          <w:szCs w:val="17"/>
          <w:color w:val="auto"/>
        </w:rPr>
      </w:pPr>
    </w:p>
    <w:p>
      <w:pPr>
        <w:ind w:left="1020" w:right="1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develops a product candidate that competes, either directly or indirectly, with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obtain the requisite regulatory approval of a product candidate;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successfully commercialize a product candidate;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encounters regulatory, resource or quality issues and be unable to meet demand requirements;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exercises its rights under the agreement to terminate the collaboration, as Janssen did in January 2023, or otherwise withdraws support for, or otherwise impairs development under the collaboration;</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disagrees on the research, development or commercialization of a product candidate resulting in a delay in milestones, royalty payments or termination of such product candidate;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uses our proprietary information or intellectual property in such a way as to jeopardize our rights in such property.</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termination of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expensive. Any of these events could have a material adverse effect on our ability to develop and commercialize any of our product candidates and may adversely impact our business, prospects, financial condition, and results of operations.</w:t>
      </w:r>
    </w:p>
    <w:p>
      <w:pPr>
        <w:spacing w:after="0" w:line="278"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conduct of our clinical trials and the manufacture of our product candidates and do not have supply arrangements for certain of these components.</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73"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In addition, the clinical development of our product candidates depends on the availability of certain materials and agents used in our clinical trials. For example, certain of our clinical trial protocols require the use of cyclophosphamide and fludarabine, agents which are routinely used in oncology studies, and which we use in our clinical trial protocols to condition patients for treatment with our product candidates. Further, we intend to develop certain of our product candidates as a combination therapy with other cancer therapies, such as monoclonal antibodies, requiring availability and use of these monoclonal antibodies in certain of our clinical trial protocols. Recently, the FDA has reported a shortage of fludarabine, and some clinical trial sites may in the future institute enrollment holds or halt enrollment of patients if sufficient quantities of fludarabine cannot be secured. We cannot predict the extent and duration of this shortage of fludarabine, although any failure or delays by us or by our clinical sites to obtain sufficient quantities of fludarabine, monoclonal antibodies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5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As a result of the ongoing COVID-19 pandemic or other public health crises,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the COVID-19 pandemic or other pandemics, the ongoing conflict in Ukraine, regulatory actions or requirements affecting the supplier, adverse financial or other strategic developments experienced by a supplier, labor disputes or shortages, unexpected demands, or quality issues, could adversely affect our ability to manufacture our product candidates and our ability to conduct clinical trials, which could significantly harm our business.</w:t>
      </w:r>
    </w:p>
    <w:p>
      <w:pPr>
        <w:spacing w:after="0" w:line="8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00"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b w:val="1"/>
          <w:bCs w:val="1"/>
          <w:i w:val="1"/>
          <w:iCs w:val="1"/>
          <w:color w:val="auto"/>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spacing w:after="0" w:line="4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rely upon third parties, including medical institutions, clinical investigators, and CROs for the conduct of certain research and preclinical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8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If these third parties and CROs do not successfully carry out their contractual duties or obligations, meet expected deadlines or successfully 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6"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 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129"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and Restated Exclusive License Agreement dated May 15, 2018 (the Amended MSK License) with Memorial Sloan Kettering Cancer Center (MSK), in the event a licensed product achieves a specified clinical milestone, MSK is eligible to receive from us certain milestone payments totaling up to $75.0 million based on the price of our common stock, where the amount of such payments owed to MSK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or other proceedings from time to time relating to the enforcement or defense of patent and other intellectual property rights, which could cause us to divert our resources and could put our intellectual property at risk.</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 xml:space="preserve">To prevent infringement or unauthorized use of our intellectual property, we have in the past, and may in the future, need to file infringement claims. For example, in May 2022, we filed a patent infringement lawsuit in the Southern District of California against Shoreline Biosciences, Inc. and Dr. Dan Kaufman. Refer to Item 3. Legal Proceedings in this Annual Report on Form 10-K for a more detailed description of this matter.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Arial" w:cs="Arial" w:eastAsia="Arial" w:hAnsi="Arial"/>
          <w:sz w:val="17"/>
          <w:szCs w:val="17"/>
          <w:i w:val="1"/>
          <w:iCs w:val="1"/>
          <w:color w:val="auto"/>
        </w:rPr>
        <w:t xml:space="preserve">ex parte </w:t>
      </w:r>
      <w:r>
        <w:rPr>
          <w:rFonts w:ascii="Arial" w:cs="Arial" w:eastAsia="Arial" w:hAnsi="Arial"/>
          <w:sz w:val="17"/>
          <w:szCs w:val="17"/>
          <w:color w:val="auto"/>
        </w:rPr>
        <w:t>reexaminations, post-grant review, or</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proceedings before the U.S. Patent and Trademark Office (the USPTO) and</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spacing w:after="0" w:line="2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Arial" w:cs="Arial" w:eastAsia="Arial" w:hAnsi="Arial"/>
          <w:sz w:val="18"/>
          <w:szCs w:val="18"/>
          <w:i w:val="1"/>
          <w:iCs w:val="1"/>
          <w:color w:val="auto"/>
        </w:rPr>
        <w:t>ex part</w:t>
      </w:r>
      <w:r>
        <w:rPr>
          <w:rFonts w:ascii="Arial" w:cs="Arial" w:eastAsia="Arial" w:hAnsi="Arial"/>
          <w:sz w:val="18"/>
          <w:szCs w:val="18"/>
          <w:color w:val="auto"/>
        </w:rPr>
        <w:t xml:space="preserve">e reexaminations, post-grant review,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spacing w:after="0" w:line="87" w:lineRule="exact"/>
        <w:rPr>
          <w:sz w:val="20"/>
          <w:szCs w:val="20"/>
          <w:color w:val="auto"/>
        </w:rPr>
      </w:pPr>
    </w:p>
    <w:p>
      <w:pPr>
        <w:ind w:right="160" w:firstLine="509"/>
        <w:spacing w:after="0" w:line="289" w:lineRule="auto"/>
        <w:rPr>
          <w:sz w:val="20"/>
          <w:szCs w:val="20"/>
          <w:color w:val="auto"/>
        </w:rPr>
      </w:pPr>
      <w:r>
        <w:rPr>
          <w:rFonts w:ascii="Arial" w:cs="Arial" w:eastAsia="Arial" w:hAnsi="Arial"/>
          <w:sz w:val="16"/>
          <w:szCs w:val="16"/>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5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5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3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are planning to file patent applications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73"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56" w:lineRule="exact"/>
        <w:rPr>
          <w:sz w:val="20"/>
          <w:szCs w:val="20"/>
          <w:color w:val="auto"/>
        </w:rPr>
      </w:pPr>
    </w:p>
    <w:p>
      <w:pPr>
        <w:ind w:right="200" w:firstLine="509"/>
        <w:spacing w:after="0" w:line="271" w:lineRule="auto"/>
        <w:rPr>
          <w:sz w:val="20"/>
          <w:szCs w:val="20"/>
          <w:color w:val="auto"/>
        </w:rPr>
      </w:pPr>
      <w:r>
        <w:rPr>
          <w:rFonts w:ascii="Arial" w:cs="Arial" w:eastAsia="Arial" w:hAnsi="Arial"/>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20" w:right="30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62" w:lineRule="exact"/>
        <w:rPr>
          <w:rFonts w:ascii="Arial" w:cs="Arial" w:eastAsia="Arial" w:hAnsi="Arial"/>
          <w:sz w:val="18"/>
          <w:szCs w:val="18"/>
          <w:color w:val="auto"/>
        </w:rPr>
      </w:pPr>
    </w:p>
    <w:p>
      <w:pPr>
        <w:ind w:left="1020" w:right="720" w:hanging="503"/>
        <w:spacing w:after="0" w:line="308"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7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from time to time initiate litigation or administrative proceedings to enforce and/or defend our patent rights which will be costly whether we win or lose;</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alleged trade secrets.</w:t>
      </w:r>
    </w:p>
    <w:p>
      <w:pPr>
        <w:spacing w:after="0" w:line="140"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84"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or former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any products that we may develop and commercialize, and our patents or other intellectual property rights may not be effective or sufficient to prevent them from competing.</w:t>
      </w:r>
    </w:p>
    <w:p>
      <w:pPr>
        <w:spacing w:after="0" w:line="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rights, particularly patents. Obtaining and enforcing patents in the biotechnology industry involve both technological and legal complexity, and is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 of our patents may not be sufficient to effectively protect our market position and products.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62"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payers and others in the medical community.</w:t>
      </w:r>
    </w:p>
    <w:p>
      <w:pPr>
        <w:spacing w:after="0" w:line="6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payers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safety and efficacy of the products, and advantages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marketing strategy;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and maintaining adequate pricing and reimbursement; and</w:t>
      </w:r>
    </w:p>
    <w:p>
      <w:pPr>
        <w:spacing w:after="0" w:line="117" w:lineRule="exact"/>
        <w:rPr>
          <w:rFonts w:ascii="Arial" w:cs="Arial" w:eastAsia="Arial" w:hAnsi="Arial"/>
          <w:sz w:val="18"/>
          <w:szCs w:val="18"/>
          <w:color w:val="auto"/>
        </w:rPr>
      </w:pPr>
    </w:p>
    <w:p>
      <w:pPr>
        <w:ind w:left="1020" w:right="160" w:hanging="503"/>
        <w:spacing w:after="0" w:line="308"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3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6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3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 xml:space="preserve">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cancer,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 cost-effective; and (v) neither experimental nor investigational. For more information regarding the risks related to insurance coverage and reimbursement please see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 Regulation - Coverage and Reimbursement."</w:t>
      </w:r>
    </w:p>
    <w:p>
      <w:pPr>
        <w:spacing w:after="0" w:line="76"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29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restricted or smaller than we believe they are, our revenues may be adversely affected and our business may suffer. Because the target patient populations of our product candidates are small, we must be able to successfully identify patients and capture a significant market share to achieve and maintain profitability.</w:t>
      </w:r>
    </w:p>
    <w:p>
      <w:pPr>
        <w:spacing w:after="0" w:line="7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We focus our research and development on product candidates for rare diseases, including cancer and autoimmune disorders. The FDA often approves new therapies initially only for use in patients with relapsed or refractory advanced disease. We expect to initially seek approval of our product candidates in this setting. Subsequently, for those products that prove to be sufficiently beneficial, if any, we would expect to seek approval in earlier lines of treatment. There is no guarantee that our product candidates, even if approved, would be approved for earlier lines of therapy, and, prior to any such approvals, we will have to conduct additional clinical trials, including potentially comparative trials against approved therapies. Certain of our product candidates also target similar patient populations as autologous cell therapy product candidates, including approved autologous CAR T products. Our therapies may not be as safe and effective as approved autologous CAR T therapies and as a result, such product candidates may only be approved for patients who are ineligible for autologous CAR T therapy.</w:t>
      </w:r>
    </w:p>
    <w:p>
      <w:pPr>
        <w:spacing w:after="0" w:line="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projections of the number of people who have or will have the diseases we may be targeting, as well as the subset of patients with these cancers in a position to receive second or later lines of therapy and who have the potential to benefit from treatment with our product candidates, may prove to be incorrect. Further, new studies may change the estimated incidence or prevalence of these diseases. The number of patients in the United States, Europe and elsewhere may turn out to be lower than expected, or the potentially addressable patient population for our product candidates may be limited or may not be amenable to treatment with our product candidates, all of which would adversely affect our results of operations and our business. Additionally, because our target patient populations are small, we may never achieve profitability without capturing a significant market share or obtaining regulatory approval for additional indications for our products.</w:t>
      </w:r>
    </w:p>
    <w:p>
      <w:pPr>
        <w:spacing w:after="0" w:line="3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and regulations, which could expose us to criminal sanctions, civil penalties, contractual damages, reputational harm, and diminished profits and future earnings.</w:t>
      </w:r>
    </w:p>
    <w:p>
      <w:pPr>
        <w:spacing w:after="0" w:line="62"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Although we do not currently have any products on the market, if we obtain FDA approval for any of our product candidates and begins commercializing our products, we may be subject to additional healthcare statutory and regulatory requirements and enforcement by the federal government and the states and foreign governments in which we conduct our business. Healthcare providers, physicians, third-party payors, and others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For more information regarding the risks related to such laws and regulations please see "Business - Government Regulation - Other Healthcare Laws and Compliance Requirements."</w:t>
      </w:r>
    </w:p>
    <w:p>
      <w:pPr>
        <w:spacing w:after="0" w:line="5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Even if precautions are taken, it is possible that governmental authorities will conclude that our business practices could, despite efforts to comply, be subject to challenge under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of drugs from government funded healthcare programs, such as Medicare and Medicaid, additional reporting requirements and oversight if we become subject to a corporate integrity agreement or similar agreement to resolve allegations of non-compliance with these laws, reputational harm and the curtailment or restructuring of our operations. If any of the physicians or other healthcare providers or entities with whom we expect to do business is found not to be in compliance with applicable laws, that person or entity may be subject to significant criminal, civil or administrative sanctions, including exclusions from government funded healthcare programs. Prohibitions or restrictions on sales or withdrawal of future marketed products could materially affect our business in an adverse way.</w:t>
      </w:r>
    </w:p>
    <w:p>
      <w:pPr>
        <w:spacing w:after="0" w:line="71" w:lineRule="exact"/>
        <w:rPr>
          <w:sz w:val="20"/>
          <w:szCs w:val="20"/>
          <w:color w:val="auto"/>
        </w:rPr>
      </w:pPr>
    </w:p>
    <w:p>
      <w:pPr>
        <w:ind w:right="560" w:firstLine="509"/>
        <w:spacing w:after="0" w:line="259"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different compliance or reporting requirements increases the possibility that a healthcare company may run afoul of one or more of the requirements.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 xml:space="preserve">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such recently enacted and future legislation please see </w:t>
      </w:r>
      <w:r>
        <w:rPr>
          <w:rFonts w:ascii="Arial" w:cs="Arial" w:eastAsia="Arial" w:hAnsi="Arial"/>
          <w:sz w:val="17"/>
          <w:szCs w:val="17"/>
          <w:i w:val="1"/>
          <w:iCs w:val="1"/>
          <w:color w:val="auto"/>
        </w:rPr>
        <w:t>“Business – Government Regulation –</w:t>
      </w:r>
      <w:r>
        <w:rPr>
          <w:rFonts w:ascii="Arial" w:cs="Arial" w:eastAsia="Arial" w:hAnsi="Arial"/>
          <w:sz w:val="17"/>
          <w:szCs w:val="17"/>
          <w:color w:val="auto"/>
        </w:rPr>
        <w:t xml:space="preserve"> </w:t>
      </w:r>
      <w:r>
        <w:rPr>
          <w:rFonts w:ascii="Arial" w:cs="Arial" w:eastAsia="Arial" w:hAnsi="Arial"/>
          <w:sz w:val="17"/>
          <w:szCs w:val="17"/>
          <w:i w:val="1"/>
          <w:iCs w:val="1"/>
          <w:color w:val="auto"/>
        </w:rPr>
        <w:t>Healthcare Reform and Other Regulatory Changes.”</w:t>
      </w:r>
    </w:p>
    <w:p>
      <w:pPr>
        <w:spacing w:after="0" w:line="74"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some of which are beyond our control.</w:t>
      </w:r>
    </w:p>
    <w:p>
      <w:pPr>
        <w:spacing w:after="0" w:line="76"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product candidates are designed and are being developed as therapeutic entities for use as cellular immunotherapies, and all of our current product candidates are based on our novel iPSC platform. Additionally, some of our product candidates utilize novel genome editing technologies. To date, there is limited clinical trial experience testing iPSC-derived therapeutic product candidates and genome edited therapeutics.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There can be no assurance that any product candidates developed from or related to our iPSC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will negatively affect our ability to develop and commercialize our product candidates.</w:t>
      </w:r>
    </w:p>
    <w:p>
      <w:pPr>
        <w:spacing w:after="0" w:line="27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auto"/>
        </w:rPr>
        <w:t>We face intense competition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or have fewer side effects, or if they compete in various other aspects of our business, our ability to develop and successfully commercialize product candidates and to execute on our business plans will be adversely affected.</w:t>
      </w:r>
    </w:p>
    <w:p>
      <w:pPr>
        <w:spacing w:after="0" w:line="5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Should one or more of these competing product candidates or other competing product candidates of which we are not aware receive regulatory approval or 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7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Even if we successfully obtain approval for any product candidate, we will face competition based on many different factors, including the relative safety and efficacy of our product candidates, the actual or perceived quality of patient life while undergoing treatment with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and the relative prioritization of our product candidates by physicians and healthcare providers among available therapies.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 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2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The loss of any members of our senior management team could adversely impact our operations if we experience difficulties in recruiting and hiring qualified successors. We may also experience difficulties in attracting or retaining personnel with sufficient experience and skills in the complex and emerging field of cellular therapeutic development and manufacture to support our ongoing and planned clinical development activities. 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2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recent reduction in force undertaken to better align our workforce with the needs of our business and product pipeline prioritization may not achieve our intended outcome.</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January 2023, we announced a reduction in force affecting approximately 60% of our workforce to better align our workforce with the needs of our business and focus our capital resources on select product candidates, helping to provide that we are appropriately resourced into the second half of 2025. This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certain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2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pandemics or epidemics, including the COVID-19 pandemic, which could also cause significant disruption in the operations of CMOs, CROs, or other third parties upon whom we rely.</w:t>
      </w:r>
    </w:p>
    <w:p>
      <w:pPr>
        <w:spacing w:after="0" w:line="62" w:lineRule="exact"/>
        <w:rPr>
          <w:sz w:val="20"/>
          <w:szCs w:val="20"/>
          <w:color w:val="auto"/>
        </w:rPr>
      </w:pPr>
    </w:p>
    <w:p>
      <w:pPr>
        <w:ind w:right="680" w:firstLine="509"/>
        <w:spacing w:after="0" w:line="308" w:lineRule="auto"/>
        <w:rPr>
          <w:sz w:val="20"/>
          <w:szCs w:val="20"/>
          <w:color w:val="auto"/>
        </w:rPr>
      </w:pPr>
      <w:r>
        <w:rPr>
          <w:rFonts w:ascii="Arial" w:cs="Arial" w:eastAsia="Arial" w:hAnsi="Arial"/>
          <w:sz w:val="17"/>
          <w:szCs w:val="17"/>
          <w:color w:val="auto"/>
        </w:rPr>
        <w:t>Our business has been, and could be, adversely affected by the effects of health pandemics or epidemics, which could also cause significant disruption in the operations of clinical trial sites, CMOs, CROs and other third parties upon whom we rely. For example, as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result of the ongoing COVID-19 pandemic, we have experienced disruptions to our supply chain, ongoing and future clinical trials and development of our product candidates.</w:t>
      </w:r>
    </w:p>
    <w:p>
      <w:pPr>
        <w:spacing w:after="0" w:line="62"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In response to the COVID-19 pandemic, we implemented a remote work model for all employees except certain key essential members involved in business-critical activities. While most of our office-based employees have returned to the office under flexible work guidelines, a remote work model may need to be reinstated at some point in the future as the effects of the COVID-19 pandemic or other public health emergencies require. The effects of a remote and flexible work model may negatively impact productivity, disrupt our business and delay our clinical programs and timelines, and could also increase our cybersecurity risk. We may also face challenges or disruptions upon a return back to the workplace, including re-integration challenges by our employees and distractions to management related to such transition.</w:t>
      </w:r>
    </w:p>
    <w:p>
      <w:pPr>
        <w:spacing w:after="0" w:line="7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Additionally, in response to COVID-19 or other future pandemics or epidemics, quarantines, stay at home orders, travel restrictions and other state and local restrictions on the conduct of business operations could occur, and any such restrictions could impact personnel at CMOs in the United States and other countries, or the availability or cost of materials, which would disrupt our supply chain. Further, global public health concerns and pandemics, such as the COVID-19 pandemic, which caused a broad impact globally, may materially affect our financial condition and prospects.</w:t>
      </w:r>
    </w:p>
    <w:p>
      <w:pPr>
        <w:spacing w:after="0" w:line="6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ultimate impact of the COVID-19 pandemic or a similar health pandemic or epidemic is highly uncertain, although any negative effects could have a material adverse impact on our operations, or the operations of third parties on whom we rely.</w:t>
      </w:r>
    </w:p>
    <w:p>
      <w:pPr>
        <w:spacing w:after="0" w:line="2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62"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76"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equity securities that would dilute our current stockholders’ percentage ownership;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substantial debt that may place strains on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to integrate new businesses, technologies and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 substantial actual or contingent liabilities;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reprioritize our development programs and even cease development and commercialization of our product candidates; or</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62"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far in excess of our limited insurance coverage.</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87" w:lineRule="exact"/>
        <w:rPr>
          <w:sz w:val="20"/>
          <w:szCs w:val="20"/>
          <w:color w:val="auto"/>
        </w:rPr>
      </w:pPr>
    </w:p>
    <w:p>
      <w:pPr>
        <w:ind w:right="420" w:firstLine="509"/>
        <w:spacing w:after="0" w:line="257" w:lineRule="auto"/>
        <w:rPr>
          <w:sz w:val="20"/>
          <w:szCs w:val="20"/>
          <w:color w:val="auto"/>
        </w:rPr>
      </w:pPr>
      <w:r>
        <w:rPr>
          <w:rFonts w:ascii="Arial" w:cs="Arial" w:eastAsia="Arial" w:hAnsi="Arial"/>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8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policies are expensive and protect us from only some risks, which leaves us exposed to significant uninsured liabilities.</w:t>
      </w:r>
    </w:p>
    <w:p>
      <w:pPr>
        <w:spacing w:after="0" w:line="1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Further, insurance coverage may not be available or successfully secured for loss profits or business interruption relating to the COVID-19 pandemic and its impacts. Any significant uninsured liability may require us to pay substantial amounts, which would adversely affect our cash position and results of operations.</w:t>
      </w:r>
    </w:p>
    <w:p>
      <w:pPr>
        <w:spacing w:after="0" w:line="3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and independent contractor misconduct could also involve the improper use of information obtained in the course of clinical trials, which could result in regulatory sanctions and cause serious harm to our reputation. If any actions alleging such conduct are instituted against us, and we are not successful in defending ourselves or asserting our rights, those actions could have a significant effect on our business, including the imposition of significant fines or other sanctions.</w:t>
      </w:r>
    </w:p>
    <w:p>
      <w:pPr>
        <w:spacing w:after="0" w:line="28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6"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HIPAA and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 and requiring notification of affected individuals and state regulators in the event of a breach of such personal information. These state laws include the CCPA and its related regulations, and the CPRA amending the CCPA, which establish additional data privacy rights for residents of the State of California, with corresponding obligations on businesses related to transparency, deletion rights, and opt-out of the selling of personal information, and grants a private right of action for individuals in the event of certain security breaches. Similar laws relating to data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privacy and security have been proposed in other states and at the federal level, and if passed, such laws may have potentially conflicting requirements that would make compliance challenging, require us to expend significant resources to come into compliance, and restrict our ability to process certain personal information.</w:t>
      </w:r>
    </w:p>
    <w:p>
      <w:pPr>
        <w:spacing w:after="0" w:line="7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Certain state laws may be more stringent or broader in scope than the CPRA, or offer greater individual rights, with respect to confidential, sensitive and personal information than federal, international or other state laws, and such laws may differ from each other, which may complicate compliance efforts.</w:t>
      </w:r>
    </w:p>
    <w:p>
      <w:pPr>
        <w:spacing w:after="0" w:line="7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where private rights of action are available could also generate adverse publicity, damage our reputation, result in liabilities, fines and loss of business, and require that we devote substantial resources that could otherwise be used in other aspects of our business.</w:t>
      </w:r>
    </w:p>
    <w:p>
      <w:pPr>
        <w:spacing w:after="0" w:line="73"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customers to reduce their use of our products and services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services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6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sensitive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vendors, and consultants may be vulnerable to damage from cyber risks, including attempts to gain unauthorized access to and to harm sensitive information and networks, insider threats, and ransomware. These vulnerabilities may be heightened as a result of remote work policies implemented by us and our third-party contractors in response to the COVID-19 pandemic.</w:t>
      </w:r>
    </w:p>
    <w:p>
      <w:pPr>
        <w:spacing w:after="0" w:line="7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from time to time experienced, and may continue to experience in the future, cyber-attacks on our information technology systems despite our best efforts to prevent them. Although such breaches have been immaterial to our business to date, investigations into and remedial efforts in connection with any breaches, even those with immaterial impact, can be costly and time-consuming, and any future breaches could be material, or cause significant disruption, to our business.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 incidents. If they fail to do so, we may suffer financial and other harm, including to our information, operations, performance, and reputation. To the extent that any disruption or security breach were to result in a loss of, or damage to, our data or systems, or inappropriate disclosure of confidential or proprietary information, we could incur liability and the further development and commercialization of our product candidates could be delayed.</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Cyber threats, both on premises and in the cloud, are evolving and include, but are not limited to: malicious software, destructive malware, ransomware, attempts to gain unauthorized access to systems or data, disruption to operations, critical systems or denial of service attacks; unauthorized release of confidential, personal or otherwise protected information; corruption of data, networks or systems; harm to individuals; and loss of assets. In addition, we could be impacted by cyber threats or other disruptions or vulnerabilities found in products or services we use that are provided to us by third-parties.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70"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breaches, failures or disruptions of our infrastructure, catastrophic events and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29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0" w:lineRule="exact"/>
        <w:rPr>
          <w:sz w:val="20"/>
          <w:szCs w:val="20"/>
          <w:color w:val="auto"/>
        </w:rPr>
      </w:pPr>
    </w:p>
    <w:p>
      <w:pPr>
        <w:ind w:firstLine="300"/>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the Ownership of Our Common Stock</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Our ongoing and planned operations, including the development of our product candidates, will require substantial additional funding, without which we will be unable to complete preclinical or clinical development of, or obtain regulatory approval for, our product candidates.</w:t>
      </w:r>
    </w:p>
    <w:p>
      <w:pPr>
        <w:spacing w:after="0" w:line="1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are currently advancing multiple product candidates through clinical development, and conducting preclinical research and development activities in our other programs. Drug development is expensive, and we expect our research and development expenses to increase substantially in connection with our ongoing activities, particularly as we advance our current product candidates in clinical trials and seek to initiate clinical development for additional product candidates.</w:t>
      </w:r>
    </w:p>
    <w:p>
      <w:pPr>
        <w:spacing w:after="0" w:line="7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As of December 31, 2022, our cash and cash equivalents and investments were $441.2 million. We intend to use our cash and cash equivalents and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to commercialize our existing product candidates and any other 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spacing w:after="0" w:line="73" w:lineRule="exact"/>
        <w:rPr>
          <w:sz w:val="20"/>
          <w:szCs w:val="20"/>
          <w:color w:val="auto"/>
        </w:rPr>
      </w:pPr>
    </w:p>
    <w:p>
      <w:pPr>
        <w:ind w:left="1020" w:right="48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progress, results, size, timing and costs of our ongoing and planned clinical trials, and any additional clinical trials we may initiate, conduct or support for our product candidates;</w:t>
      </w:r>
    </w:p>
    <w:p>
      <w:pPr>
        <w:spacing w:after="0" w:line="62" w:lineRule="exact"/>
        <w:rPr>
          <w:rFonts w:ascii="Arial" w:cs="Arial" w:eastAsia="Arial" w:hAnsi="Arial"/>
          <w:sz w:val="18"/>
          <w:szCs w:val="18"/>
          <w:color w:val="auto"/>
        </w:rPr>
      </w:pPr>
    </w:p>
    <w:p>
      <w:pPr>
        <w:ind w:left="1020" w:right="22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spacing w:after="0" w:line="75" w:lineRule="exact"/>
        <w:rPr>
          <w:rFonts w:ascii="Arial" w:cs="Arial" w:eastAsia="Arial" w:hAnsi="Arial"/>
          <w:sz w:val="18"/>
          <w:szCs w:val="18"/>
          <w:color w:val="auto"/>
        </w:rPr>
      </w:pPr>
    </w:p>
    <w:p>
      <w:pPr>
        <w:ind w:left="1020" w:hanging="503"/>
        <w:spacing w:after="0" w:line="286"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57" w:lineRule="exact"/>
        <w:rPr>
          <w:rFonts w:ascii="Arial" w:cs="Arial" w:eastAsia="Arial" w:hAnsi="Arial"/>
          <w:sz w:val="17"/>
          <w:szCs w:val="17"/>
          <w:color w:val="auto"/>
        </w:rPr>
      </w:pPr>
    </w:p>
    <w:p>
      <w:pPr>
        <w:ind w:left="1020" w:right="14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 in connection with the stock price appreciation milestones;</w:t>
      </w:r>
    </w:p>
    <w:p>
      <w:pPr>
        <w:spacing w:after="0" w:line="75"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62" w:lineRule="exact"/>
        <w:rPr>
          <w:rFonts w:ascii="Arial" w:cs="Arial" w:eastAsia="Arial" w:hAnsi="Arial"/>
          <w:sz w:val="18"/>
          <w:szCs w:val="18"/>
          <w:color w:val="auto"/>
        </w:rPr>
      </w:pPr>
    </w:p>
    <w:p>
      <w:pPr>
        <w:ind w:left="1020" w:right="20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75"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20" w:right="18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spacing w:after="0" w:line="75" w:lineRule="exact"/>
        <w:rPr>
          <w:rFonts w:ascii="Arial" w:cs="Arial" w:eastAsia="Arial" w:hAnsi="Arial"/>
          <w:sz w:val="18"/>
          <w:szCs w:val="18"/>
          <w:color w:val="auto"/>
        </w:rPr>
      </w:pPr>
    </w:p>
    <w:p>
      <w:pPr>
        <w:ind w:left="1020" w:right="80" w:hanging="503"/>
        <w:spacing w:after="0" w:line="342"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establish and maintain strategic arrangements and alliances with third-party collaborators including our existing collaborations with Ono, the University of Minnesota, and MSK, to advance the research, development and commercialization of therapeutic products.</w:t>
      </w:r>
    </w:p>
    <w:p>
      <w:pPr>
        <w:spacing w:after="0" w:line="1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and interest obligations and we may be required to agree to certain restrictive covenants, such as limitations on our ability to incur additional debt, limitations on our ability to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COVID-19 pandemic and the ongoing conflict in Ukraine on the global economy remain unknown and difficult to predict, these events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spacing w:after="0" w:line="69"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 additional capital, or obtain adequate funds, will have a material adverse effect on our business, prospects, financial condition, results of operations, and market price of shares of our common stock.</w:t>
      </w:r>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December 31, 2022, we had an accumulated deficit of $1.05 billion.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70"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subject to fluctuation based on a variety of factors.</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market price of shares of our common stock could be subject to wide fluctuations as a result of many risks listed in this section, and other risks beyond our control, including:</w:t>
      </w:r>
    </w:p>
    <w:p>
      <w:pPr>
        <w:spacing w:after="0" w:line="62"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the initiation of, and progress in, our current and planned clinical trials;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 and the results of clinical trials and preclinical studies by others for product candidates or indications similar to ours;</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62" w:lineRule="exact"/>
        <w:rPr>
          <w:rFonts w:ascii="Arial" w:cs="Arial" w:eastAsia="Arial" w:hAnsi="Arial"/>
          <w:sz w:val="18"/>
          <w:szCs w:val="18"/>
          <w:color w:val="auto"/>
        </w:rPr>
      </w:pPr>
    </w:p>
    <w:p>
      <w:pPr>
        <w:ind w:left="1020" w:right="840" w:hanging="503"/>
        <w:spacing w:after="0" w:line="30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 such as our recent announcement of the termination of our collaboration with Janssen;</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developments related to proprietary rights including patents, litigation matters and our ability to obtain patent protection for our technologies;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actual or anticipated changes in our research and development activities and our business prospects, including in relation to our competitors;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of technological innovations or new therapeutic products by us or others in the field of immunotherapy;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or expectations of additional equity or debt financing efforts;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our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comments by securities analysts;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our operating results (including changes related to stock-based compensation from performance-based awards);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conflicts in Ukraine;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and market conditions, including inflationary pressures and stock market volatility.</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These and other market and industry factors, including the effects of the COVID-19 pandemic, the ongoing conflict in Ukraine,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4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Changes in our stock price may also trigger financial obligations under our licensing arrangements. For example, pursuant to the terms of our license agreement with MSK, MSK is eligible to receive from us certain milestone payments totaling up to $75.0 million based on the price of our common stock, where the amount of such payments owed to MSK is contingent upon certain increases in the price of our common stock following the date of achievement of a specified clinical milestone. In July 2021, we achieved the specified clinical milestone for a licensed product under our license agreement with MSK and our ten-trading day trailing average common stock price exceeded the first, pre-specified threshold. Accordingly, MSK received the first milestone payment of $20.0 million in November 2021; however, uncertainty of the price of our common stock results in an inability to ascertain the precise timing of any remaining future milestone payments in advance.</w:t>
      </w:r>
    </w:p>
    <w:p>
      <w:pPr>
        <w:spacing w:after="0" w:line="3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may be able to exercise significant control over our company.</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As of February 22, 2023, our executive officers, directors and entities affiliated with our five percent stockholders beneficially own, in the aggregate, shares representing approximately 56.5% of our outstanding voting stock. If, in accordance with the CoD (as such term is defined in Note 9 of the notes to the consolidated financial statements herewith) relating to the Class A Convertible Preferred Stock, Redmile (as such term is defined in Note 9 of the notes to the consolidated financial statements herewith) elects to remove certain limitations on the percentage of the our outstanding common stock that it may own such that the 2,794,549 shares of Class A Convertible Preferred Stock currently held by Redmile become fully convertible at Redmile’s option into 13,972,745 shares of common stock, the beneficial ownership of our executive officers, directors and entities affiliated with our five percent stockholders would increase to 61.8%.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2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2021 we filed a registration statement on Form S-3 pursuant to which we may issue up to $350.0 million in common stock in sales deemed to be an “at the market offering” as defined by the Securities Act of 1933, as amended (the Securities Act) and, so long as we qualify as a “well-known seasoned issuer” as defined in Rule 405 of the Securities Act, an unlimited amount of shares of our common stock, preferred stock, debt securities, warrants and/or units. Any sale or issuance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7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have registered the shares of common stock issued to Johnson &amp; Johnson Innovation – JJDC, Inc. under a stock purchase agreement entered into in connection with the Janssen Agreement pursuant to a registration statement on Form S-3. Moreover, we registered all of the 5,380,117 shares of common stock issued by us and all of the 257,310 prefunded warrants to purchase common stock in our public offering in January 2021.</w:t>
      </w:r>
    </w:p>
    <w:p>
      <w:pPr>
        <w:spacing w:after="0" w:line="5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employees and affiliates have established or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our cash, cash equivalents, and investments and may not use them effectively.</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6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 of directors with limitations on the removal of directors;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amended and restated bylaws;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2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w:t>
      </w:r>
    </w:p>
    <w:p>
      <w:pPr>
        <w:spacing w:after="0" w:line="2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As of December 31, 2022, we had federal and California net operating loss carryforwards of $392.5 million and $452.2 million, respectively, some of which begin to expire in various amounts in 2027 and 2028, respectively. As of December 31, 2022, we also had federal and California research and development tax credit carryforwards of $35.1 million and $33.3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 than 50 percentage points in the ownership of a corporation’s stock, by value, over a three-year period constitutes an ownership change for U.S. federal income tax purposes. We have determined that we triggered an ownership change limitation in November 2009 and again in May 2015. We have determined that we do not believe there were any ownership changes from May 2015 through December 2022. We have not analyzed periods subsequent to December 2022.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2022,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could be further subject to securities class action litigation and other types of stockholder litigation.</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 xml:space="preserve">The stock market in general, and the Nasdaq Global Market and biotechnology companies in particular, have experienced extreme price and volume fluctuations that have often been unrelated or disproportionate to the operating performance of these companies. Securities class action litigation has often been instituted against companies following periods of volatility in the market price of a company’s securities. For example, in January 2023, a purported stockholder filed a lawsuit against us and certain of our officers captioned Hadian v. Fate Therapeutics, Inc. et al. in the U.S. District Court for the Southern District of California (see </w:t>
      </w:r>
      <w:r>
        <w:rPr>
          <w:rFonts w:ascii="Arial" w:cs="Arial" w:eastAsia="Arial" w:hAnsi="Arial"/>
          <w:sz w:val="16"/>
          <w:szCs w:val="16"/>
          <w:i w:val="1"/>
          <w:iCs w:val="1"/>
          <w:color w:val="auto"/>
        </w:rPr>
        <w:t>"Item 3. Legal Proceedings"</w:t>
      </w:r>
      <w:r>
        <w:rPr>
          <w:rFonts w:ascii="Arial" w:cs="Arial" w:eastAsia="Arial" w:hAnsi="Arial"/>
          <w:sz w:val="16"/>
          <w:szCs w:val="16"/>
          <w:color w:val="auto"/>
        </w:rPr>
        <w:t>)We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6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From time to time, we may become involved in disputes, claims and lawsuits relating to our business operations. For example, we have in the past and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(particularly as a result of the COVID-19 pandemic), underemployment or the repeal of certain provisions of the ACA may decrease the demand for healthcare services and pharmaceuticals.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spacing w:after="0" w:line="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including as a result of the COVID-19 pandemic, the ongoing conflict in Ukraine, interest rate fluctuations, rising inflations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the COVID-19 pandemic, the ongoing conflict in Ukraine, current economic climate and financial market conditions could adversely impact our business.</w:t>
      </w:r>
    </w:p>
    <w:p>
      <w:pPr>
        <w:spacing w:after="0" w:line="28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63"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continue the research and development or our existing product candidates and develop or enhance our technological infrastructure;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pursue acquisitions, in-licenses or other strategic relationships;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17"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9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Recent increases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1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To meet our liquidity needs, we have previously relied, in part, on borrowed funds, and may do so again in the future. Continued increases in interest rates will increase the cost of new indebtedness and could materially and adversely affect our results of operations, financial condition, liquidity and cash flows.</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Geopolitical risks associated with the ongoing military conflict between Russia and Ukraine could have an adverse impact on our business, financial condition and results of operations, including our clinical trials.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February 2022, Russia commenced a military invasion of Ukraine, and sustained conflict and disruption in the region is likely. Although the conflict has had little direct impact on our business to date, the uncertainty and ripple effects created by this conflict may have unknown indirect impacts. For instance, the ongoing conflict has resulted in significant volatility in certain equity, debt and currency markets, material increases in certain commodity prices, and economic uncertainty. It is not possible to predict the broader or longer-term consequences of this conflict, although a prolonged conflict may result in adverse effects on microeconomic conditions including inflation; disruptions to our global technology infrastructure, including through cyberattack, ransom attack, or cyber-intrusion; adverse changes in international trade policies and relations; disruptions in global supply chains; our exposure to foreign currency fluctuations; and constraints, volatility, or disruption in the capital markets, any of which could negatively impact our business, financial performance and financial condition. Sanctions imposed by the U.S., Canada, EU, and other countries in response to the conflict between Russia and Ukraine and the potential response to such sanctions may also have an adverse impact our business, including our clinical trials, the financial markets and the global economy.</w:t>
      </w:r>
    </w:p>
    <w:p>
      <w:pPr>
        <w:spacing w:after="0" w:line="7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We continue to monitor any adverse impact that the outbreak of war in Ukraine and the subsequent institution of sanctions against Russia by the United States and other countries may have on the global economy in general, on our business and operations and on the businesses and operations of our suppliers and third parties with whom we conduct business.</w:t>
      </w:r>
    </w:p>
    <w:p>
      <w:pPr>
        <w:spacing w:after="0" w:line="292"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fires, or other natural disasters, including epidemics and pandemics such as COVID-19, and our business continuity and disaster recovery plans may not adequately protect us from a serious disaster.</w:t>
      </w:r>
    </w:p>
    <w:p>
      <w:pPr>
        <w:spacing w:after="0" w:line="1"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Earthquakes, fires,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as a result of the COVID-19 pandemic, we may experience delays or disruptions in our clinical development activities, our research and development activities, and in the supply of drug product or other materials and components necessary to conduct our clinical trials. Any continued or subsequent measures taken by governmental authorities or businesses to contain the spread of COVID-19, or the perception that such measures may be required in the future should another outbreak occur,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have in place currently are limited and may not prove adequate for protecting and continuing our business in the event that our business is disrupted as a result of the COVID-19 pandemic or other serious disaster or similar event. We may incur substantial expenses as a result of the limited nature of our disaster recovery and business continuity plans, which, when taken together with our lack of earthquake insurance, could have a material adverse effect on our business.</w:t>
      </w:r>
    </w:p>
    <w:p>
      <w:pPr>
        <w:spacing w:after="0" w:line="28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62"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62"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29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38"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41"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In addition, under Section 174 of the Internal Revenue Code of 1986, as amended,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by corporate citizenship and environmental, social and corporate governance matters and/or our reporting of such matters.</w:t>
      </w:r>
    </w:p>
    <w:p>
      <w:pPr>
        <w:spacing w:after="0" w:line="62"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7"/>
          <w:szCs w:val="17"/>
          <w:color w:val="auto"/>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December 31, 2022, we occupied approximately 200,000 square feet of office, laboratory and Good Manufacturing Practice (GMP) manufacturing space in San Diego, California under a non-cancelable operating lease through May 2036. In addition, we have additional operating leases for office and laboratory space in San Diego, California, San Francisco, California, and New York, New York. We believe that these facilities are adequate for our current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are currently pursuing claims in two lawsuits that we filed in 2022 against Shoreline Biosciences, Inc. (Shoreline) and certain of its founders and officers (collectively referred to as the Shoreline litigations). The first suit is pending in San Diego Superior Court against Shoreline and three of its founders, Drs. Dan S. Kaufman (Kaufman), Kleanthis G. Xanthopoulos, and Steven Holtzman. Our claims stem from Kaufman’s founding of and participation in Shoreline’s business, in breach of his exclusivity obligations to us as our scientific advisor pursuant to a Scientific Advisor Agreement between Kaufman and the Company. Our claims include actions for breach of contract, breach of implied covenant of good faith and fair dealing, fraud and deceit, tortious interference, restitution and unfair competition. We are seeking monetary damages.</w:t>
      </w:r>
    </w:p>
    <w:p>
      <w:pPr>
        <w:spacing w:after="0" w:line="7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the second of the Shoreline litigations, we and Whitehead Institute for Biomedical Research (Whitehead) filed a lawsuit in the U.S. District Court for the Southern District of California against Shoreline and Kaufman seeking damages for the defendants’ infringement of U.S. Patent Nos. 8,071,369, 8,932,856, 8,951,797, 8,940,536, 9,169,490, 10,457,917, and 10,017,744 (the Whitehead Patents). The Whitehead Patents, which we exclusively license from Whitehead, relate to key compositions and methods for reprogramming human somatic cells to a pluripotent state in the generation of induced pluripotent stem cells (iPSCs). Shoreline and Kaufman have each filed answers to our complaint denying infringement and alleging invalidity of the Whitehead Patents.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Shoreline litigations are in the discovery stage and remain pending.</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On January 20, 2023, a purported stockholder of the Company filed a lawsuit against the Company and certain of its officers captioned Hadian v. Fate Therapeutics, Inc. et al. in the U.S. District Court for the Southern District of California. The complaint alleges that the Company violated the federal securities laws by making allegedly false and/or misleading statements and/or omissions in its public disclosures dating back to April 2020 relating to the Company’s collaboration agreement with Janssen Biotech, Inc. (the Janssen Agreement), potential future revenue sources for the Company from the Janssen Agreement, and the termination of the Janssen Agreement. We believe that there is no merit to this case and we intend to vigorously defend against it.</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From time to time, we may be subject to various other legal proceedings and claims that arise in the ordinary course of our business activities.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76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ticker symbol is “FATE”, as traded and reported by The NASDAQ Global Market.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As of February 22, 2023, there were approximately 22 stockholders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Set forth below is a graph comparing the cumulative total return on our common stock, the NASDAQ Composite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(US) Index and the NASDAQ Biotechnology Index over the five-year period ending December 31, 2022. The graph assumes that $100 was invested in our common stock and in each of the comparative indices as of the market close on December 31, 2017. The past performance of our common stock is no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104140</wp:posOffset>
            </wp:positionV>
            <wp:extent cx="5246370" cy="37630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4637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During the year ended December 31, 2022, we did not issue or sell any unregistered securities not previously disclosed in a Quarterly Report on Form 10-Q or in a Current Report on Form 8-K.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securities during the year ended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under Item 8 of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7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i w:val="1"/>
          <w:iCs w:val="1"/>
          <w:color w:val="auto"/>
        </w:rPr>
        <w:t>This section of this Form 10-K generally discusses 2022 and 2021 items and year-to-year comparisons between 2022 and 2021. Discussions of 2020 items and year-to-year comparisons between 2021 and 2020 that are not included in this Form 10-K can be found in “Management’s Discussion and Analysis of Financial Condition and Results of Operations” in Part II, Item 7 of the Company’s Annual Report on Form 10-K for the fiscal year ended December 31, 2021 as filed with the Securities and Exchange Commission on February 28, 2022 and incorporated herein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We are a clinical-stage biopharmaceutical company dedicated to bringing a first-in-class pipeline of programmed cellular immunotherapies to patients with cancer and autoimmune disorders. Our development of first-in-class cell therapy product candidates is based on a simple notion: we believe that better cell therapies start with better cells.</w:t>
      </w:r>
    </w:p>
    <w:p>
      <w:pPr>
        <w:spacing w:after="0" w:line="76" w:lineRule="exact"/>
        <w:rPr>
          <w:sz w:val="20"/>
          <w:szCs w:val="20"/>
          <w:color w:val="auto"/>
        </w:rPr>
      </w:pPr>
    </w:p>
    <w:p>
      <w:pPr>
        <w:jc w:val="both"/>
        <w:ind w:right="260" w:firstLine="509"/>
        <w:spacing w:after="0" w:line="287" w:lineRule="auto"/>
        <w:rPr>
          <w:sz w:val="20"/>
          <w:szCs w:val="20"/>
          <w:color w:val="auto"/>
        </w:rPr>
      </w:pPr>
      <w:r>
        <w:rPr>
          <w:rFonts w:ascii="Arial" w:cs="Arial" w:eastAsia="Arial" w:hAnsi="Arial"/>
          <w:sz w:val="16"/>
          <w:szCs w:val="16"/>
          <w:color w:val="auto"/>
        </w:rPr>
        <w:t>To create better cell therapies, we have pioneered a therapeutic approach that we generally refer to as cell programming: we create and engineer human induced pluripotent stem cells (iPSCs) to incorporate novel synthetic controls of cell function; we generate a clonal master iPSC line for use as a renewable source of cell manufacture; and we direct the fate of the clonal master iPSC line to produce our first-in-class cell therapy product candidate.</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Analogous to master cell lines used to manufacture biopharmaceutical drug products such as monoclonal antibodies, we believe clonal master iPSC lines can be used to mass produce multiplexed-engineered cellular immunotherapies which are well-defined and uniform in composition, can be stored in inventory for off-the-shelf availability, can be combined and administered with other therapies, and can have broader patient reach.</w:t>
      </w:r>
    </w:p>
    <w:p>
      <w:pPr>
        <w:spacing w:after="0" w:line="65" w:lineRule="exact"/>
        <w:rPr>
          <w:sz w:val="20"/>
          <w:szCs w:val="20"/>
          <w:color w:val="auto"/>
        </w:rPr>
      </w:pPr>
    </w:p>
    <w:p>
      <w:pPr>
        <w:jc w:val="both"/>
        <w:ind w:right="340" w:firstLine="509"/>
        <w:spacing w:after="0" w:line="286" w:lineRule="auto"/>
        <w:rPr>
          <w:sz w:val="20"/>
          <w:szCs w:val="20"/>
          <w:color w:val="auto"/>
        </w:rPr>
      </w:pPr>
      <w:r>
        <w:rPr>
          <w:rFonts w:ascii="Arial" w:cs="Arial" w:eastAsia="Arial" w:hAnsi="Arial"/>
          <w:sz w:val="17"/>
          <w:szCs w:val="17"/>
          <w:color w:val="auto"/>
        </w:rPr>
        <w:t>Utilizing this therapeutic approach, we are advancing a cell therapy pipeline comprised of off-the-shelf, multiplexed-engineered, iPSC-derived natural killer (NK) and T-cell product candidates that are selectively designed, incorporate novel synthetic controls of cell function, and are intended to deliver multiple mechanisms of therapeutic importance to patients for the treatment of cancer and autoimmune disease.</w:t>
      </w:r>
    </w:p>
    <w:p>
      <w:pPr>
        <w:spacing w:after="0" w:line="5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have entered into a research collaboration and license agreement with the Regents of the University of Minnesota to develop off-the-shelf, engineered NK-cell cancer immunotherapies derived from clonal master iPSC lines. Additionally, we have entered into a research collaboration and license agreement with Memorial Sloan Kettering Cancer Center (MSK) to develop off-the-shelf, engineered T-cell cancer immunotherapies derived from clonal master iPSC lines.</w:t>
      </w:r>
    </w:p>
    <w:p>
      <w:pPr>
        <w:spacing w:after="0" w:line="7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September 2018, we entered into a collaboration and option agreement with Ono Pharmaceutical Co. Ltd. (Ono) for the joint development and commercialization of off-the-shelf, iPSC-derived CAR T-cell product candidates (Ono Agreement) for the treatment of cancer. In June 2022, we entered into an amendment (Ono Amendment) to the Ono Agreement to expand the collaboration to include the research and development of off-the-shelf, iPSC-derived CAR NK-cell product candidates and pursuant to the Ono Agreement, Ono agreed to provide novel binding domains targeting a second solid tumor antigen under the collaboration.</w:t>
      </w:r>
    </w:p>
    <w:p>
      <w:pPr>
        <w:spacing w:after="0" w:line="80"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In April 2020, we entered into a collaboration and option agreement with Janssen Biotech, Inc. (Janssen), part of the Janssen Pharmaceutical Companies of Johnson &amp; Johnson (Janssen Agreement), for the development and commercialization of off-the-shelf, iPSC-derived CAR NK and CAR T-cell product candidates for the treatment of cancer. On January 3, 2023, we received notice of termination from Janssen of the Janssen Agreement. During 2022, Janssen had exercised a commercial option for two collaboration candidates: an iPSC-derived, CAR-targeted NK cell product candidate for the treatment of B-cell lymphoma, for which the U.S. Food and Drug Administration (the FDA) allowed an Investigational New Drug (IND) application in December 2022; and an iPSC-derived, CAR-targeted NK cell product candidate for the treatment of multiple myeloma, for which the companies were preparing to submit an IND application to the FDA in early 2023. In addition, the companies were researching and preclinically developing two iPSC-derived, CAR-targeted T-cell programs for the treatment of solid tumors. The termination of the Janssen Agreement will take effect on April 3, 2023 and, during the first quarter of 2023, we will wind down our activities with Janssen, including discontinuing development of all collaboration products.</w:t>
      </w:r>
    </w:p>
    <w:p>
      <w:pPr>
        <w:spacing w:after="0" w:line="58"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As a result of the termination of the Janssen collaboration and the NK cell program prioritization, during the first quarter of 2023 we are reducing our workforce to approximately 220 employees. We expect that we will incur charges of approximately $12 million to $16 million for severance and other employee termination-related costs in the first quarter of 2023. The restructuring is expected to extend our cash runway into the second half of 2025.</w:t>
      </w:r>
    </w:p>
    <w:p>
      <w:pPr>
        <w:spacing w:after="0" w:line="4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were incorporated in Delaware in 2007, and are headquartered in San Diego, CA. Since our inception in 2007, we have devoted substantially all of our resources to our cell programming approach and the research and development of our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candidates, the creation, licensing and protection of related intellectual property, and the provision of general and administrative support for these activities. To date, we have funded our operations primarily through the public and private sale of common stock, the private placement of preferred stock and convertible notes, commercial bank debt and revenues from collaboration activities and grants.</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increase substantially in connection with our ongoing and planned activities as we:</w:t>
      </w:r>
    </w:p>
    <w:p>
      <w:pPr>
        <w:spacing w:after="0" w:line="63" w:lineRule="exact"/>
        <w:rPr>
          <w:sz w:val="20"/>
          <w:szCs w:val="20"/>
          <w:color w:val="auto"/>
        </w:rPr>
      </w:pPr>
    </w:p>
    <w:p>
      <w:pPr>
        <w:ind w:left="1020" w:right="100" w:hanging="503"/>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our ongoing and planned clinical trials of our product candidates, which may include higher clinical trial expenses associated with arrangements we may into with clinical research organizations (CROs) for the execution and management of certain clinical trials, including trials outside of the United States;</w:t>
      </w:r>
    </w:p>
    <w:p>
      <w:pPr>
        <w:spacing w:after="0" w:line="75" w:lineRule="exact"/>
        <w:rPr>
          <w:rFonts w:ascii="Arial" w:cs="Arial" w:eastAsia="Arial" w:hAnsi="Arial"/>
          <w:sz w:val="18"/>
          <w:szCs w:val="18"/>
          <w:color w:val="auto"/>
        </w:rPr>
      </w:pPr>
    </w:p>
    <w:p>
      <w:pPr>
        <w:ind w:left="1020" w:right="60" w:hanging="503"/>
        <w:spacing w:after="0" w:line="25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Good Manufacturing Practice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IND-enabling preclinical development;</w:t>
      </w:r>
    </w:p>
    <w:p>
      <w:pPr>
        <w:spacing w:after="0" w:line="78"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procure laboratory equipment, materials and supplies for the manufacture of our product candidates and the conduct of our research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preclinical and clinical research to investigate the therapeutic activity of our product candidates;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our research, development and manufacturing activities, including under our sponsored research and collaboration agreement with Ono;</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 prosecute, protect, expand and enforce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engage with regulatory authorities for the development of, and seek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build out business operations at our corporate headquarters, including internal GMP production capabilities;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implement the corporate restructuring and reduction in force that we announced in January 2023; and</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operating as a public company and support our operations and develop commercial infrastructure for potential commercialization of our product candidates.</w:t>
      </w:r>
    </w:p>
    <w:p>
      <w:pPr>
        <w:spacing w:after="0" w:line="6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We do not expect to generate any meaningful revenues from product sales, royalties,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collaboration arrangements,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w:t>
      </w:r>
    </w:p>
    <w:p>
      <w:pPr>
        <w:spacing w:after="0" w:line="8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Due to the global outbreak of SARS-CoV-2, the strain of coronavirus that causes Coronavirus disease 2019 (COVID-19), we continued to experience impacts on certain aspects of our business, including our clinical trial, manufacturing, and research and development activities, during the year ended December 31, 2022. For example, we also continue to experience delays in obtaining equipment, materials, and supplies needed to conduct our clinical trials, maintain our operations, and manufacture our product candidates as a result of production shortages experienced by our suppliers in connection with the COVID-19 pandemic. The scope and duration of these delays and disruptions, and the ultimate impacts of the COVID-19 pandemic on our operations, remain uncertain, and depend on continuously changing circumstances, including the emergence of new variants of the virus. We continue to monitor the impact of the COVID-19 pandemic on our business and may take further precautionary and preemptive actions as may be required by federal, state or local authorities or that we determine are in the best interests of public health and safety and that of our patient community, employees, partners, and stockholders. For more information regarding the risks and uncertainties associated with the evolving effects of COVID-19 on our business, our preclinical and clinical development and regulatory efforts, refer to Part I Item 1A. Risk Factors.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jc w:val="both"/>
        <w:ind w:right="140" w:firstLine="509"/>
        <w:spacing w:after="0" w:line="286" w:lineRule="auto"/>
        <w:rPr>
          <w:sz w:val="20"/>
          <w:szCs w:val="20"/>
          <w:color w:val="auto"/>
        </w:rPr>
      </w:pPr>
      <w:r>
        <w:rPr>
          <w:rFonts w:ascii="Arial" w:cs="Arial" w:eastAsia="Arial" w:hAnsi="Arial"/>
          <w:sz w:val="17"/>
          <w:szCs w:val="17"/>
          <w:color w:val="auto"/>
        </w:rPr>
        <w:t>We conduct substantially all of our activities through Fate Therapeutics, Inc., a Delaware corporation, at our facilities headquartered in San Diego, California. The results of operations include the operations of the Company and its subsidiaries. To date, the aggregate operations of our subsidiaries have not been significant and all intercompany transactions and balances have been eliminated in consolidation.</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To date, we have not generated any revenues from therapeutic product sales or royalties. Our revenues have been derived from collaboration agreements and government grants.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Agreement with Janssen Biotech, Inc.</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On April 2, 2020 (the Janssen Agreement Effective Date), we entered into a Collaboration and Option Agreement (the Janssen Agreement) with Janssen Biotech, Inc. (Janssen), part of the Janssen Pharmaceutical Companies of Johnson &amp; Johnson. Additionally, on the Janssen Agreement Effective Date, we entered into a Stock Purchase Agreement (the Stock Purchase Agreement) with Johnson &amp; Johnson Innovation - JJDC, Inc. (JJDC). Under the terms of the Janssen Agreement and the Stock Purchase Agreement taken together, we received $100.0 million, of which $50.0 million was an upfront cash payment and $50.0 million was in the form of an equity investment by JJDC. Additionally, we are entitled to receive fees for the conduct of all research, preclinical development and IND-enabling activities performed by us under the Janssen Agreement.</w:t>
      </w:r>
    </w:p>
    <w:p>
      <w:pPr>
        <w:spacing w:after="0" w:line="70"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determined the common stock purchase by JJDC represented a premium of $9.93 per share, or $16.0 million in aggregate (the Equity Premium), and the remaining $34.0 million was recorded as issuance of common stock in shareholders’ equity.</w:t>
      </w:r>
    </w:p>
    <w:p>
      <w:pPr>
        <w:spacing w:after="0" w:line="62"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 xml:space="preserve">We concluded that certain units of account within the Janssen Agreement represented a customer relationship, and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we determined that the initial transaction price under the Janssen Agreement equals $66.0 million, consisting of the upfront, non-refundable and non-creditable payment of $50.0 million and the Equity Premium of $16.0 million. In addition, we identified our potential performance obligations under the Janssen Agreement, including our grant to Janssen of a license to certain of our intellectual property subject to certain conditions, our conduct of research and development services, and our participation in various joint oversight committees. We determined that our grant of a license to Janssen and our conduct of research and development services should be accounted for as one combined performance obligation, and that the combined performance obligation is transferred over the expected term of the conduct of the research and development services, which is estimated to be four years. Additionally, we determined that participation in the various joint oversight committees did not constitute a performance obligation as our participation in the various joint oversight committees does not transfer a service.</w:t>
      </w:r>
    </w:p>
    <w:p>
      <w:pPr>
        <w:spacing w:after="0" w:line="58"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During the year ended December 31, 2022, we achieved two pre-defined research milestones under the Janssen Agreement and received a cash payment of $3.0 million per milestone achieved, for a total of $6.0 million received.</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During the year ended December 31, 2022, Janssen elected to exercise a commercial option for two separate development candidates with respect to two particular Janssen Antigens (as defined under the Janssen Agreement), and as a result, we received one of the Option Exercise Payments (as defined under the Janssen Agreement) of $10.0 million cash, and are entitled to receive an additional Option Exercise Payment (as defined under the Janssen Agreement) of $10.0 million.</w:t>
      </w:r>
    </w:p>
    <w:p>
      <w:pPr>
        <w:spacing w:after="0" w:line="79"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During the year ended December 31, 2022, we filed an IND for the second antigen, development candidate, which was cleared by the FDA on December 15, 2022. Accordingly, we achieved a pre-defined clinical development milestone under the Janssen Agreement and are entitled to receive a $3.0 million payment from Janssen.</w:t>
      </w:r>
    </w:p>
    <w:p>
      <w:pPr>
        <w:spacing w:after="0" w:line="76" w:lineRule="exact"/>
        <w:rPr>
          <w:sz w:val="20"/>
          <w:szCs w:val="20"/>
          <w:color w:val="auto"/>
        </w:rPr>
      </w:pPr>
    </w:p>
    <w:p>
      <w:pPr>
        <w:ind w:right="260" w:firstLine="578"/>
        <w:spacing w:after="0" w:line="263" w:lineRule="auto"/>
        <w:rPr>
          <w:sz w:val="20"/>
          <w:szCs w:val="20"/>
          <w:color w:val="auto"/>
        </w:rPr>
      </w:pPr>
      <w:r>
        <w:rPr>
          <w:rFonts w:ascii="Arial" w:cs="Arial" w:eastAsia="Arial" w:hAnsi="Arial"/>
          <w:sz w:val="18"/>
          <w:szCs w:val="18"/>
          <w:color w:val="auto"/>
        </w:rPr>
        <w:t>During the year ended December 31, 2022, we recognized $79.7 million of collaboration revenue under the Janssen Agreement. During the year ended December 31, 2021, we recognized $43.7 million of collaboration revenue under the Janssen Agreement. As of December 31, 2022, aggregate deferred revenue related to the Janssen Agreement was $41.2 million.</w:t>
      </w:r>
    </w:p>
    <w:p>
      <w:pPr>
        <w:spacing w:after="0" w:line="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On January 3, 2023, we received notice of termination from Janssen of the Janssen Agreement. The termination will take effect on April 3, 2023 and, during the first quarter of 2023, we will wind down our activities with Janssen, including discontinuing development of all collaboration products. Under the terms of the Janssen Agreement, in connection with the termination, (i) all licenses and other rights granted to either party pursuant to the Janssen Agreement will terminate, subject to limited exceptions set forth in the Janssen Agreement; (ii) both parties will wind down any development, commercialization and manufacturing activities under the Janssen Agreement; (iii) neither party will have any right to continue to develop, manufacture or commercialize any collaboration candidate or collaboration product or use the other party’s materials; and (iv) neither party is restricted from independently developing, manufacturing, or commercializing any product, including any products directed to the same antigens as those of any collaboration candidate or collaboration product. We expect to recognize the remaining amount of deferred revenue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$41.2 million and any payments from Janssen for wind down activities, which cannot currently be estimated, during the first quarter of 2023.</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Ono Pharmaceutical Co., Ltd.</w:t>
      </w:r>
    </w:p>
    <w:p>
      <w:pPr>
        <w:spacing w:after="0" w:line="117" w:lineRule="exact"/>
        <w:rPr>
          <w:sz w:val="20"/>
          <w:szCs w:val="20"/>
          <w:color w:val="auto"/>
        </w:rPr>
      </w:pPr>
    </w:p>
    <w:p>
      <w:pPr>
        <w:jc w:val="both"/>
        <w:ind w:right="460" w:firstLine="509"/>
        <w:spacing w:after="0" w:line="301" w:lineRule="auto"/>
        <w:rPr>
          <w:sz w:val="20"/>
          <w:szCs w:val="20"/>
          <w:color w:val="auto"/>
        </w:rPr>
      </w:pPr>
      <w:r>
        <w:rPr>
          <w:rFonts w:ascii="Arial" w:cs="Arial" w:eastAsia="Arial" w:hAnsi="Arial"/>
          <w:sz w:val="16"/>
          <w:szCs w:val="16"/>
          <w:color w:val="auto"/>
        </w:rPr>
        <w:t>On September 14, 2018, we entered into a Collaboration and Option Agreement (the Ono Agreement) with Ono for the joint development and commercialization of two off-the-shelf iPSC-derived CAR T-cell product candidates (Candidate 1 and Candidate 2). Pursuant to the terms of the Ono Agreement, we received an upfront, non-refundable and non-creditable payment of $10.0 million. Additionally, we are entitled to receive fees for the conduct of research and development under a joint development plan, which fees were estimated to be $20.0 million in aggregate.</w:t>
      </w:r>
    </w:p>
    <w:p>
      <w:pPr>
        <w:spacing w:after="0" w:line="49"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concluded that certain units of account within the Ono Agreement represented a customer relationship and in accordance with ASC 606, we determined that the initial transaction price under the Ono Agreement equals $30.0 million, consisting of the upfront, non-refundable and non-creditable payment of $10.0 million and the aggregate estimated research and development fees of $20.0 million. In addition, we identified our performance obligations under the Ono Agreement, including our grant to Ono of a license to certain of our intellectual property subject to certain conditions, our conduct of research services, and our participation in a joint steering committee. We determined that all performance obligations should be accounted for as one combined performance obligation since no individual performance obligation is distinct, and that the combined performance obligation is transferred over the expected term of the conduct of the research services, which is estimated to be four years.</w:t>
      </w:r>
    </w:p>
    <w:p>
      <w:pPr>
        <w:spacing w:after="0" w:line="69"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December 2020, we entered into a letter agreement with Ono pursuant to which Ono delivered proprietary antigen binding domains targeting an antigen expressed on certain solid tumors for incorporation into Candidate 2 and paid the Company a milestone fee of $10.0 million for further research and development of Candidate 2. In addition, Ono terminated all further research and development with respect to Candidate 1, and we retained all rights to research, develop and commercialize Candidate 1 throughout the world without any obligation to Ono.</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June 2022, we entered into an amendment with Ono to the Ono Agreement (the Ono Amendment). Pursuant to the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the companies expanded the scope of the collaboration to include the research and development of iPSC-derived CAR NK cell product candidates (in addition to iPSC-derived CAR T-cell product candidates) targeting the designated solid tumor antigens. Similar to Candidate 2, we granted to Ono, during a specified period of time, a preclinical option to obtain an exclusive license under certain intellectual property rights, subject to payment of an option exercise fee to us by Ono, to develop and commercialize Candidate 3 in all territories of the world, where we retain rights to co-develop and co-commercialize Candidate 3 in the United States and Europe under a joint arrangement with Ono under which we are eligible to share at least 50% of the profits and losses. We maintained worldwide rights of manufacture for Candidate 3. The preclinical option expires upon the earlier of: (a) September 30, 2024, or (b) the achievement of the pre-defined preclinical milestone under the joint development plan for Candidate 3. Subject to payment of an extension fee by Ono, Ono may choose to defer its decision to exercise the preclinical option until no later than June 2026. Under the Ono Amendment, aggregate estimated research and development fees have been increased by approximately $9.3 million, for a total estimated $29.3 million in aggregate research and development fees over the course of the joint development plan.</w:t>
      </w:r>
    </w:p>
    <w:p>
      <w:pPr>
        <w:spacing w:after="0" w:line="78"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In November 2022, Ono exercised its preclinical option to Candidate 2, and we exercised our preclinical option to co-develop and co-commercialize (CDCC Option) in the United States and Europe under a joint arrangement with Ono. As a result, we are entitled to an option exercise fee of $12.5 million from Ono.</w:t>
      </w:r>
    </w:p>
    <w:p>
      <w:pPr>
        <w:spacing w:after="0" w:line="76"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During the years ended December 31, 2022 and 2021, we recognized $16.6 million and $12.1 million, respectively, of collaboration revenue under the Ono Agreement. As of December 31, 2022, aggregate deferred revenue related to the Ono Agreement and Ono Letter Agreement was $1.1 million.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79"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salaries and employee-related costs, including stock-based compensation;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investigative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 including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1020" w:right="60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associated with conducting our preclinical, process and scale-up development, manufacturing, clinical and regulatory activities, including fees paid to third-party professional consultants, service providers and suppliers;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incurred for our research, development and manufacturing activities, including under our collaboration agreements;</w:t>
      </w:r>
    </w:p>
    <w:p>
      <w:pPr>
        <w:spacing w:after="0" w:line="117"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for laboratory equipment, materials and supplies for the manufacture of our product candidates and the conduct of our research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incurred to license and maintain intellectual property;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facilities, depreciation and other expenses including allocated expenses for rent and maintenance of facilities.</w:t>
      </w:r>
    </w:p>
    <w:p>
      <w:pPr>
        <w:spacing w:after="0" w:line="117"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We plan to increase our current level of research and development expenses for the foreseeable future as we continue the clinical and preclinical development and the manufacture of our product candidates, research and develop our iPSC product platform, and perform our obligations under collaboration agreements including under our agreements with Ono, University of Minnesota, and MSK. Our current planned research and development activities over the next twelve months consist primarily of the following:</w:t>
      </w:r>
    </w:p>
    <w:p>
      <w:pPr>
        <w:spacing w:after="0" w:line="79" w:lineRule="exact"/>
        <w:rPr>
          <w:sz w:val="20"/>
          <w:szCs w:val="20"/>
          <w:color w:val="auto"/>
        </w:rPr>
      </w:pPr>
    </w:p>
    <w:p>
      <w:pPr>
        <w:ind w:left="1020" w:right="30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conducting clinical trials of our product candidates, including through the engagement of CROs to manage various aspects of our clinical trials;</w:t>
      </w:r>
    </w:p>
    <w:p>
      <w:pPr>
        <w:spacing w:after="0" w:line="62" w:lineRule="exact"/>
        <w:rPr>
          <w:rFonts w:ascii="Arial" w:cs="Arial" w:eastAsia="Arial" w:hAnsi="Arial"/>
          <w:sz w:val="18"/>
          <w:szCs w:val="18"/>
          <w:color w:val="auto"/>
        </w:rPr>
      </w:pPr>
    </w:p>
    <w:p>
      <w:pPr>
        <w:ind w:left="1020" w:right="140" w:hanging="503"/>
        <w:spacing w:after="0" w:line="28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conducting GMP production, including through the use of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IND-enabling preclinical development;</w:t>
      </w:r>
    </w:p>
    <w:p>
      <w:pPr>
        <w:spacing w:after="0" w:line="57" w:lineRule="exact"/>
        <w:rPr>
          <w:rFonts w:ascii="Arial" w:cs="Arial" w:eastAsia="Arial" w:hAnsi="Arial"/>
          <w:sz w:val="17"/>
          <w:szCs w:val="17"/>
          <w:color w:val="auto"/>
        </w:rPr>
      </w:pPr>
    </w:p>
    <w:p>
      <w:pPr>
        <w:ind w:left="1020" w:right="54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procuring laboratory equipment, materials and supplies for the manufacture of our product candidates and the conduct of our research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conducting preclinical and clinical research to investigate the therapeutic activity of our product candidates; and</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conducting research, development and manufacturing activities, including under our sponsored research and collaboration agreement with Ono.</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global economic and market conditions, the ongoing COVID-19 pandemic and the ongoing conflict in Ukraine on our business and operations, and our expenditures may be increased by delays or disruptions due to these or other factors, including as a result of actions we take in the near term to ensure business continuity and protect against possible supply chain shortages.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increase in the future as we increase our research and development activities, maintain compliance with exchange listing and SEC requirements, protect and enforce our intellectual property, and continue to operate as a public company.</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Other income (expense) consists of changes in the fair value of stock price appreciation milestones associated with the Amended and Restated Exclusive License Agreement dated May 15, 2018 (the Amended MSK License) with Memorial Sloan Kettering Cancer Center (MSK), interest income earned on cash and cash equivalents and interest income from investments (including the amortization of discounts and premiums).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 License,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that the following critical accounting policies reflect the more significant procedures, estimates and assumptions used in the preparation of our consolidated financial statements.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20" w:firstLine="584"/>
        <w:spacing w:after="0" w:line="273" w:lineRule="auto"/>
        <w:rPr>
          <w:sz w:val="20"/>
          <w:szCs w:val="20"/>
          <w:color w:val="auto"/>
        </w:rPr>
      </w:pPr>
      <w:r>
        <w:rPr>
          <w:rFonts w:ascii="Arial" w:cs="Arial" w:eastAsia="Arial" w:hAnsi="Arial"/>
          <w:sz w:val="17"/>
          <w:szCs w:val="17"/>
          <w:color w:val="auto"/>
        </w:rPr>
        <w:t xml:space="preserve">We analyze our collaboration arrangements to assess whether they are within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we assess whether aspects of the arrangement with our collaboration partners are within the scope of other accounting literature, including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If it is concluded that some or all aspects of the arrangement represent a transaction with a customer, we will account for those aspects of the arrangement within the scope of ASC 606.</w:t>
      </w:r>
    </w:p>
    <w:p>
      <w:pPr>
        <w:spacing w:after="0" w:line="70" w:lineRule="exact"/>
        <w:rPr>
          <w:sz w:val="20"/>
          <w:szCs w:val="20"/>
          <w:color w:val="auto"/>
        </w:rPr>
      </w:pPr>
    </w:p>
    <w:p>
      <w:pPr>
        <w:ind w:right="20" w:firstLine="584"/>
        <w:spacing w:after="0" w:line="301" w:lineRule="auto"/>
        <w:rPr>
          <w:sz w:val="20"/>
          <w:szCs w:val="20"/>
          <w:color w:val="auto"/>
        </w:rPr>
      </w:pPr>
      <w:r>
        <w:rPr>
          <w:rFonts w:ascii="Arial" w:cs="Arial" w:eastAsia="Arial" w:hAnsi="Arial"/>
          <w:sz w:val="16"/>
          <w:szCs w:val="16"/>
          <w:color w:val="auto"/>
        </w:rPr>
        <w:t>ASC 808 provides guidance for the presentation and disclosure of transactions in collaborative arrangements, but it does not provide recognition or measurement guidance. Therefore, if we conclude a counterparty to a transaction is not a customer or otherwise not within the scope of ASC 606, we considers the guidance in other accounting literature as applicable or by analogy to account for such transaction. The classification of transactions under our arrangements is determined based on the nature and contractual terms of the arrangement along with the nature of the operations of the participants.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 We apply the revenue recognition standard, including the use of any practical expedients, consistently to contracts with similar characteristics and in similar circumstances.</w:t>
      </w:r>
    </w:p>
    <w:p>
      <w:pPr>
        <w:spacing w:after="0" w:line="70"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 customer is a party that has entered into a contract with us, where the purpose of the contract is to obtain a product or a service that is an output of our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we will collect substantially all of the consideration to which we are entitled to receive in exchange for the transfer of the product or the service.</w:t>
      </w:r>
    </w:p>
    <w:p>
      <w:pPr>
        <w:spacing w:after="0" w:line="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 performance obligation is defined as a promise to transfer a product or a service to a customer. We identify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our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we must estimate the consideration we expect to receive and use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69" w:lineRule="exact"/>
        <w:rPr>
          <w:sz w:val="20"/>
          <w:szCs w:val="20"/>
          <w:color w:val="auto"/>
        </w:rPr>
      </w:pPr>
    </w:p>
    <w:p>
      <w:pPr>
        <w:ind w:right="540" w:firstLine="509"/>
        <w:spacing w:after="0" w:line="311" w:lineRule="auto"/>
        <w:rPr>
          <w:sz w:val="20"/>
          <w:szCs w:val="20"/>
          <w:color w:val="auto"/>
        </w:rPr>
      </w:pPr>
      <w:r>
        <w:rPr>
          <w:rFonts w:ascii="Arial" w:cs="Arial" w:eastAsia="Arial" w:hAnsi="Arial"/>
          <w:sz w:val="16"/>
          <w:szCs w:val="16"/>
          <w:color w:val="auto"/>
        </w:rPr>
        <w:t>If a contract has multiple performance obligations, we allocate the transaction price to each distinct performance obligation in an amount that reflects the consideration we are entitled to receive in exchange for satisfying each distinct performance obligation. For each distinct performance obligation, revenue is recognized when (or as) we transfer control of the product or the service applicable to such performance obligation.</w:t>
      </w:r>
    </w:p>
    <w:p>
      <w:pPr>
        <w:spacing w:after="0" w:line="41"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In those instances where we first receive consideration in advance of satisfying its performance obligation, we classify such consideration as deferred revenue until (or as) we satisfy such performance obligation. In those instances where we first satisfy our performance obligation prior to our receipt of consideration, the consideration is recorded as accounts receivable.</w:t>
      </w:r>
    </w:p>
    <w:p>
      <w:pPr>
        <w:spacing w:after="0" w:line="76" w:lineRule="exact"/>
        <w:rPr>
          <w:sz w:val="20"/>
          <w:szCs w:val="20"/>
          <w:color w:val="auto"/>
        </w:rPr>
      </w:pPr>
    </w:p>
    <w:p>
      <w:pPr>
        <w:jc w:val="both"/>
        <w:ind w:right="80" w:firstLine="509"/>
        <w:spacing w:after="0" w:line="286" w:lineRule="auto"/>
        <w:rPr>
          <w:sz w:val="20"/>
          <w:szCs w:val="20"/>
          <w:color w:val="auto"/>
        </w:rPr>
      </w:pPr>
      <w:r>
        <w:rPr>
          <w:rFonts w:ascii="Arial" w:cs="Arial" w:eastAsia="Arial" w:hAnsi="Arial"/>
          <w:sz w:val="17"/>
          <w:szCs w:val="17"/>
          <w:color w:val="auto"/>
        </w:rPr>
        <w:t>We expense incremental costs of obtaining and fulfilling a contract as and when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Price Appreciation Milestones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 xml:space="preserve">We estimate the fair value of the stock price appreciation milestones under the Amended MSK License using a Monte Carlo simulation model, which relies on our current stock price at the end of each quarter as well as significant estimates and assumptions to determine the estimated liability associated with the contingent milestone payments. We account for the fair value of the stock price appreciation milestones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with fair value marked to market. The assumptions used to calculate the fair value of the stock price appreciation milestones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significant amount of judgment including the assessment of achieving a specified clinical milestone, the expected volatility of our common stock, the risk-free interest rate and the estimated term, which is based in part on the last valid patent claim date. We achieved the specified clinical milestone in July 2021 and met the first milestone during fiscal 2021. Accordingly, we remitted a payment to MSK of $20.0 million in the year ended December 31, 2021. We remeasure the fair value of the remaining stock price appreciation milestones at each balance sheet date, with changes in fair value recorded in earnings as a non-operating income or expense.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accrued research and development expenses include amounts owed to clinical research organizations, to investigative sites in connection with clinical trials, to sponsored research organizations, to service providers in connection with preclinical development activities and to service providers related to product manufacturing, development and distribution of clinical supplies.</w:t>
      </w:r>
    </w:p>
    <w:p>
      <w:pPr>
        <w:spacing w:after="0" w:line="73"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base our accrued expenses related to clinical trials on our estimates of the services performed and efforts expended pursuant to our contractual arrangements, including those with clinical research organizations. The financial terms of these agreements are sometimes subject to negotiation, vary from contract to contract and may result in uneven payment flows. There may be instances in which payments made to our service providers will exceed the level of services performed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6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Although we do not expect our estimates to be materially different from expenses actually incurred, if our estimates of the status and timing of services performed differs from the actual status and timing of services performed, we may report amounts that are too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high or too low in any particular period. To date, there have been no material differences from our estimates to the amounts actually incurred.</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Stock-based compensation expense represents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common stock based on the achievement of corporate performance goals and continued employment during the vesting period. At each reporting period, and to the extent achievement of one or any of the performance conditions is probable, we reassess the probability of the achievement of such corporate performance goals and any increase or decrease in share-based compensation expense resulting from an adjustment in the estimated shares to be released is treated as a cumulative catch-up in the period of adjustment.</w:t>
      </w:r>
    </w:p>
    <w:p>
      <w:pPr>
        <w:spacing w:after="0" w:line="70"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We estimate the fair value of stock option grants using the Black-Scholes option pricing model, with the exception of option grants with both performance-based milestones and market conditions, which are valued using a lattice-based model. These models require the use of highly subjective and complex assumptions which determine the fair value of stock-based awards, (a) the risk-free interest rate, (b) the expected volatility of our stock, (c) the expected term of the award and (d) the expected dividend yield. The expected volatility is based on the historical volatility of our common stock over the most recent period commensurate with the estimated expected term of our stock options which is derived from historical experience and anticipated future exercise behavior. The risk-free interest rates for periods within the expected life of the option are based on the yields of zero-coupon U.S. Treasury securities. See Note 9 of the notes to the consolidated financial statements for additional information.</w:t>
      </w:r>
    </w:p>
    <w:p>
      <w:pPr>
        <w:spacing w:after="0" w:line="6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fair value of our restricted stock units, including performance-based restricted stock units, is based on the closing price of our common stock as reported on The NASDAQ Global Market on the date of grant.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a discussion of recently issued accounting pronouncements, please see Note 1 of the notes to the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years ended December 31,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1"/>
              </w:rPr>
              <w:t>Years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4"/>
                <w:szCs w:val="14"/>
                <w:color w:val="auto"/>
              </w:rPr>
            </w:pPr>
          </w:p>
        </w:tc>
      </w:tr>
      <w:tr>
        <w:trPr>
          <w:trHeight w:val="236"/>
        </w:trPr>
        <w:tc>
          <w:tcPr>
            <w:tcW w:w="6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96,300</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55,846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40,454</w:t>
            </w:r>
          </w:p>
        </w:tc>
        <w:tc>
          <w:tcPr>
            <w:tcW w:w="10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320,454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215,519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104,935</w:t>
            </w: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84,232</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57,321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26,911</w:t>
            </w:r>
          </w:p>
        </w:tc>
        <w:tc>
          <w:tcPr>
            <w:tcW w:w="100" w:type="dxa"/>
            <w:vAlign w:val="bottom"/>
            <w:shd w:val="clear" w:color="auto" w:fill="CFF0FC"/>
          </w:tcPr>
          <w:p>
            <w:pPr>
              <w:spacing w:after="0"/>
              <w:rPr>
                <w:sz w:val="21"/>
                <w:szCs w:val="2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26,665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21,822</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During the year ended December 31, 2022, we recognized revenue of $96.3 million under our collaboration agreements with Janssen and</w:t>
      </w:r>
      <w:r>
        <w:rPr>
          <w:rFonts w:ascii="Arial" w:cs="Arial" w:eastAsia="Arial" w:hAnsi="Arial"/>
          <w:sz w:val="16"/>
          <w:szCs w:val="16"/>
          <w:i w:val="1"/>
          <w:iCs w:val="1"/>
          <w:color w:val="auto"/>
        </w:rPr>
        <w:t xml:space="preserve"> </w:t>
      </w:r>
      <w:r>
        <w:rPr>
          <w:rFonts w:ascii="Arial" w:cs="Arial" w:eastAsia="Arial" w:hAnsi="Arial"/>
          <w:sz w:val="16"/>
          <w:szCs w:val="16"/>
          <w:color w:val="auto"/>
        </w:rPr>
        <w:t>Ono. During the year ended December 31, 2021, we recognized revenue of $55.8 million under our collaboration agreements with Janssen and Ono.</w:t>
      </w:r>
    </w:p>
    <w:p>
      <w:pPr>
        <w:spacing w:after="0" w:line="16"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$320.5 million for the year ended December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$215.5 million for the year ended December 31, 2021. The increase in research and development expenses was attributable primarily to the following:</w:t>
      </w:r>
    </w:p>
    <w:p>
      <w:pPr>
        <w:spacing w:after="0" w:line="16" w:lineRule="exact"/>
        <w:rPr>
          <w:sz w:val="20"/>
          <w:szCs w:val="20"/>
          <w:color w:val="auto"/>
        </w:rPr>
      </w:pPr>
    </w:p>
    <w:p>
      <w:pPr>
        <w:ind w:left="1020" w:right="32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$38.3 million increase in employee compensation and benefits expense, which includes a $16.0 million increase in employee-stock based compensation expense;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$31.3 million increase in third-party professional consultant and clinical trial related expense; and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$17.6 million increase in expenditures for laboratory materials and supplies relating to the manufacture of our product candidates and the conduct of our research activities, including under our collaboration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were $84.2 million for the year ended December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$57.3 million for the year ended December 31, 2021. The increase in general and administrative expenses was attributable primarily to the following:</w:t>
      </w:r>
    </w:p>
    <w:p>
      <w:pPr>
        <w:spacing w:after="0" w:line="16" w:lineRule="exact"/>
        <w:rPr>
          <w:sz w:val="20"/>
          <w:szCs w:val="20"/>
          <w:color w:val="auto"/>
        </w:rPr>
      </w:pPr>
    </w:p>
    <w:p>
      <w:pPr>
        <w:ind w:left="1020" w:right="40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$14.5 million increase in employee compensation and benefits expense, which includes a $8.4 million increase in employee stock-based compensation expense;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$5.9 million increase in patent and legal expense;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 million increase in maintenance related expenses.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was $26.7 million and $4.8 million for the years ended December 31, 2022 and 2021,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During the year ended December 31, 2022, we recorded $20.3 million in other income attributable to the change in fair value of the stock price appreciation milestone under the Amended MSK License. Other income (expense), net for the year ended December 31, 2022 also consisted of interest income earned on cash and cash equivalents and interest income from investments (including the amortization of discounts and premiums). During the year ended December 31, 2021, we recorded $3.5 million in other expense attributable to the fair value of the stock price appreciation milestones under the Amended MSK License. Other income (expense), net for the year ended December 31, 2021 also consisted of interest income earned on cash and cash equivalents and interest income from investments (including the amortization of discounts and premiums).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have incurred losses and negative cash flows from operations since inception. As of December 31, 2022, we had an accumulated deficit of $1.05 billion and anticipate that we will continue to incur net losses for the foreseeable future.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years ended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4"/>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(248,208 )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(162,870 )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166,751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(324,023 )</w:t>
            </w: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9,207</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(72,250 )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(33,764 )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720" w:firstLine="509"/>
        <w:spacing w:after="0" w:line="342" w:lineRule="auto"/>
        <w:rPr>
          <w:sz w:val="20"/>
          <w:szCs w:val="20"/>
          <w:color w:val="auto"/>
        </w:rPr>
      </w:pPr>
      <w:r>
        <w:rPr>
          <w:rFonts w:ascii="Arial" w:cs="Arial" w:eastAsia="Arial" w:hAnsi="Arial"/>
          <w:sz w:val="16"/>
          <w:szCs w:val="16"/>
          <w:color w:val="auto"/>
        </w:rPr>
        <w:t>Cash used in operating activities increased from $162.9 million for the year ended December 31, 2021 to $248.2 million for the year ended December 31, 2022. The primary drivers of this change in cash used in operating activities was our increase of $69.6 million in net loss.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Janssen Biotech, Inc.</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On April 2, 2020 (the Janssen Agreement Effective Date), we entered into the Janssen Agreement with Janssen to develop iPSC-derived CAR NK-and CAR T-cell product candidates for the treatment of cancer. Additionally, on the Janssen Agreement Effective Date, we entered into the Stock Purchase Agreement with JJDC. Under the terms of the Janssen Agreement and the Stock Purchase Agreement taken together, we received $100.0 million as of the Janssen Agreement Effective Date, of which $50.0 million was an upfront cash payment and $50.0 million was in the form of an equity investment by JJDC. Of the $50.0 million equity investment, $16.0 million represented a premium over the fair value of our common stock and was classified under operating activities.</w:t>
      </w:r>
    </w:p>
    <w:p>
      <w:pPr>
        <w:spacing w:after="0" w:line="84"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were entitled to receive fees for the conduct of all research, preclinical development and IND-enabling activities performed by us under the Janssen Agreement. Additionally, we were eligible to receive (i) with respect to the first Janssen Cancer Target, payments of up to $898.0 million upon the achievement of specified development, regulatory and sales milestones (the Janssen Milestone Payments) for the first Collaboration Candidate, and up to $460.0 million in Janssen Milestone Payments for each additional Collaboration Candidate, directed to the first Janssen Cancer Target; and (ii) with respect to each of the second, third and fourth Janssen Cancer Targets, payments of up to $706.0 million in Janssen Milestone Payments for each of the first Collaboration Candidates, and up to $340.0 million in Janssen Milestone Payments for each additional Collaboration Candidate, directed to the applicable Janssen Cancer Target, where certain Janssen Milestone Payments are subject to reduction in the event we elect to co-commercialize and share equally in the profits and losses in the United States of a respective Collaboration Candidate. We were further eligible to receive double-digit tiered royalties ranging up to the mid-teens on net sales of Collaboration Candidates commercialized by Janssen under the Janssen Agreement, subject to reduction under certain circumstances.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During the year ended December 31, 2022, we achieved two pre-defined research milestones under the Janssen Agreement and received a cash payment of $3.0 million per milestone, for a total of $6.0 million. During the year ended December 31, 2022, Janssen elected to exercise two commercial options for two development candidates, and we received one of the Option Exercise Payments of $10.0 million during the year. Additionally, during the year ended December 31, 2022, we filed an IND for the second antigen, development candidate, which was cleared by the FDA on December 15, 2022. Accordingly, we achieved a pre-defined clinical development milestone under the Janssen Agreement and are entitled to receive a $3.0 million payment from Janssen. As of December 31, 2022, no royalties have been paid to us under the Janssen Agreement.</w:t>
      </w:r>
    </w:p>
    <w:p>
      <w:pPr>
        <w:spacing w:after="0" w:line="56"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 xml:space="preserve">In connection with the Janssen Agreement, we have incurred $17.1 million in sublicense fees to certain of our existing licensors, of which $15.6 million has been paid as of December 31, 2022. The $17.1 million in sublicense consideration represents an asset under ASC 340, </w:t>
      </w:r>
      <w:r>
        <w:rPr>
          <w:rFonts w:ascii="Arial" w:cs="Arial" w:eastAsia="Arial" w:hAnsi="Arial"/>
          <w:sz w:val="16"/>
          <w:szCs w:val="16"/>
          <w:i w:val="1"/>
          <w:iCs w:val="1"/>
          <w:color w:val="auto"/>
        </w:rPr>
        <w:t>Other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Deferred Costs </w:t>
      </w:r>
      <w:r>
        <w:rPr>
          <w:rFonts w:ascii="Arial" w:cs="Arial" w:eastAsia="Arial" w:hAnsi="Arial"/>
          <w:sz w:val="16"/>
          <w:szCs w:val="16"/>
          <w:color w:val="auto"/>
        </w:rPr>
        <w:t>and is amortized to research and development expense ratably with our revenue recognition under the Janssen Agreement.</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Ono Pharmaceutical Co., Ltd.</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On September 14, 2018, we entered into the Ono Agreement with Ono for the joint development and commercialization of two off-the-shelf, iPSC-derived CAR T-cell product candidates (each a Candidate and collectively the Candidates). Under the terms of the Ono Agreement, Ono paid to us an upfront, non-refundable and non-creditable payment of $10.0 million. Additionally, as consideration for our conduct of research and preclinical development under a joint development plan, Ono pays us annual research and development fees set forth in the annual budget included in the joint development plan, which fees are estimated to be $20.0 million in aggregate over the course of the joint development plan. Further, under the terms of the Ono Agreement, Ono had agreed to pay us up to an additional $40.0 million, subject to the achievement of a preclinical milestone and the exercise by Ono of its options to obtain exclusive licenses to develop and commercialize the Candidates. Such fees are in addition to the upfront payment and research and development fees.</w:t>
      </w:r>
    </w:p>
    <w:p>
      <w:pPr>
        <w:spacing w:after="0" w:line="84"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On December 4, 2020, we entered into the Ono Letter Agreement with Ono in connection with the Ono Agreement. Pursuant to the Ono Letter Agreement, Ono delivered to us proprietary antigen binding domains targeting an antigen expressed on certain solid tumors and nominated such antigen binding domains as the Ono Antigen Binding Domain for incorporation into Candidate 2. In connection with such nomination, Ono paid us a milestone fee of $10.0 million in December 2020 for further research and development of Candidate 2 under the Ono Agreement, and Ono continues to maintain its option to Candidate 2 under the Ono Agreement. In addition, the Ono Letter Agreement terminated further development with respect to Candidate 1.</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June 28, 2022, we entered into the Ono Amendment, which expanded the scope of the collaboration to include the research and development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CAR-targeted NK cells, and pursuant to which Ono agreed to contribute novel binding domains targeting a second solid tumor antigen (Candidate 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Ono Amendment, aggregate estimated research and development fees have been increased by approximately $9.3 million, for a total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$29.3 million in aggregate research and development fees over the course of the joint development plan, subject to Ono exercising its option to continue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research term for a candidate targeting the second solid tumor antigen.</w:t>
      </w:r>
    </w:p>
    <w:p>
      <w:pPr>
        <w:spacing w:after="0" w:line="103"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Pursuant to the Ono Amendment, we and Ono are jointly conducting research and development activities under a joint development plan, with the goal of advancing Candidate 2 and Candidate 3 to a pre-defined preclinical milestone. We have granted to Ono, during a specified period of time, an option to obtain an exclusive license under certain intellectual property rights to develop and commercialize each remaining candidate in all territories of the world, with us retaining the right to co-develop and co-commercialize in the United States and Europe under a joint arrangement whereby we are eligible to share at least 50% of the profits and losses (the Option).</w:t>
      </w:r>
    </w:p>
    <w:p>
      <w:pPr>
        <w:spacing w:after="0" w:line="80"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On November 7, 2022, Ono exercised its option for continued development of Collaboration Candidate 2 (as defined under the Ono Agreement). The Company elected its Co-Development Co-Commercialization option (CDCC Option) for Collaboration Candidate 2. As a result, we are entitled to receive an Option Exercise Payment (as defined under the Ono Agreement) of $12.5 million. We determined the exercise represented an option with no material right under the Ono Agreement. We have completed our performance obligations with respect to the exercise of the option and accordingly, recognized the Option Exercise Payment as revenue for the year ended December 31, 2022.</w:t>
      </w:r>
    </w:p>
    <w:p>
      <w:pPr>
        <w:spacing w:after="0" w:line="68"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Subject to Ono’s exercise of its options to obtain exclusive licenses to develop and commercialize Candidate 2 or Candidate 3 and to the achievement of certain clinical, regulatory and commercial milestones (the Ono Milestones) with respect to the Candidate in specified territories, we are entitled to receive an aggregate of up to $843.0 million in additional milestone payments for each Candidate, with the applicable milestone payments for the United States and Europe subject to reduction by 50% if we elect to co-develop and co-commercialize the Candidate as described above. As of December 31, 2022, we have not received any milestone payments other than the $10.0 million associated with the Ono Letter Agreement in December 2020. We are also eligible to receive tiered royalties ranging from the mid-single digits to the low-double digits based on annual net sales by Ono for each Candidate in specified territories, with such royalties subject to certain reductions. As of December 31, 2022, no royalties have been paid to us under the Ono Agreement, the Ono Letter Agreement or the Ono Amendment.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 xml:space="preserve">As a direct result of our entry into the Ono Agreement, the Ono Letter Agreement and the Ono Amendment, we incurred an aggregate of $7.8 million in sublicense consideration to certain of our existing licensors, of which $4.0 million has been paid as of December 31, 2022. The $7.8 million in sublicense consideration represents an asset under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and is amortized to research and development expense ratably with our revenue recognition under the Ono Agreement.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Memorial Sloan Kettering Cancer Center License Agreement</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On May 15, 2018, we entered into the Amended MSK License with MSK. The Amended MSK License amended and restated the Exclusive License Agreement entered into between us and MSK on August 19, 2016, pursuant to which we entered into an exclusive license agreement with MSK for rights relating to compositions and methods covering iPSC-derived cellular immunotherapy, including T-cells and NK-cells derived from iPSCs engineered with CARs.</w:t>
      </w:r>
    </w:p>
    <w:p>
      <w:pPr>
        <w:spacing w:after="0" w:line="7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Pursuant to the Amended MSK License, MSK granted us additional licenses to certain patents and patent applications relating to new CAR constructs and off-the-shelf CAR T cells, including the use of clustered regularly interspaced short palindromic repeat (CRISPR) and other innovative technologies for their production, in each case to research, develop, and commercialize licensed products in the field of all human therapeutic uses worldwide. We have the right to grant sublicenses to certain licensed rights in accordance with the terms of the Amended MSK License, in which case we are obligated to pay MSK a percentage of certain sublicense income received.</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event a licensed product achieves a specified clinical milestone, MSK is then eligible to receive certain milestone payments totaling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$75.0 million based on the price of our common stock, where the amount of such payments owed to MSK is contingent upon certain increases in the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following the date of achievement of such clinical milestone. These payments are based on common stock price multiples,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numerator being the fair value of the ten-trading day trailing average closing price of our common stock and the denominator being the ten-trading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trailing average closing price of our common stock as of the effective date of the Amended MSK License, adjusted for any stock splits, cash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dividends, other distributions, combinations, recapitalizations, or similar events. Under the terms of the Amended MSK License, upon a change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of our company, in certain circumstances, we may be required to pay a portion of these payments to MSK based on the price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such change of control.</w:t>
      </w:r>
    </w:p>
    <w:p>
      <w:pPr>
        <w:spacing w:after="0" w:line="10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December 31, 2022, we recorded a liability of $3.9 million associated with the remaining stock price appreciation milestones for the Amended MSK License. In July 2021, we achieved a specified clinical milestone for a licensed product under the Amended MSK License and our ten-trading day trailing average common stock price exceeded the first, pre-specified threshold. As a result, we remitted the first milestone payment of $20.0 million to MSK during the year ended December 31, 2021.</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During the years ended December 31, 2022 and 2021, investing activities provided cash of $166.8 million and used cash of $324.0 million, respectively. During the year ended December 31, 2022 we purchased $404.8 million of investments, which were partially offset by $607.1 million in maturities of investments. During the year ended December 31, 2021, we purchased $968.2 million of investments, offset by $694.8 million in maturities of investments. The remaining investing activities for the periods presented were primarily attributable to the purchase of property and equipment.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Financing activities provided cash of $9.2 million for the year ended December 31, 2022, which primarily consisted of $9.2 million received from the issuance of common stock from equity incentive plans pursuant to the exercise of employee stock options.</w:t>
      </w:r>
    </w:p>
    <w:p>
      <w:pPr>
        <w:spacing w:after="0" w:line="62" w:lineRule="exact"/>
        <w:rPr>
          <w:sz w:val="20"/>
          <w:szCs w:val="20"/>
          <w:color w:val="auto"/>
        </w:rPr>
      </w:pPr>
    </w:p>
    <w:p>
      <w:pPr>
        <w:jc w:val="both"/>
        <w:ind w:right="340" w:firstLine="509"/>
        <w:spacing w:after="0" w:line="263" w:lineRule="auto"/>
        <w:rPr>
          <w:sz w:val="20"/>
          <w:szCs w:val="20"/>
          <w:color w:val="auto"/>
        </w:rPr>
      </w:pPr>
      <w:r>
        <w:rPr>
          <w:rFonts w:ascii="Arial" w:cs="Arial" w:eastAsia="Arial" w:hAnsi="Arial"/>
          <w:sz w:val="18"/>
          <w:szCs w:val="18"/>
          <w:color w:val="auto"/>
        </w:rPr>
        <w:t>Financing activities provided cash of $453.1 million for the year ended December 31, 2021, which primarily consisted of $432.4 million of net proceeds from our January 2021 public offering of common stock and issuance of pre-funded warrants and $20.7 million received from the issuance of common stock from equity incentive plans pursuant to the exercise of employee stock options.</w:t>
      </w:r>
    </w:p>
    <w:p>
      <w:pPr>
        <w:spacing w:after="0" w:line="76"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From our inception through December 31, 2022 we have funded our consolidated operations primarily through the public and private sale of common stock, the private placement of preferred stock and convertible notes, commercial bank debt and revenues from collaboration activities and grants. As of December 31, 2022, we had aggregate cash and cash equivalents and investments of $441.2 million.</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Private Placement of Common Stock</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June 2020, in connection with the June 2020 public offering of common stock, we exercised our right to cause an existing shareholder, Johnson &amp; Johnson Innovation-JJDC, Inc (JJDC) to purchase $50.0 million of our common stock, and JJDC purchased in a private placement 1.8 million shares of our common stock at a price of $28.31 per share, for aggregate proceeds of $50.0 million.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April 2020, we entered into a Stock Purchase Agreement with JJDC. Under the Stock Purchase Agreement, we sold 1.6 million shares of our common stock to JJDC at $31.00 per share, for an aggregate purchase price of $50.0 million. The shares of common stock purchased as part of these private placements were not subject to underwriting discounts or commissions.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June 2020, we completed a public offering of common stock in which investors, certain of which are affiliated with one of our directors, purchased 7.1 million shares of our common stock at a price of $28.31 per share under a shelf registration statement. Gross proceeds from the offering were $201.3 million. After giving effect to $12.5 million in underwriting discounts, commissions and expenses related to the offering, net proceeds were $188.8 million.</w:t>
      </w:r>
    </w:p>
    <w:p>
      <w:pPr>
        <w:spacing w:after="0" w:line="79"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In January 2021, we completed a public offering of common stock in which investors, certain of which are affiliated with one of our directors, purchased 5.1 million shares of our common stock at a price of $85.50 per share under a shelf registration statement. In addition, we issued pre-funded warrants, in lieu of common stock to certain investors, to purchase 257,310 shares of our common stock (Pre-Funded Warrants). The purchase price of for the Pre-Funded Warrants was $85.499 per Pre-Funded Warrant, which equals the per share public offering price for the shares of common stock less the $0.001 exercise price for each such Pre-Funded Warrant. See Note 9 of the notes to our consolidated financial statements for additional detail. Gross proceeds from the public offering and the issuance of the Pre-Funded Warrants were $460.0 million. After giving effect to $27.6 million in underwriting discounts, commissions and expenses related to the public offering and the issuance of Pre-Funded Warrants, net proceeds were $432.4 million.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California Institute for Regenerative Medicine Award</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On April 5, 2018, we executed an award agreement with the California Institute for Regenerative Medicine (CIRM) pursuant to which CIRM awarded us $4.0 million to advance our FT516 product candidate into a first-in-human clinical trial (the Award). In November 2019, we submitted an IND application for FT516 in advanced solid tumors. As of December 31, 2022, we have received all disbursements available under the Award in the amount of $4.0 million.</w:t>
      </w:r>
    </w:p>
    <w:p>
      <w:pPr>
        <w:spacing w:after="0" w:line="79"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The Award is subject to certain co-funding requirements by us. We, in our sole discretion, have the option to treat the Award either as a loan or as a grant. In the event we elect to treat the Award as a loan, we will be obligated to repay i) 60%, ii) 80%, iii) 100% or iv) 100% plus interest at 7% plus LIBOR, of the total Award to CIRM, where such repayment rate is dependent upon the phase of clinical development of FT516 at the time of our election. If we do not elect to treat the Award as a loan within 10 years of the date of the Award, the Award will be considered a grant and we will be obligated to pay to CIRM a royalty on commercial sales of FT516 until such royalty payments equal nine times the total amount awarded to us under the Award.</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Registration Statements on Form S-3</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November 2021, we filed an automatic shelf registration statement (File No. 333-260772), which became effective upon filing. The shelf registration statement allows us to issue certain securities, including shares of our common stock, from time to time. The specific terms of any offering under the automatic shelf registration statement are established at the time of such offering. Additionally, we entered into a sales agreement with Jefferies Group LLC (Jefferies) with respect to an at-the-market offering program, under which we may offer and sell, from time to time at our sole discretion, shares of our common stock having an aggregate offering price of up to $350.0 million through Jefferies as the sales agent, pursuant to this automatic shelf registration statement.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Capital Requirements</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We anticipate that we will continue to incur losses for the foreseeable future, and we expect the losses to increase as we continue the research, manufacture and development of, and seek regulatory approvals for, our product candidates and conduct additional research, manufacturing and development activities pursuant to our collaboration agreement with Ono. Our product candidates have not yet achieved regulatory approval and we may not be successful in achieving commercialization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believe our existing cash and cash equivalents and investments as of December 31, 2022 will be sufficient to fund our projected operating requirements for at least the next twelve months. However, we are subject to all the risks and uncertainties incident in the research, manufacture and development of therapeutic products, and cell therapy product candidates in particular.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7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will require additional capital for the research, manufacture and development of our product candidates and to perform our obligations under our existing collaboration agreements and any additional collaboration agreements that we may enter into, and we may need to seek additional funds sooner than expected due to any changes in our business, operations, financial condition or prospects, including any impacts of the COVID-19 pandemic or other global pandemics or epidemics, inflation rates and global economic conditions, and the ongoing conflict in Ukraine. We expect to finance our capital requirements in the foreseeable future through the sale of public or private equity or debt securities.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interest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while the full impact of the COVID-19 pandemic, inflation rates, and the ongoing conflict in Ukraine on our business, operations, financial condition and prospects, and on the global economy, are currently unknown and difficult to predict, the pandemic has caused significant disruptions and created uncertainties in the global financial markets, and the economic impacts of the pandemic, rising inflation rates and global economic conditions, or the Ukrainian conflict could materially and adversely affect our ability to raise capital through equity or debt financings in the future.</w:t>
      </w:r>
    </w:p>
    <w:p>
      <w:pPr>
        <w:spacing w:after="0" w:line="68"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Our forecast of the period of time through which our existing cash and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80"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initiation, timing, progress, size, duration, costs and results of our clinical trials and preclinical studies for our product candidates;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and the nature of product candidates that we pursue;</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time to and cost of establishing internal GMP production capabilities to support the clinical and potential commercial manufacture of our product candidates at our new corporate headquarters;</w:t>
      </w:r>
    </w:p>
    <w:p>
      <w:pPr>
        <w:spacing w:after="0" w:line="62"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time, cost and outcome of seeking and obtaining regulatory approvals;</w:t>
      </w:r>
    </w:p>
    <w:p>
      <w:pPr>
        <w:spacing w:after="0" w:line="117" w:lineRule="exact"/>
        <w:rPr>
          <w:rFonts w:ascii="Arial" w:cs="Arial" w:eastAsia="Arial" w:hAnsi="Arial"/>
          <w:sz w:val="18"/>
          <w:szCs w:val="18"/>
          <w:color w:val="auto"/>
        </w:rPr>
      </w:pPr>
    </w:p>
    <w:p>
      <w:pPr>
        <w:ind w:left="1020" w:right="180" w:hanging="503"/>
        <w:spacing w:after="0" w:line="26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 in connection with the stock price appreciation milestones;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milestones are achieved under our collaboration agreement with Ono, and any other strategic partnership or collaboration agreements that we may enter into in the future, and the time to achievement of such milestones and our receipt of any associated milestone payments;</w:t>
      </w:r>
    </w:p>
    <w:p>
      <w:pPr>
        <w:spacing w:after="0" w:line="75" w:lineRule="exact"/>
        <w:rPr>
          <w:rFonts w:ascii="Arial" w:cs="Arial" w:eastAsia="Arial" w:hAnsi="Arial"/>
          <w:sz w:val="18"/>
          <w:szCs w:val="18"/>
          <w:color w:val="auto"/>
        </w:rPr>
      </w:pPr>
    </w:p>
    <w:p>
      <w:pPr>
        <w:ind w:left="1020" w:right="400" w:hanging="503"/>
        <w:spacing w:after="0" w:line="26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 including in our ongoing lawsuits against Shoreline Biosciences, Inc. (Shoreline) and Dr. Dan S. Kaufman (Kaufman), and the cost of enforcing any of our other contractual rights;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left="1020" w:right="54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including our need and ability to hire additional employees and procure additional equipment, materials and supplies;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establishment and continuation of collaborations and strategic alliances;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terms of future in-licensing and out-licensing transactions; and</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establishing sales, marketing, manufacturing and distribution capabilities for, and the pricing and reimbursement of, any products for which we may receive regulatory approval.</w:t>
      </w:r>
    </w:p>
    <w:p>
      <w:pPr>
        <w:spacing w:after="0" w:line="6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addition, we are closely monitoring ongoing developments in connection with the COVID-19 pandemic, inflation rates and global economic conditions, and the ongoing conflict in Ukraine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spacing w:after="0" w:line="84"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As a result of the termination of the Janssen Agreement and the NK cell program prioritization, during the first quarter of 2023, we expect an increase in revenue associated with the Janssen Agreement termination and additionally expect that we will incur charges of approximately $12 million to $16 million for severance and other employee termination-related costs. However, we expect revenue and overall expenses to decrease in 2023 due to a corporate restructuring and prioritization of programs. The restructuring is expected to extend our cash runway into the second half of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lease certain office, laboratory, and manufacturing space under non-cancelable operating leases. In addition to rent, our leases are subject to certain fixed amenities fees. These leases are also subject to additional variable charges for common area maintenance, property taxes, property insurance and other variable costs. See Note 8 of the consolidated financial statements for additional detail.</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Total undiscounted aggregate future operating lease obligations under all of our operating leases as of December 31, 2022 are $177.7 million.</w:t>
      </w:r>
    </w:p>
    <w:p>
      <w:pPr>
        <w:spacing w:after="0" w:line="129"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We have no material contractual obligations not fully recorded on our consolidated balance sheets or fully disclosed in the notes to the financial statements.</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obligations under various license agreements to make future payments to third parties that become due and payable on the achievement of certain development, regulatory and commercial milestones (such as the start of a clinical trial, filing for product approval with the FDA or other regulatory agencies, product approval by the FDA or other regulatory agencies, product launch or product sales) or on the sublicense of our rights to another party. We have not included these commitments on our balance sheet because the achievement and timing of these events is not fixed and determinable. Certain milestones are in advance of receipt of revenue from the sale of products and, therefore, we may require additional debt or equity capital to make such payments. These commitments include:</w:t>
      </w:r>
    </w:p>
    <w:p>
      <w:pPr>
        <w:spacing w:after="0" w:line="84" w:lineRule="exact"/>
        <w:rPr>
          <w:sz w:val="20"/>
          <w:szCs w:val="20"/>
          <w:color w:val="auto"/>
        </w:rPr>
      </w:pPr>
    </w:p>
    <w:p>
      <w:pPr>
        <w:ind w:left="1020" w:right="20" w:hanging="503"/>
        <w:spacing w:after="0" w:line="254"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a license agreement with the Whitehead Institute for Biomedical Research, pursuant to which we license certain patents relating to our iPSC product platform, we are required to make annual maintenance payments and payments based upon development, regulatory and commercial milestones for any products covered by the in-licensed intellectual property. The maximum aggregate milestone payments we may be obligated to make per product are $2.3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86" w:lineRule="exact"/>
        <w:rPr>
          <w:rFonts w:ascii="Arial" w:cs="Arial" w:eastAsia="Arial" w:hAnsi="Arial"/>
          <w:sz w:val="18"/>
          <w:szCs w:val="18"/>
          <w:color w:val="auto"/>
        </w:rPr>
      </w:pPr>
    </w:p>
    <w:p>
      <w:pPr>
        <w:ind w:left="1020" w:right="40" w:hanging="503"/>
        <w:spacing w:after="0" w:line="254"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license agreements with The Scripps Research Institute (TSRI), pursuant to which we license certain patents relating to our iPSC product platform, we are required to make annual maintenance payments and payments based upon development, regulatory and commercial milestones for any products covered by the in-licensed intellectual property. The maximum aggregate milestone payments we may be obligated to make are $1.8 million. We will also be required to pay a royalty on net sales of products covered by the in-licensed intellectual property in the low- to mid-single digits. The royalty is subject to reduction for any third-party payments required to be made, with a minimum floor in the low single digits. We have the right to sublicense our rights under these agreements, and we will be required to pay a percentage of any sublicense income.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left="1020" w:hanging="503"/>
        <w:spacing w:after="0" w:line="291"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Under a license agreement with the Regents of the University of Minnesota, pursuant to which we license certain patents relating to compositions and uses of NK cells and to compositions of engineered receptors and immune cells expressing such receptors, we are required to make annual maintenance payments and payments based upon development, regulatory and commercial milestones for any products covered by the in-licensed intellectual property. The maximum aggregate milestone payments we may be obligated to make per product are $4.6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this agreement, and we will be required to pay a percentage of any sublicense income.</w:t>
      </w:r>
    </w:p>
    <w:p>
      <w:pPr>
        <w:spacing w:after="0" w:line="58" w:lineRule="exact"/>
        <w:rPr>
          <w:rFonts w:ascii="Arial" w:cs="Arial" w:eastAsia="Arial" w:hAnsi="Arial"/>
          <w:sz w:val="16"/>
          <w:szCs w:val="16"/>
          <w:color w:val="auto"/>
        </w:rPr>
      </w:pPr>
    </w:p>
    <w:p>
      <w:pPr>
        <w:ind w:left="1020" w:hanging="503"/>
        <w:spacing w:after="0" w:line="287"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Under a license agreement with Memorial Sloan Kettering Cancer Center, pursuant to which we license certain patents relating to compositions and uses of T cells derived from iPSCs, CARs and genetic modifications using CRISPR, we are required to make annual maintenance payments and payments based upon development, regulatory and commercial milestones for any products covered by the in-licensed intellectual property. The maximum aggregate milestone payments we may be obligated to make per product are $12.5 million. We will also be required to pay a royalty on net sales of products covered by the in-licensed intellectual property up to the high-single digits. The royalty is subject to reduction for any third-party payments required to be made, with a minimum floor in the low- to mid-single digits. We have the right to sublicense our rights under this agreement, and we will be required to pay a percentage of any sublicense income. Additionally, in the event a licensed product achieves a specified clinical milestone, Memorial Sloan Kettering Cancer Center is then eligible to receive additional milestone payments, where the amount of such payments owed to Memorial Sloan Kettering Cancer Center are contingent upon certain increases in the price of our common stock following the date of achievement of such clinical milestone. See Note 2 of the notes to the consolidated financial statements for additional detail related to the stock price appreciation milestone payments.</w:t>
      </w:r>
    </w:p>
    <w:p>
      <w:pPr>
        <w:spacing w:after="0" w:line="63" w:lineRule="exact"/>
        <w:rPr>
          <w:rFonts w:ascii="Arial" w:cs="Arial" w:eastAsia="Arial" w:hAnsi="Arial"/>
          <w:sz w:val="16"/>
          <w:szCs w:val="16"/>
          <w:color w:val="auto"/>
        </w:rPr>
      </w:pPr>
    </w:p>
    <w:p>
      <w:pPr>
        <w:ind w:left="1020" w:right="200" w:hanging="503"/>
        <w:spacing w:after="0" w:line="272"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Under a license agreement with Dana Farber Cancer Institute, pursuant to which we license certain patent applications relating to novel antibody fragments that bind the alpha-3 domain of MICA/B, we are required to make annual maintenance payments and payments based upon development, regulatory and commercial milestones for any products covered by the in-licensed intellectual property. The maximum aggregate milestone payments we may be obligated to make per product are $25 million. We will also be required to pay a royalty on net sales of products covered by the in-licensed intellectual property in the low single digits. The royalty is subject to reduction for any third-party payments required to be made, with a minimum floor in the low single digits. We have the right to sublicense our rights under these agreements, and we will be required to pay a percentage of any sublicense income.</w:t>
      </w:r>
    </w:p>
    <w:p>
      <w:pPr>
        <w:spacing w:after="0" w:line="69"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We enter into contracts in the normal course of business, including with clinical sites, CROs, and other professional service providers for the conduct of clinical trials, contract manufacturers for the production of our product candidates, contract research service providers for preclinical research studies, professional consultants for expert advice and vendors for the sourcing of clinical and laboratory supplies and materials. These contracts generally provide for termination on notice, and therefore are cancelable contracts and not included in the table of contractual obligations and commitments.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Inflation has increased during the periods covered by this Annual Report on Form 10-K, and is expected to continue to increase for the near future. Inflationary factors, such as increases in the prices of material, interest rates and cost of labor may adversely affect our operating results. Although we do not believe that inflation has had a material impact on our financial position or results of operations to date, we may experience some effect in the near future, especially if inflation rates continue to 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are exposed to market risk primarily related to changes in interest rates. As of December 31, 2022, our cash and cash equivalents consisted of cash and money market mutual funds, and our investments consisted of United States treasuries and corporate debt securities with maturities up to eighteen months from the date of acquisition. Our primary exposure to market risk is interest income sensitivity, which is affected by changes in the general level of U.S. interest rates. However, because of the relatively short-term nature and low risk profile of the instruments in our portfolio, a 10% change in market interest rates would not have a material impact on our financial condition and/or results of operations.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Price Sensitivity</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entered into a license agreement with MSK under which we obtained rights relating to compositions and methods covering iPSC-derived cellular immunotherapy, including T cells and NK cells derived from iPSCs engineered with CARs. MSK is eligible to receive certain milestone payments totaling up to $75.0 million in the event a licensed product achieves a specified clinical milestone, where the amount of such payments owed to MSK is contingent upon certain increases in the price of our common stock following the date of achievement of such clinical milestone. As of December 31, 2022, the estimated fair value of the stock price appreciation milestones was $3.9 million. In July 2021, we achieved a specified clinical milestone for a licensed product under the Amended MSK License and our ten-trading day trailing average common stock price exceeded the first, pre-specified threshold. As a result, we remitted the first milestone payment of $20.0 million to MSK during the year ended December 31, 2021.</w:t>
      </w:r>
    </w:p>
    <w:p>
      <w:pPr>
        <w:spacing w:after="0" w:line="69"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Changes in the price our common stock as of each balance sheet date may cause a relatively large change in the estimated fair value of the stock price appreciation milestones and the associated liability and resulting expense or gain. See Note 5 to our consolidated financial statements for a related sensitivity analysis.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Fate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Fate Therapeutics, Inc. as of December 31, 2022 and 2021, the related consolidated statements of operations and comprehensive loss, convertible preferred stock and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Integrated Framework issued by the Committee of Sponsoring Organizations of the Treadway Commission (2013 framework), and our report dated February 28, 2023,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280"/>
        <w:spacing w:after="0"/>
        <w:rPr>
          <w:sz w:val="20"/>
          <w:szCs w:val="20"/>
          <w:color w:val="auto"/>
        </w:rPr>
      </w:pPr>
      <w:r>
        <w:rPr>
          <w:rFonts w:ascii="Arial" w:cs="Arial" w:eastAsia="Arial" w:hAnsi="Arial"/>
          <w:sz w:val="18"/>
          <w:szCs w:val="18"/>
          <w:b w:val="1"/>
          <w:bCs w:val="1"/>
          <w:i w:val="1"/>
          <w:iCs w:val="1"/>
          <w:color w:val="auto"/>
        </w:rPr>
        <w:t>Revenue recognition – Revenue Recognized Over Time</w:t>
      </w:r>
    </w:p>
    <w:p>
      <w:pPr>
        <w:spacing w:after="0" w:line="252" w:lineRule="exact"/>
        <w:rPr>
          <w:sz w:val="20"/>
          <w:szCs w:val="20"/>
          <w:color w:val="auto"/>
        </w:rPr>
      </w:pPr>
    </w:p>
    <w:p>
      <w:pPr>
        <w:ind w:left="2280" w:right="20" w:hanging="2254"/>
        <w:spacing w:after="0" w:line="289" w:lineRule="auto"/>
        <w:tabs>
          <w:tab w:leader="none" w:pos="226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As more fully described in Note 2 of the financial statements, the Company has concluded that the grant of intellectual property licenses and the delivery of related research and development services under certain of its existing collaboration agreements represent a combined performance obligation for which the Company recognizes collaboration revenues as the research services are transferred over time. Revenue is recognized over the estimated period of time to conduct the research services based on an appropriate measure of progress towards satisfaction of the identified performance obligation. Collaboration revenue is significant to our audit because the revenue recognition assessment process involves inherent uncertainty, uses subjective assumptions, and the amounts involved are material to the financial statements taken as a whole. The subjective assumptions relate to the estimated total full-time employees (FTEs) expected to be utilized as well as the assumed timing and duration of the underlying activities.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w:t>
      </w:r>
      <w:r>
        <w:rPr>
          <w:rFonts w:ascii="Arial" w:cs="Arial" w:eastAsia="Arial" w:hAnsi="Arial"/>
          <w:sz w:val="16"/>
          <w:szCs w:val="16"/>
          <w:color w:val="auto"/>
        </w:rPr>
        <w:t>We obtained an understanding, evaluated the design, and tested the operating effectiveness of controls over the Company’s</w:t>
      </w:r>
    </w:p>
    <w:p>
      <w:pPr>
        <w:spacing w:after="0" w:line="46" w:lineRule="exact"/>
        <w:rPr>
          <w:sz w:val="20"/>
          <w:szCs w:val="20"/>
          <w:color w:val="auto"/>
        </w:rPr>
      </w:pPr>
    </w:p>
    <w:p>
      <w:pPr>
        <w:ind w:left="2280" w:right="20" w:hanging="2254"/>
        <w:spacing w:after="0" w:line="255" w:lineRule="auto"/>
        <w:tabs>
          <w:tab w:leader="none" w:pos="2260" w:val="left"/>
        </w:tabs>
        <w:rPr>
          <w:sz w:val="20"/>
          <w:szCs w:val="20"/>
          <w:color w:val="auto"/>
        </w:rPr>
      </w:pPr>
      <w:r>
        <w:rPr>
          <w:rFonts w:ascii="Arial" w:cs="Arial" w:eastAsia="Arial" w:hAnsi="Arial"/>
          <w:sz w:val="18"/>
          <w:szCs w:val="18"/>
          <w:i w:val="1"/>
          <w:iCs w:val="1"/>
          <w:color w:val="auto"/>
        </w:rPr>
        <w:t>in Our Audit</w:t>
      </w:r>
      <w:r>
        <w:rPr>
          <w:sz w:val="20"/>
          <w:szCs w:val="20"/>
          <w:color w:val="auto"/>
        </w:rPr>
        <w:tab/>
      </w:r>
      <w:r>
        <w:rPr>
          <w:rFonts w:ascii="Arial" w:cs="Arial" w:eastAsia="Arial" w:hAnsi="Arial"/>
          <w:sz w:val="18"/>
          <w:szCs w:val="18"/>
          <w:color w:val="auto"/>
        </w:rPr>
        <w:t>revenue recognition review process including controls over management’s review of the significant assumptions described above. For example, we tested controls over the development of the estimated FTEs through the completion of the contract and the review of the estimates by management.</w:t>
      </w:r>
    </w:p>
    <w:p>
      <w:pPr>
        <w:spacing w:after="0" w:line="190" w:lineRule="exact"/>
        <w:rPr>
          <w:sz w:val="20"/>
          <w:szCs w:val="20"/>
          <w:color w:val="auto"/>
        </w:rPr>
      </w:pPr>
    </w:p>
    <w:p>
      <w:pPr>
        <w:ind w:left="2280" w:right="60"/>
        <w:spacing w:after="0" w:line="271" w:lineRule="auto"/>
        <w:rPr>
          <w:sz w:val="20"/>
          <w:szCs w:val="20"/>
          <w:color w:val="auto"/>
        </w:rPr>
      </w:pPr>
      <w:r>
        <w:rPr>
          <w:rFonts w:ascii="Arial" w:cs="Arial" w:eastAsia="Arial" w:hAnsi="Arial"/>
          <w:sz w:val="17"/>
          <w:szCs w:val="17"/>
          <w:color w:val="auto"/>
        </w:rPr>
        <w:t>To test revenue recognized we performed audit procedures that included, among other things, testing the assumptions and underlying data used by the Company in its computations and testing the accuracy of the computations. We inspected evidence supporting actual FTEs utilized and assessed whether they were appropriately included according to the terms of the contract. We corroborated management’s estimates and judgements by performing sensitivity analyses of key inputs and inspecting communications between the Company and its collaborators regarding updates to budgeted FTEs and contract modifications that would impact the timing and duration of the collaboration. We performed corroborative inquiries of individuals outside of the finance department to assess the basis for the key assumptions utilized as of the reporting date based on current factors.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Ernst &amp; Young, LLP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38,480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374,894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482,327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502,074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110,020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66,069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Collaboration contract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705,561</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8,265</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CIRM award liability, current portion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current portion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114,051</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CIRM award liability, net of current portion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103,710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price appreciation milestones, net of current portion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rPr>
              <w:t>Preferred stock, $0.001 par value; authorized shares—5,000,000 at December 31, 2022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and December 31, 2021; Class A Convertible Preferred shares issued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outstanding—2,794,549 at December 31, 2022 and December 31, 2021</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authorized shares—250,000,000 at December 31,</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2022 and December 31, 2021; issued and outstanding—97,294,917</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December 31, 2022 and 95,726,962 at December 31, 2021</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1,536,497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1,448,584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(1,854 )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(762 )</w:t>
            </w: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(1,050,804 )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(769,083 )</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483,939</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678,838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705,561</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4720"/>
              <w:spacing w:after="0"/>
              <w:rPr>
                <w:sz w:val="20"/>
                <w:szCs w:val="20"/>
                <w:color w:val="auto"/>
              </w:rPr>
            </w:pPr>
            <w:r>
              <w:rPr>
                <w:rFonts w:ascii="Arial" w:cs="Arial" w:eastAsia="Arial" w:hAnsi="Arial"/>
                <w:sz w:val="18"/>
                <w:szCs w:val="18"/>
                <w:color w:val="auto"/>
              </w:rPr>
              <w:t>See accompanying notes.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720" w:type="dxa"/>
            <w:vAlign w:val="bottom"/>
          </w:tcPr>
          <w:p>
            <w:pPr>
              <w:ind w:left="554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-4705350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-710565</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96,300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55,846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320,454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215,519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84,232</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57,321</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404,686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272,840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(308,386 )</w:t>
            </w:r>
          </w:p>
        </w:tc>
        <w:tc>
          <w:tcPr>
            <w:tcW w:w="30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(216,994 )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(128,085 )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stock price appreciation milestones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(47,702 )</w:t>
            </w: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26,665</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(281,721 )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(212,151 )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(173,387 )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gain: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Unrealized (loss) gain on available-for-sale securities, net</w:t>
            </w:r>
          </w:p>
        </w:tc>
        <w:tc>
          <w:tcPr>
            <w:tcW w:w="320" w:type="dxa"/>
            <w:vAlign w:val="bottom"/>
          </w:tcPr>
          <w:p>
            <w:pPr>
              <w:spacing w:after="0"/>
              <w:rPr>
                <w:sz w:val="21"/>
                <w:szCs w:val="21"/>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(1,092 )</w:t>
            </w:r>
          </w:p>
        </w:tc>
        <w:tc>
          <w:tcPr>
            <w:tcW w:w="300" w:type="dxa"/>
            <w:vAlign w:val="bottom"/>
          </w:tcPr>
          <w:p>
            <w:pPr>
              <w:spacing w:after="0"/>
              <w:rPr>
                <w:sz w:val="21"/>
                <w:szCs w:val="21"/>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(832 )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(282,813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(212,983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(2.91 )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(2.24 )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Weighted–average common shares used to compute basic and</w:t>
            </w:r>
          </w:p>
        </w:tc>
        <w:tc>
          <w:tcPr>
            <w:tcW w:w="3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96,826,058</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94,747,311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82,385,319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diluted net loss per share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-2099310</wp:posOffset>
            </wp:positionV>
            <wp:extent cx="7747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-2099310</wp:posOffset>
            </wp:positionV>
            <wp:extent cx="6858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-1156335</wp:posOffset>
            </wp:positionV>
            <wp:extent cx="7747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-1156335</wp:posOffset>
            </wp:positionV>
            <wp:extent cx="685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-496570</wp:posOffset>
            </wp:positionV>
            <wp:extent cx="2082800"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82800" cy="20574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Comprehen</w:t>
            </w:r>
          </w:p>
        </w:tc>
        <w:tc>
          <w:tcPr>
            <w:tcW w:w="160" w:type="dxa"/>
            <w:vAlign w:val="bottom"/>
          </w:tcPr>
          <w:p>
            <w:pPr>
              <w:spacing w:after="0"/>
              <w:rPr>
                <w:sz w:val="12"/>
                <w:szCs w:val="12"/>
                <w:color w:val="auto"/>
              </w:rPr>
            </w:pPr>
          </w:p>
        </w:tc>
        <w:tc>
          <w:tcPr>
            <w:tcW w:w="128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3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5"/>
              </w:rPr>
              <w:t>Preferred Stock</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0"/>
              </w:rPr>
              <w:t>sive</w:t>
            </w:r>
          </w:p>
        </w:tc>
        <w:tc>
          <w:tcPr>
            <w:tcW w:w="16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12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Amou</w:t>
            </w:r>
          </w:p>
        </w:tc>
        <w:tc>
          <w:tcPr>
            <w:tcW w:w="120" w:type="dxa"/>
            <w:vAlign w:val="bottom"/>
          </w:tcPr>
          <w:p>
            <w:pPr>
              <w:spacing w:after="0"/>
              <w:rPr>
                <w:sz w:val="11"/>
                <w:szCs w:val="11"/>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4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Amou</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1"/>
                <w:szCs w:val="11"/>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Gain (Loss)</w:t>
            </w:r>
          </w:p>
        </w:tc>
        <w:tc>
          <w:tcPr>
            <w:tcW w:w="160" w:type="dxa"/>
            <w:vAlign w:val="bottom"/>
          </w:tcPr>
          <w:p>
            <w:pPr>
              <w:spacing w:after="0"/>
              <w:rPr>
                <w:sz w:val="11"/>
                <w:szCs w:val="11"/>
                <w:color w:val="auto"/>
              </w:rPr>
            </w:pPr>
          </w:p>
        </w:tc>
        <w:tc>
          <w:tcPr>
            <w:tcW w:w="128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w w:val="90"/>
              </w:rPr>
              <w:t>nt</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2,794,549</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75,730,260</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628,200</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(383,545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244,756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ind w:left="200"/>
              <w:spacing w:after="0"/>
              <w:rPr>
                <w:sz w:val="20"/>
                <w:szCs w:val="20"/>
                <w:color w:val="auto"/>
              </w:rPr>
            </w:pPr>
            <w:r>
              <w:rPr>
                <w:rFonts w:ascii="Arial" w:cs="Arial" w:eastAsia="Arial" w:hAnsi="Arial"/>
                <w:sz w:val="14"/>
                <w:szCs w:val="14"/>
                <w:color w:val="auto"/>
                <w:w w:val="94"/>
              </w:rPr>
              <w:t>Exercise of stock options, net of issuance costs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1,419,117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upon vesting of</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85,000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30,753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30,753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Public offering of common stock, net of</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offering costs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7,108,796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188,777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188,784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200"/>
              <w:spacing w:after="0" w:line="143" w:lineRule="exact"/>
              <w:rPr>
                <w:sz w:val="20"/>
                <w:szCs w:val="20"/>
                <w:color w:val="auto"/>
              </w:rPr>
            </w:pPr>
            <w:r>
              <w:rPr>
                <w:rFonts w:ascii="Arial" w:cs="Arial" w:eastAsia="Arial" w:hAnsi="Arial"/>
                <w:sz w:val="14"/>
                <w:szCs w:val="14"/>
                <w:color w:val="auto"/>
              </w:rPr>
              <w:t>Private placement of common stock, net of</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0"/>
              <w:spacing w:after="0"/>
              <w:rPr>
                <w:sz w:val="20"/>
                <w:szCs w:val="20"/>
                <w:color w:val="auto"/>
              </w:rPr>
            </w:pPr>
            <w:r>
              <w:rPr>
                <w:rFonts w:ascii="Arial" w:cs="Arial" w:eastAsia="Arial" w:hAnsi="Arial"/>
                <w:sz w:val="14"/>
                <w:szCs w:val="14"/>
                <w:color w:val="auto"/>
              </w:rPr>
              <w:t>issuance costs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1,766,160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49,973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49,975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7"/>
              </w:rPr>
              <w:t>Issuance of stock to collaboration partner, net</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of issuance costs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1,612,904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33,932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200"/>
              <w:spacing w:after="0"/>
              <w:rPr>
                <w:sz w:val="20"/>
                <w:szCs w:val="20"/>
                <w:color w:val="auto"/>
              </w:rPr>
            </w:pPr>
            <w:r>
              <w:rPr>
                <w:rFonts w:ascii="Arial" w:cs="Arial" w:eastAsia="Arial" w:hAnsi="Arial"/>
                <w:sz w:val="14"/>
                <w:szCs w:val="14"/>
                <w:color w:val="auto"/>
              </w:rPr>
              <w:t>Unrealized gain on investments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(173,387 )</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(173,387 )</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8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1080" w:type="dxa"/>
            <w:vAlign w:val="bottom"/>
          </w:tcPr>
          <w:p>
            <w:pPr>
              <w:jc w:val="right"/>
              <w:spacing w:after="0"/>
              <w:rPr>
                <w:sz w:val="20"/>
                <w:szCs w:val="20"/>
                <w:color w:val="auto"/>
              </w:rPr>
            </w:pPr>
            <w:r>
              <w:rPr>
                <w:rFonts w:ascii="Arial" w:cs="Arial" w:eastAsia="Arial" w:hAnsi="Arial"/>
                <w:sz w:val="14"/>
                <w:szCs w:val="14"/>
                <w:color w:val="auto"/>
              </w:rPr>
              <w:t>2,794,549</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87,722,237</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941,216</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(556,932 ) $</w:t>
            </w:r>
          </w:p>
        </w:tc>
        <w:tc>
          <w:tcPr>
            <w:tcW w:w="940" w:type="dxa"/>
            <w:vAlign w:val="bottom"/>
          </w:tcPr>
          <w:p>
            <w:pPr>
              <w:jc w:val="right"/>
              <w:spacing w:after="0"/>
              <w:rPr>
                <w:sz w:val="20"/>
                <w:szCs w:val="20"/>
                <w:color w:val="auto"/>
              </w:rPr>
            </w:pPr>
            <w:r>
              <w:rPr>
                <w:rFonts w:ascii="Arial" w:cs="Arial" w:eastAsia="Arial" w:hAnsi="Arial"/>
                <w:sz w:val="14"/>
                <w:szCs w:val="14"/>
                <w:color w:val="auto"/>
              </w:rPr>
              <w:t>384,445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4"/>
              </w:rPr>
              <w:t>Exercise of stock options, net of issuance costs</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2,430,298</w:t>
            </w: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20,728</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 vesting of</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451,620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54,364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tcPr>
          <w:p>
            <w:pPr>
              <w:ind w:left="200"/>
              <w:spacing w:after="0" w:line="143" w:lineRule="exact"/>
              <w:rPr>
                <w:sz w:val="20"/>
                <w:szCs w:val="20"/>
                <w:color w:val="auto"/>
              </w:rPr>
            </w:pPr>
            <w:r>
              <w:rPr>
                <w:rFonts w:ascii="Arial" w:cs="Arial" w:eastAsia="Arial" w:hAnsi="Arial"/>
                <w:sz w:val="14"/>
                <w:szCs w:val="14"/>
                <w:color w:val="auto"/>
                <w:w w:val="96"/>
              </w:rPr>
              <w:t>Public offering of common stock and issuance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0"/>
              <w:spacing w:after="0"/>
              <w:rPr>
                <w:sz w:val="20"/>
                <w:szCs w:val="20"/>
                <w:color w:val="auto"/>
              </w:rPr>
            </w:pPr>
            <w:r>
              <w:rPr>
                <w:rFonts w:ascii="Arial" w:cs="Arial" w:eastAsia="Arial" w:hAnsi="Arial"/>
                <w:sz w:val="14"/>
                <w:szCs w:val="14"/>
                <w:color w:val="auto"/>
              </w:rPr>
              <w:t>of pre-funded warrants, net of offering costs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5,122,807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432,276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432,281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 on investments, net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(832 )</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(832 )</w:t>
            </w:r>
          </w:p>
        </w:tc>
        <w:tc>
          <w:tcPr>
            <w:tcW w:w="0" w:type="dxa"/>
            <w:vAlign w:val="bottom"/>
          </w:tcPr>
          <w:p>
            <w:pPr>
              <w:spacing w:after="0"/>
              <w:rPr>
                <w:sz w:val="1"/>
                <w:szCs w:val="1"/>
                <w:color w:val="auto"/>
              </w:rPr>
            </w:pPr>
          </w:p>
        </w:tc>
      </w:tr>
      <w:tr>
        <w:trPr>
          <w:trHeight w:val="176"/>
        </w:trPr>
        <w:tc>
          <w:tcPr>
            <w:tcW w:w="29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(212,151 )</w:t>
            </w:r>
          </w:p>
        </w:tc>
        <w:tc>
          <w:tcPr>
            <w:tcW w:w="1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(212,151 )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10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2,794,549</w:t>
            </w: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FF0FC"/>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95,726,962</w:t>
            </w: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1,448,584</w:t>
            </w: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(769,083 )</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678,838</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w w:val="94"/>
              </w:rPr>
              <w:t>Exercise of stock options, net of issuance costs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941,780</w:t>
            </w: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9,180</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9,181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upon vesting of</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stock units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626,175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78,733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78,733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 on investments, net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(1,092 )</w:t>
            </w:r>
          </w:p>
        </w:tc>
        <w:tc>
          <w:tcPr>
            <w:tcW w:w="16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(1,092 )</w:t>
            </w:r>
          </w:p>
        </w:tc>
        <w:tc>
          <w:tcPr>
            <w:tcW w:w="0" w:type="dxa"/>
            <w:vAlign w:val="bottom"/>
          </w:tcPr>
          <w:p>
            <w:pPr>
              <w:spacing w:after="0"/>
              <w:rPr>
                <w:sz w:val="1"/>
                <w:szCs w:val="1"/>
                <w:color w:val="auto"/>
              </w:rPr>
            </w:pPr>
          </w:p>
        </w:tc>
      </w:tr>
      <w:tr>
        <w:trPr>
          <w:trHeight w:val="176"/>
        </w:trPr>
        <w:tc>
          <w:tcPr>
            <w:tcW w:w="29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(281,721 )</w:t>
            </w:r>
          </w:p>
        </w:tc>
        <w:tc>
          <w:tcPr>
            <w:tcW w:w="1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(281,721 )</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December 31, 2022</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2,794,549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97,294,917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1,536,497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(1,854</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(1,050,804</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483,939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-3196590</wp:posOffset>
            </wp:positionV>
            <wp:extent cx="76835"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-3196590</wp:posOffset>
            </wp:positionV>
            <wp:extent cx="76835"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-3196590</wp:posOffset>
            </wp:positionV>
            <wp:extent cx="7747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-3196590</wp:posOffset>
            </wp:positionV>
            <wp:extent cx="68580"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-3196590</wp:posOffset>
            </wp:positionV>
            <wp:extent cx="68580" cy="120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-3196590</wp:posOffset>
            </wp:positionV>
            <wp:extent cx="68580"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-3196590</wp:posOffset>
            </wp:positionV>
            <wp:extent cx="68580" cy="120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-1919605</wp:posOffset>
            </wp:positionV>
            <wp:extent cx="7683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-1919605</wp:posOffset>
            </wp:positionV>
            <wp:extent cx="7683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-1919605</wp:posOffset>
            </wp:positionV>
            <wp:extent cx="7747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-1919605</wp:posOffset>
            </wp:positionV>
            <wp:extent cx="6858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-1919605</wp:posOffset>
            </wp:positionV>
            <wp:extent cx="6858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-1919605</wp:posOffset>
            </wp:positionV>
            <wp:extent cx="6858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-1919605</wp:posOffset>
            </wp:positionV>
            <wp:extent cx="6858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-937895</wp:posOffset>
            </wp:positionV>
            <wp:extent cx="4573270" cy="2527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73270" cy="25273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(281,721 )</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(212,151 )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(173,387 )</w:t>
            </w:r>
          </w:p>
        </w:tc>
      </w:tr>
      <w:tr>
        <w:trPr>
          <w:trHeight w:val="24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78,733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30,753</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300"/>
              <w:spacing w:after="0"/>
              <w:rPr>
                <w:sz w:val="20"/>
                <w:szCs w:val="20"/>
                <w:color w:val="auto"/>
              </w:rPr>
            </w:pPr>
            <w:r>
              <w:rPr>
                <w:rFonts w:ascii="Arial" w:cs="Arial" w:eastAsia="Arial" w:hAnsi="Arial"/>
                <w:sz w:val="18"/>
                <w:szCs w:val="18"/>
                <w:color w:val="auto"/>
              </w:rPr>
              <w:t>Accretion and amortization of premiums and discounts on investments, net</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Amortization of collaboration contract asset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(6,381 )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(18,559 )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60,603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Change in fair value of stock price appreciation milestones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(20,307 )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(3,534 )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47,702</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30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(29,804 )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(3,160 )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(5,515 )</w:t>
            </w:r>
          </w:p>
        </w:tc>
      </w:tr>
      <w:tr>
        <w:trPr>
          <w:trHeight w:val="237"/>
        </w:trPr>
        <w:tc>
          <w:tcPr>
            <w:tcW w:w="662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(18,330 )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(3,052 )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(13,582 )</w:t>
            </w:r>
          </w:p>
        </w:tc>
      </w:tr>
      <w:tr>
        <w:trPr>
          <w:trHeight w:val="249"/>
        </w:trPr>
        <w:tc>
          <w:tcPr>
            <w:tcW w:w="66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(1,554 )</w:t>
            </w:r>
          </w:p>
        </w:tc>
      </w:tr>
      <w:tr>
        <w:trPr>
          <w:trHeight w:val="243"/>
        </w:trPr>
        <w:tc>
          <w:tcPr>
            <w:tcW w:w="6620" w:type="dxa"/>
            <w:vAlign w:val="bottom"/>
          </w:tcPr>
          <w:p>
            <w:pPr>
              <w:ind w:left="480"/>
              <w:spacing w:after="0"/>
              <w:rPr>
                <w:sz w:val="20"/>
                <w:szCs w:val="20"/>
                <w:color w:val="auto"/>
              </w:rPr>
            </w:pPr>
            <w:r>
              <w:rPr>
                <w:rFonts w:ascii="Arial" w:cs="Arial" w:eastAsia="Arial" w:hAnsi="Arial"/>
                <w:sz w:val="18"/>
                <w:szCs w:val="18"/>
                <w:color w:val="auto"/>
              </w:rPr>
              <w:t>Right-of-use assets and lease liabilities, net</w:t>
            </w:r>
          </w:p>
        </w:tc>
        <w:tc>
          <w:tcPr>
            <w:tcW w:w="3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(828 )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r>
      <w:tr>
        <w:trPr>
          <w:trHeight w:val="237"/>
        </w:trPr>
        <w:tc>
          <w:tcPr>
            <w:tcW w:w="66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(248,208</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(162,870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(35,566 )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(50,704 )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(4,932 )</w:t>
            </w: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(404,796 )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(968,159 )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(277,344 )</w:t>
            </w:r>
          </w:p>
        </w:tc>
      </w:tr>
      <w:tr>
        <w:trPr>
          <w:trHeight w:val="249"/>
        </w:trPr>
        <w:tc>
          <w:tcPr>
            <w:tcW w:w="6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Maturities of investments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607,113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694,840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662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166,751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(324,023 )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(161,076 )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rPr>
              <w:t>Issuance of common stock from equity incentive plans, net of issuance costs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20,714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public offering of common stock, net of issuance costs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411,735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188,784</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rPr>
              <w:t>Proceeds from issuance of pre-funded warrants, net of issuance costs</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20,680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private placement of common stock, net of issuance costs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49,975</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w w:val="97"/>
              </w:rPr>
              <w:t>Proceeds from sale of common stock to collaboration partner, net of issuance costs</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33,934</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CIRM award</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Borders>
              <w:top w:val="single" w:sz="8" w:color="CFF0FC"/>
            </w:tcBorders>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9,207</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453,129</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282,838</w:t>
            </w:r>
          </w:p>
        </w:tc>
        <w:tc>
          <w:tcPr>
            <w:tcW w:w="100" w:type="dxa"/>
            <w:vAlign w:val="bottom"/>
            <w:tcBorders>
              <w:top w:val="single" w:sz="8" w:color="CFF0FC"/>
            </w:tcBorders>
          </w:tcPr>
          <w:p>
            <w:pPr>
              <w:spacing w:after="0"/>
              <w:rPr>
                <w:sz w:val="20"/>
                <w:szCs w:val="20"/>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(72,250</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82,533</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182,574</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100,041</w:t>
            </w:r>
          </w:p>
        </w:tc>
        <w:tc>
          <w:tcPr>
            <w:tcW w:w="100" w:type="dxa"/>
            <w:vAlign w:val="bottom"/>
          </w:tcPr>
          <w:p>
            <w:pPr>
              <w:spacing w:after="0"/>
              <w:rPr>
                <w:sz w:val="21"/>
                <w:szCs w:val="21"/>
                <w:color w:val="auto"/>
              </w:rPr>
            </w:pP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the year</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76,560</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148,810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Purchases of property and equipment in 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120"/>
              <w:spacing w:after="0"/>
              <w:rPr>
                <w:sz w:val="20"/>
                <w:szCs w:val="20"/>
                <w:color w:val="auto"/>
              </w:rPr>
            </w:pPr>
            <w:r>
              <w:rPr>
                <w:rFonts w:ascii="Arial" w:cs="Arial" w:eastAsia="Arial" w:hAnsi="Arial"/>
                <w:sz w:val="18"/>
                <w:szCs w:val="18"/>
                <w:color w:val="auto"/>
              </w:rPr>
              <w:t>Right-of-use assets obtained in exchange for lease obligations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20"/>
                <w:szCs w:val="20"/>
                <w:color w:val="auto"/>
              </w:rPr>
            </w:pP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8,600</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49,287</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issuance costs included in additional paid-in-capital</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-2527935</wp:posOffset>
            </wp:positionV>
            <wp:extent cx="77470" cy="163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-2527935</wp:posOffset>
            </wp:positionV>
            <wp:extent cx="6858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-1285240</wp:posOffset>
            </wp:positionV>
            <wp:extent cx="7747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-1285240</wp:posOffset>
            </wp:positionV>
            <wp:extent cx="685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-641985</wp:posOffset>
            </wp:positionV>
            <wp:extent cx="2082800"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82800" cy="17970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Fate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right="6240" w:firstLine="8"/>
        <w:spacing w:after="0" w:line="377" w:lineRule="auto"/>
        <w:tabs>
          <w:tab w:leader="none" w:pos="1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 Organization</w:t>
      </w:r>
    </w:p>
    <w:p>
      <w:pPr>
        <w:spacing w:after="0" w:line="2"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Fate Therapeutics, Inc. (the Company) was incorporated in the state of Delaware on April 27, 2007 and has its principal operations in San Diego, California. The Company is a clinical-stage biopharmaceutical company dedicated to bringing off-the-shelf, multiplexed-engineered, iPSC-derived natural killer (NK) and T-cell product candidates to patients for the treatment of cancer and autoimmune disease.</w:t>
      </w:r>
    </w:p>
    <w:p>
      <w:pPr>
        <w:spacing w:after="0" w:line="76"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As of December 31, 2022, the Company has devoted substantially all of its efforts to product development, raising capital and building infrastructure and has not generated any revenues from any sales of its therapeutic products. To date, the Company’s revenues have been derived from collaboration agreements and government grants.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Equity Offerings</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January 2021, the Company completed a public offering of common stock in which investors, certain of which are affiliated with a director of the Company, purchased 5.1 million shares of the Company’s common stock at a price of $85.50 per share under a shelf registration statement. In addition, the Company issued pre-funded warrants, in lieu of common stock to certain investors, to purchase 257,310 shares of the Company’s common stock (Pre-Funded Warrants). The purchase price of the Pre-Funded Warrants was $85.499 per Pre-Funded Warrant, which equals the per share public offering price for the shares of common stock less the $0.001 exercise price for each such Pre-Funded Warrant. See Note 9 for additional detail. Gross proceeds from the public offering and the issuance of the Pre-Funded Warrants were $460.0 million, and after giving effect to $27.6 million of costs related to the public offering and the issuance of Pre-Funded Warrants, net proceeds were $432.4 million.</w:t>
      </w:r>
    </w:p>
    <w:p>
      <w:pPr>
        <w:spacing w:after="0" w:line="69" w:lineRule="exact"/>
        <w:rPr>
          <w:sz w:val="20"/>
          <w:szCs w:val="20"/>
          <w:color w:val="auto"/>
        </w:rPr>
      </w:pPr>
    </w:p>
    <w:p>
      <w:pPr>
        <w:jc w:val="both"/>
        <w:ind w:right="240" w:firstLine="509"/>
        <w:spacing w:after="0" w:line="311" w:lineRule="auto"/>
        <w:rPr>
          <w:sz w:val="20"/>
          <w:szCs w:val="20"/>
          <w:color w:val="auto"/>
        </w:rPr>
      </w:pPr>
      <w:r>
        <w:rPr>
          <w:rFonts w:ascii="Arial" w:cs="Arial" w:eastAsia="Arial" w:hAnsi="Arial"/>
          <w:sz w:val="16"/>
          <w:szCs w:val="16"/>
          <w:color w:val="auto"/>
        </w:rPr>
        <w:t>In June 2020, the Company completed a public offering of common stock in which investors, certain of which are affiliated with a director of the Company, purchased 7.1 million shares of its common stock at a price of $28.31 per share under a shelf registration statement. Gross proceeds from the offering were $201.3 million, and after giving effect to $12.5 million of costs related to the offering, net proceeds were $188.8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of Common Stock</w:t>
      </w:r>
    </w:p>
    <w:p>
      <w:pPr>
        <w:spacing w:after="0" w:line="121"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In June 2020, in connection with the June 2020 public offering of common stock, the Company exercised its right to cause an existing shareholder, Johnson &amp; Johnson Innovation-JJDC, Inc (JJDC), to purchase $50.0 million of the Company’s common stock, and JJDC purchased in a private placement 1.8 million shares of the Company’s common stock at a price of $28.31 per share, for aggregate proceeds of $50.0 million. In April 2020, in connection with the Janssen Agreement described in Note 2, JJDC purchased in a private placement 1.6 million shares of the Company’s common stock at a price of $31.00 per share, for aggregate proceeds of $50.0 million. The shares of common stock purchased in the private placements were not subject to any underwriting discounts or commissions.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60" w:firstLine="509"/>
        <w:spacing w:after="0" w:line="293" w:lineRule="auto"/>
        <w:rPr>
          <w:sz w:val="20"/>
          <w:szCs w:val="20"/>
          <w:color w:val="auto"/>
        </w:rPr>
      </w:pPr>
      <w:r>
        <w:rPr>
          <w:rFonts w:ascii="Arial" w:cs="Arial" w:eastAsia="Arial" w:hAnsi="Arial"/>
          <w:sz w:val="16"/>
          <w:szCs w:val="16"/>
          <w:color w:val="auto"/>
        </w:rPr>
        <w:t>The Company’s consolidated financial statements are prepared in accordance with United States generally accepted accounting principles (U.S.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its stock appreciation milestone obligations, contracts containing leases, and accrued expenses. Although these estimates are based on the Company’s knowledge of current events and actions it may undertake in the future, actual results may ultimately materially differ from these estimates and assumptions.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40" w:firstLine="584"/>
        <w:spacing w:after="0" w:line="287" w:lineRule="auto"/>
        <w:rPr>
          <w:sz w:val="20"/>
          <w:szCs w:val="20"/>
          <w:color w:val="auto"/>
        </w:rPr>
      </w:pPr>
      <w:r>
        <w:rPr>
          <w:rFonts w:ascii="Arial" w:cs="Arial" w:eastAsia="Arial" w:hAnsi="Arial"/>
          <w:sz w:val="16"/>
          <w:szCs w:val="16"/>
          <w:color w:val="auto"/>
        </w:rPr>
        <w:t>Due to the global outbreak of SARS-CoV-2, the strain of coronavirus that causes Coronavirus disease 19 (COVID-19), including the emergence of new variants of the virus, the Company experienced impacts on certain aspects of its business, including its clinical trial and research and development activities, during the year ended December 31, 2022. For example, the Company implemented in response to governmental “stay at home” orders and in the interests of public health and safety, and the Company has experienced delays or disruptions in the initiation and conduct of its clinical trials as a result of prioritization of hospital and other medical resources toward pandemic efforts, policies and procedures implemented at clinical sites with respect to the conduct of clinical trials, and other precautionary measures taken in treating patients or in practicing medicine in response to the COVID-19 pandemic. The scope and duration of these delays and disruptions, and the ultimate impacts of COVID-19 on the Company’s operations, are currently unknown. The Company is continuing to actively monitor the situation and may take further precautionary and preemptive actions as may be required by federal, state or local authorities or that it determines are in the best interests of public health and safety and that of the Company’s patient community, employees, partners, and stockholders. The Company cannot predict the effects that such actions, or the impact of COVID-19 on global business operations and economic conditions, may have on its business, strategy, collaborations, or financial and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800" w:firstLine="509"/>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subsidiaries. To date, the aggregate operations of these subsidiaries have not been significant and all intercompany transactions and balances have been eliminated in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and reportable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Company’s financial instruments consist primarily of cash and cash equivalents, marketable securities, accounts receivable, stock price appreciation milestones, accounts payable, and accrued liabilities. The carrying amounts of accounts receivable, accounts payable and accrued liabilities are considered to be representative of their respective fair values because of the relatively short-term nature of those instruments.</w:t>
      </w:r>
    </w:p>
    <w:p>
      <w:pPr>
        <w:spacing w:after="0" w:line="5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 tier fair value hierarchy, which prioritizes the inputs used in measuring fair value as follows:</w:t>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29"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on a quarterly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1"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auto"/>
        </w:rPr>
        <w:t>Cash and cash equivalents include cash in readily available checking and savings accounts, money market accounts and money market funds. The Company considers all highly liquid investments with an original maturity of three months or less from the date of purchase to be cash equivalents.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same such amounts shown in the consolidated statements of cash flows as of December 31, 2022, 2021 and 2020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61,333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15,227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Total cash, cash equivalents, and restricted cash shown in the consolidated statement of</w:t>
            </w:r>
          </w:p>
        </w:tc>
        <w:tc>
          <w:tcPr>
            <w:tcW w:w="800" w:type="dxa"/>
            <w:vAlign w:val="bottom"/>
            <w:vMerge w:val="restart"/>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76,560</w:t>
            </w:r>
          </w:p>
        </w:tc>
        <w:tc>
          <w:tcPr>
            <w:tcW w:w="280" w:type="dxa"/>
            <w:vAlign w:val="bottom"/>
            <w:vMerge w:val="restart"/>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148,810</w:t>
            </w:r>
          </w:p>
        </w:tc>
        <w:tc>
          <w:tcPr>
            <w:tcW w:w="260" w:type="dxa"/>
            <w:vAlign w:val="bottom"/>
            <w:shd w:val="clear" w:color="auto" w:fill="CFF0FC"/>
          </w:tcPr>
          <w:p>
            <w:pPr>
              <w:spacing w:after="0"/>
              <w:rPr>
                <w:sz w:val="18"/>
                <w:szCs w:val="18"/>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182,574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cash flows</w:t>
            </w: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5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For the years ended December 31, 2022, 2021 and 2020, the restricted cash balance includes cash-collateralized irrevocable standby letters of credit for $15.2 million associated with the Company’s facilities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Investments are accounted for as available-for-sale securities and are carried at fair value on the consolidated balance sheets. Upon initial recognition of the investment and at each reporting period, the Company evaluates whether any unrealized losses on investments are attributable to a credit loss or other factors. Any unrealized losses attributable to credit loss are recorded through an allowance for credit losses, limited to the amount by which the fair value is below amortized cost, with the offsetting amount recorded in other income or expense in the consolidated statement of operations and comprehensive loss. Unrealized losses not attributable to an expected credit loss and unrealized gains on investments are recorded in other comprehensive income (loss) on the consolidated statements of operations and comprehensive loss. Realized gains and losses, if any, on investments classified as available-for-sale securities are included in other income or expense.</w:t>
      </w:r>
    </w:p>
    <w:p>
      <w:pPr>
        <w:spacing w:after="0" w:line="6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amortized cost of investments classified as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Financial instruments, which potentially subject the Company to a significant concentration of credit risk, consist primarily of cash and cash equivalents and investments.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and investments are held.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lives of the assets (generally two to five years) and generally consist of furniture and fixtures, computers, scientific and office equipment, and in-process costs related to facilities construction. Repairs and maintenance costs are charged to expense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An impairment loss is recorded if and when events and circumstances indicate that assets might be impaired and the undiscounted cash flows estimated to be generated by those assets are less than the carrying amount of those assets. If the carrying amount is not recoverable, the Company measures the amount of any impairment by comparing the carrying value of the asset to the present value of the expected future cash flows associated with the use of the asset. While the Company’s current and historical operating losses and negative cash flows are indicators of impairment, management believes that future cash flows to be received support the carrying value of its long-lived assets and, accordingly, has not recognized any impairment losses since inception.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300" w:firstLine="584"/>
        <w:spacing w:after="0" w:line="277" w:lineRule="auto"/>
        <w:rPr>
          <w:sz w:val="20"/>
          <w:szCs w:val="20"/>
          <w:color w:val="auto"/>
        </w:rPr>
      </w:pPr>
      <w:r>
        <w:rPr>
          <w:rFonts w:ascii="Arial" w:cs="Arial" w:eastAsia="Arial" w:hAnsi="Arial"/>
          <w:sz w:val="18"/>
          <w:szCs w:val="18"/>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right-of-use (ROU) assets, current operating lease liabilities, and non-current operating lease liabilities in the Company’s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spacing w:after="0" w:line="57" w:lineRule="exact"/>
        <w:rPr>
          <w:sz w:val="20"/>
          <w:szCs w:val="20"/>
          <w:color w:val="auto"/>
        </w:rPr>
      </w:pPr>
    </w:p>
    <w:p>
      <w:pPr>
        <w:ind w:firstLine="584"/>
        <w:spacing w:after="0" w:line="270" w:lineRule="auto"/>
        <w:rPr>
          <w:sz w:val="20"/>
          <w:szCs w:val="20"/>
          <w:color w:val="auto"/>
        </w:rPr>
      </w:pPr>
      <w:r>
        <w:rPr>
          <w:rFonts w:ascii="Arial" w:cs="Arial" w:eastAsia="Arial" w:hAnsi="Arial"/>
          <w:sz w:val="17"/>
          <w:szCs w:val="17"/>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 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Arrangements</w:t>
      </w:r>
    </w:p>
    <w:p>
      <w:pPr>
        <w:spacing w:after="0" w:line="121" w:lineRule="exact"/>
        <w:rPr>
          <w:sz w:val="20"/>
          <w:szCs w:val="20"/>
          <w:color w:val="auto"/>
        </w:rPr>
      </w:pPr>
    </w:p>
    <w:p>
      <w:pPr>
        <w:ind w:firstLine="584"/>
        <w:spacing w:after="0" w:line="254" w:lineRule="auto"/>
        <w:rPr>
          <w:sz w:val="20"/>
          <w:szCs w:val="20"/>
          <w:color w:val="auto"/>
        </w:rPr>
      </w:pPr>
      <w:r>
        <w:rPr>
          <w:rFonts w:ascii="Arial" w:cs="Arial" w:eastAsia="Arial" w:hAnsi="Arial"/>
          <w:sz w:val="18"/>
          <w:szCs w:val="18"/>
          <w:color w:val="auto"/>
        </w:rPr>
        <w:t xml:space="preserve">The Company analyzes its collaboration arrangements to assess whether they are within the scope of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If it is concluded that some or all aspects of the arrangement represent a transaction with a customer, the Company will account for those aspects of the arrangement within the scope of ASC 606.</w:t>
      </w:r>
    </w:p>
    <w:p>
      <w:pPr>
        <w:spacing w:after="0" w:line="87" w:lineRule="exact"/>
        <w:rPr>
          <w:sz w:val="20"/>
          <w:szCs w:val="20"/>
          <w:color w:val="auto"/>
        </w:rPr>
      </w:pPr>
    </w:p>
    <w:p>
      <w:pPr>
        <w:ind w:right="20" w:firstLine="584"/>
        <w:spacing w:after="0" w:line="257" w:lineRule="auto"/>
        <w:rPr>
          <w:sz w:val="20"/>
          <w:szCs w:val="20"/>
          <w:color w:val="auto"/>
        </w:rPr>
      </w:pPr>
      <w:r>
        <w:rPr>
          <w:rFonts w:ascii="Arial" w:cs="Arial" w:eastAsia="Arial" w:hAnsi="Arial"/>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for arrangements that are attributable to ASC 606 - Revenues from customers: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 The Company applies the revenue recognition standard, including the use of any practical expedients, consistently to contracts with similar characteristics and in similar circumstances.</w:t>
      </w:r>
    </w:p>
    <w:p>
      <w:pPr>
        <w:spacing w:after="0" w:line="69"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spacing w:after="0" w:line="5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5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(or as) the Company transfers control of the product or the service applicable to such performance obligation.</w:t>
      </w:r>
    </w:p>
    <w:p>
      <w:pPr>
        <w:spacing w:after="0" w:line="79" w:lineRule="exact"/>
        <w:rPr>
          <w:sz w:val="20"/>
          <w:szCs w:val="20"/>
          <w:color w:val="auto"/>
        </w:rPr>
      </w:pPr>
    </w:p>
    <w:p>
      <w:pPr>
        <w:jc w:val="both"/>
        <w:ind w:right="100" w:firstLine="509"/>
        <w:spacing w:after="0" w:line="286" w:lineRule="auto"/>
        <w:rPr>
          <w:sz w:val="20"/>
          <w:szCs w:val="20"/>
          <w:color w:val="auto"/>
        </w:rPr>
      </w:pPr>
      <w:r>
        <w:rPr>
          <w:rFonts w:ascii="Arial" w:cs="Arial" w:eastAsia="Arial" w:hAnsi="Arial"/>
          <w:sz w:val="17"/>
          <w:szCs w:val="17"/>
          <w:color w:val="auto"/>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spacing w:after="0" w:line="57"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Company expenses incremental costs of obtaining and fulfilling a contract as and when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Appreciation Milestones</w:t>
      </w:r>
    </w:p>
    <w:p>
      <w:pPr>
        <w:spacing w:after="0" w:line="121"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 xml:space="preserve">The Company estimates the fair value of the stock price appreciation milestones associated with the Amended and Restated Exclusive License Agreement with Memorial Sloan Kettering Cancer Center, using a Monte Carlo simulation model, which relies on the Company’s current stock price as well as significant estimates and assumptions to determine the estimated liability associated with the contingent milestone payments. The Company accounts for the fair value of the stock price appreciation milestones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with fair value marked to market at each reporting date. The assumptions used to calculate the fair value of the stock price appreciation milestones are subject to a significant amount of judgment including the probability of achieving a specified clinical milestone, the expected volatility of the Company’s common stock, the risk-free interest rate, and the estimated term, which is based in part on the last valid patent claim date. The Company remeasures the fair value of the stock price appreciation milestones at each balance sheet date, with changes in fair value recorded in earnings as non-operating income or expense on the consolidated statements of operations and comprehensive loss.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common stock based on the achievement of corporate performance goals and continued employment during the vesting period. At each reporting period, and to the extent achievement of one or any of the performance conditions is probable, the Company reassesses the probability of the achievement of such corporate performance goals and any increase or decrease in share-based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Company applies the relevant accounting standards to distinguish liabilities from equity when assessing the classification and measurement of preferred stock. Preferred shares subject to mandatory redemptions are considered liabilities and measured at fair value. Conditionally redeemable preferred shares are considered temporary equity. All other preferred shares are considered as stockholders’ equity.</w:t>
      </w:r>
    </w:p>
    <w:p>
      <w:pPr>
        <w:spacing w:after="0" w:line="5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Company applies the relevant accounting standards for derivatives and hedging (in addition to distinguishing liabilities from equity) when accounting for hybrid contracts that contain conversion options. Conversion options must be bifurcated from the host instruments and accounted for as free-standing financial instruments according to certain criteria. These criteria include circumstances when (i) the economic characteristics and risks of the embedded derivative instruments are not clearly and closely related to the economic characteristics and risks of the host contract, (ii) the hybrid instrument that embodies both the embedded derivative instrument and the host contract is not re-measured at fair value under otherwise applicable accounting principles with changes in fair value reported in earnings as they occurred, and (iii) a separate instrument with the same terms as the embedded derivative instrument would be considered a derivative instrument. The derivative is subsequently measured at fair value at each reporting date, with the changes in fair value reported in earnings.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80"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6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 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Retention Credit</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CARES Act provides an employee retention credit (ERC),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 and expects to continue to receive additional tax credits under the additional relief provisions for qualified wages through December 31, 2021. In connection with the CARES Act, the Company adopted a policy to recognize the employee retention credit when received and include in other income in the statement of operations. Accordingly, the Company received a cash payment and recorded $0.5 million of other income during the year ended December 31, 2022. The Company did not receive or record other income during the years ended December 31, 2021 or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80" w:firstLine="509"/>
        <w:spacing w:after="0" w:line="220" w:lineRule="exact"/>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Other comprehensive loss includes unrealized gains and losses, other than losses attributable to a credit loss which are included in other income and expense, on investments classified as available-for-sale securities, which was the only difference between net loss and comprehensive loss for the applicable periods.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121" w:lineRule="exact"/>
        <w:rPr>
          <w:sz w:val="20"/>
          <w:szCs w:val="20"/>
          <w:color w:val="auto"/>
        </w:rPr>
      </w:pPr>
    </w:p>
    <w:p>
      <w:pPr>
        <w:ind w:right="200" w:firstLine="509"/>
        <w:spacing w:after="0" w:line="291"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for the period, without consideration for common stock equivalents. The Pre-Funded Warrants associated with the January 2021 public equity offering (see Note</w:t>
      </w:r>
    </w:p>
    <w:p>
      <w:pPr>
        <w:ind w:right="180" w:firstLine="8"/>
        <w:spacing w:after="0" w:line="253" w:lineRule="auto"/>
        <w:tabs>
          <w:tab w:leader="none" w:pos="1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considered outstanding shares in the basic earnings per share calculation given their nominal exercise price. Dilutive common stock equivalents comprise convertible preferred stock, warrants for the purchase of common stock, and common stock options and restricted stock units outstanding under the Company’s stock option plans. For all periods presented, there is no difference in the number of common shares used to calculate basic and diluted common shares outstanding due to the Company’s net loss position.</w:t>
      </w:r>
    </w:p>
    <w:p>
      <w:pPr>
        <w:spacing w:after="0" w:line="8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Potentially dilutive securities that are not included in the calculation of diluted net loss per common share because to do so would be anti-dilutive are as follows (in common stock equivalent shares):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7,267,226</w:t>
            </w:r>
          </w:p>
        </w:tc>
        <w:tc>
          <w:tcPr>
            <w:tcW w:w="18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7,708,263</w:t>
            </w:r>
          </w:p>
        </w:tc>
        <w:tc>
          <w:tcPr>
            <w:tcW w:w="16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10,432,822</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5,862,733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4,008,832</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1,401,732</w:t>
            </w:r>
          </w:p>
        </w:tc>
        <w:tc>
          <w:tcPr>
            <w:tcW w:w="80" w:type="dxa"/>
            <w:vAlign w:val="bottom"/>
          </w:tcPr>
          <w:p>
            <w:pPr>
              <w:spacing w:after="0"/>
              <w:rPr>
                <w:sz w:val="20"/>
                <w:szCs w:val="20"/>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convertible preferred stock (if converted)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13,972,745</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13,972,745</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13,972,745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20" w:type="dxa"/>
            <w:vAlign w:val="bottom"/>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27,102,704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25,689,840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25,807,299</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60325"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Assessment</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Substantial doubt about an entity’s ability to continue as a going concern exists when relevant conditions and events, considered in the aggregate, indicate that it is probable that the entity will be unable to meet its obligations as they become due within one year from the financial statement issuance date. The Company determined that there are no conditions or events that raise substantial doubt about its ability to continue as a going concern for a period of at least twelve months from the date of issuance of these financial statements.</w:t>
      </w:r>
    </w:p>
    <w:p>
      <w:pPr>
        <w:spacing w:after="0" w:line="291" w:lineRule="exact"/>
        <w:rPr>
          <w:sz w:val="20"/>
          <w:szCs w:val="20"/>
          <w:color w:val="auto"/>
        </w:rPr>
      </w:pPr>
    </w:p>
    <w:p>
      <w:pPr>
        <w:ind w:right="7700" w:firstLine="8"/>
        <w:spacing w:after="0" w:line="425" w:lineRule="auto"/>
        <w:tabs>
          <w:tab w:leader="none" w:pos="18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License Agreements Janssen Collaboration and Option Agreement</w:t>
      </w:r>
    </w:p>
    <w:p>
      <w:pPr>
        <w:ind w:right="520" w:firstLine="509"/>
        <w:spacing w:after="0" w:line="311" w:lineRule="auto"/>
        <w:rPr>
          <w:sz w:val="20"/>
          <w:szCs w:val="20"/>
          <w:color w:val="auto"/>
        </w:rPr>
      </w:pPr>
      <w:r>
        <w:rPr>
          <w:rFonts w:ascii="Arial" w:cs="Arial" w:eastAsia="Arial" w:hAnsi="Arial"/>
          <w:sz w:val="16"/>
          <w:szCs w:val="16"/>
          <w:color w:val="auto"/>
        </w:rPr>
        <w:t>On April 2, 2020 (the Janssen Agreement Effective Date), the Company entered into a Collaboration and Option Agreement (the Janssen Agreement) with Janssen Biotech, Inc. (Janssen), part of the Janssen Pharmaceutical Companies of Johnson &amp; Johnson. Additionally, on the Janssen Agreement Effective Date, the Company entered into a Stock Purchase Agreement (the Stock Purchase Agreement) with JJDC.</w:t>
      </w:r>
    </w:p>
    <w:p>
      <w:pPr>
        <w:spacing w:after="0" w:line="41" w:lineRule="exact"/>
        <w:rPr>
          <w:sz w:val="20"/>
          <w:szCs w:val="20"/>
          <w:color w:val="auto"/>
        </w:rPr>
      </w:pPr>
    </w:p>
    <w:p>
      <w:pPr>
        <w:jc w:val="both"/>
        <w:ind w:right="160" w:firstLine="509"/>
        <w:spacing w:after="0" w:line="287" w:lineRule="auto"/>
        <w:rPr>
          <w:sz w:val="20"/>
          <w:szCs w:val="20"/>
          <w:color w:val="auto"/>
        </w:rPr>
      </w:pPr>
      <w:r>
        <w:rPr>
          <w:rFonts w:ascii="Arial" w:cs="Arial" w:eastAsia="Arial" w:hAnsi="Arial"/>
          <w:sz w:val="16"/>
          <w:szCs w:val="16"/>
          <w:color w:val="auto"/>
        </w:rPr>
        <w:t>Upon entering the Janssen Agreement, the Company received an upfront, non-refundable and non-creditable payment of $50.0 million. Under the Janssen Agreement, Janssen and the Company will collaborate to develop iPSC-derived CAR NK and CAR T-cell product candidates for the treatment of cancer. Janssen will contribute proprietary antigen binding domains directed to up to four tumor-associated antigen targets (the Janssen Cancer Targets).</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Company will research and construct iPSC-derived CAR NK and CAR T-cell product candidates directed to each of the Janssen Cancer Targets (the Collaboration Candidates) and perform preclinical development of Collaboration Candidates. Upon the Company’s completion of activities sufficient to allow the filing of an IND application for a Collaboration Candidate, Janssen will have the right to exercise an exclusive option and obtain an exclusive license to the Company’s intellectual property rights for the development and commercialization for each Collaboration Candidate. Upon the exercise of such exclusive option, Janssen will be solely responsible for the worldwide clinical development and commercialization of such Collaboration Candidate, and the Company will be primarily responsible for the manufacture, at Janssen’s cost, of such Collaboration Candidate. For each Collaboration Candidate, upon attaining clinical proof-of-concept, the Company shall have the right to elect to co-commercialize and share equally in the profits and losses in the United States, subject to the Company sharing in certain development costs.</w:t>
      </w:r>
    </w:p>
    <w:p>
      <w:pPr>
        <w:spacing w:after="0" w:line="75"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Under the terms of the Janssen Agreement, the Company is entitled to receive full funding for all research, preclinical development and IND-enabling activities performed by the Company for Collaboration Candidates, and is eligible to receive (i) with respect to the first Janssen Cancer Target, payments of up to $898.0 million upon the achievement of specified development,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regulatory and sales milestones (the Janssen Milestone Payments) for the first Collaboration Candidate, and up to $460.0 million in Janssen Milestone Payments for each additional Collaboration Candidate, directed to the first Janssen Cancer Target; and (ii) with respect to each of the second, third and fourth Janssen Cancer Targets, up to $706.0 million in Janssen Milestone Payments for each of the first Collaboration Candidates, and up to $340.0 million in Janssen Milestone Payments for each additional Collaboration Candidate, directed to the applicable Janssen Cancer Target, where certain Janssen Milestone Payments under (i) and (ii) are subject to reduction in the event the Company elects to co-commercialize and share equally in the profits and losses in the United States of a respective Collaboration Candidate. The Company is further eligible to receive double-digit tiered royalties ranging up to the mid-teens on net sales of Collaboration Candidates that are commercialized by Janssen under the Janssen Agreement, subject to reduction under certain circumstances.</w:t>
      </w:r>
    </w:p>
    <w:p>
      <w:pPr>
        <w:spacing w:after="0" w:line="8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Under the Stock Purchase Agreement, the Company sold 1.6 million shares of common stock to JJDC at $31.00 per share, for an aggregate purchase price of approximately $50.0 million, on April 7, 2020. The Company determined that this common stock purchase represented a premium of $9.93 per share, or $16.0 million in aggregate (the Equity Premium), and the remaining $34.0 million was recorded as an issuance of common stock in shareholders’ equity.</w:t>
      </w:r>
    </w:p>
    <w:p>
      <w:pPr>
        <w:spacing w:after="0" w:line="79"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In addition, under the Stock Purchase Agreement, the Company had the right to require JJDC to purchase an aggregate of $50.0 million in shares of the Company’s common stock in a private placement at the same price per share as that paid by investors in a public offering. In June 2020, in connection with the Company’s June 2020 public offering, the Company exercised this right and JJDC purchased in a private placement 1.8 million shares of the Company’s common stock at a price of $28.31 per share, for aggregate proceeds of $50.0 million.</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Janssen Agreement permits Janssen to terminate development with respect to one or more Janssen Cancer Targets, or the entire Janssen Agreement, at any time on or after the second anniversary of the Janssen Agreement Effective Date, and the Company may terminate the Janssen Agreement with respect to a particular Janssen Cancer Target if a Collaboration Candidate has not been selected for IND-enabling studies for such Janssen Cancer Target within specified time periods under certain conditions. The Janssen Agreement contains customary provisions for termination by either party in the event of a material breach of the Janssen Agreement, subject to cure, by the other party and in the event of any bankruptcy, insolvency or similar events with respect to the other party.</w:t>
      </w:r>
    </w:p>
    <w:p>
      <w:pPr>
        <w:spacing w:after="0" w:line="8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 xml:space="preserve">The Company applied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and determined the Janssen Agreement is applicable to such guidance. The Company concluded that certain units of account within the Janssen Agreement represented a customer relationship and applied relevant guidance from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to evaluate the appropriate accounting for the Janssen Agreement. In accordance with this guidance, the Company identified its potential performance obligations, including its grant of a license to Janssen to certain of its intellectual property subject to certain conditions, its conduct of research and development services, and its participation in various joint oversight committees. The Company determined that its grant of a license to Janssen to certain of its intellectual property in the initial development stage was not distinct from other performance obligations because such grant is dependent on the conduct and results of the research and development services. Accordingly, the Company determined that its grant of a license to Janssen and its conduct of research and development services should be accounted for as one combined performance obligation, and that the combined performance obligation is transferred over the expected term of the conduct of the research and development services, which is estimated to be four years. Additionally, the Company determined that participation in the various joint oversight committees did not constitute a performance obligation as the Company’s participation in the various joint oversight committees does not transfer a service.</w:t>
      </w:r>
    </w:p>
    <w:p>
      <w:pPr>
        <w:spacing w:after="0" w:line="6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also assessed the effects of any variable elements under the Janssen Agreement. Such assessment evaluated, among other things, the funding to be received by the Company for its conduct of research and development services. Based on its assessment, the Company concluded that the total amount to be received by the Company for its conduct of research and development services is variable and cannot be readily estimated and, therefore, no amounts associated with such services were included in the initial transaction price. In addition, the Company also assessed its likelihood of receiving (i) preclinical milestones, (ii) various clinical, regulatory and commercial milestone payments, and (iii) royalties on net sales of the Collaboration Candidates. Based on the likelihood of receiving such milestone payments and royalties, no amounts associated with milestones or royalties were included in the initial transaction price.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In accordance with ASC 606, the Company determined that the initial transaction price under the Janssen Agreement equals $66.0 million, consisting of the upfront, non-refundable and non-creditable payment of $50.0 million and the Equity Premium of $16.0 million. The Company concluded that there was not a significant financing component under the Janssen Agreement. The upfront payment of $66.0 million was recorded as deferred revenue and is being recognized as revenue consistent with the Company’s efforts related to the conduct of research and development services, as the research and development services are the primary component of the combined performance obligation. Since the total amount to be received by the Company for its research and development services under the Janssen Agreement could not be readily estimated, revenue associated with the upfront payment will be recognized based on actual headcount utilized as a percentage of total headcount expected to be utilized over the expected term of the conduct of the research and development services. Revenue associated with the research and development services will be recognized in an amount equal to the actual costs incurred during the period in which the research and development services are performed by the Company.</w:t>
      </w:r>
    </w:p>
    <w:p>
      <w:pPr>
        <w:spacing w:after="0" w:line="58"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During the year ended December 31, 2022, the Company achieved two research milestones under the Janssen Agreement and received a cash payment of $3.0 million each, for a total of $6.0 million received. In accordance with ASC 606, the Company determined that the milestone receivables represented an increase in the initial transaction price under the Janssen Agreement in the form of the receipt of variable consideration that was previously constrained. The Company recognized revenue associated with the milestone receivables in an amount equal to the proportional percentage of actual headcount incurred under the Janssen Agreement since its inception as a percentage of the total headcount expected to be utilized over the expected term of conduct of research and development services under the Janssen Agreement. The remaining unrecognized revenue associated with the milestones was recorded to deferred revenue, and is being recognized as revenue over the expected term of conduct of research and development services.</w:t>
      </w:r>
    </w:p>
    <w:p>
      <w:pPr>
        <w:spacing w:after="0" w:line="5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On May 26, 2022, Janssen exercised a commercial option for a development candidate with respect to a particular Janssen Antigen (as defined under the Janssen Agreement). As a result, the Company received an Option Exercise Payment (as defined under the Janssen Agreement) of $10.0 million under the Janssen Agreement. The Company determined the exercise represented an option with no material right under the Janssen Agreement. The Company has not completed its performance obligations with respect to the exercise of the commercial option and accordingly, the Company has not recognized any revenue associated with the option exercise for the year ended December 31, 2022. The cash received for the Option Exercise Payment was recorded to deferred revenue, and will be recognized as revenue upon completion of the performance obligations.</w:t>
      </w:r>
    </w:p>
    <w:p>
      <w:pPr>
        <w:spacing w:after="0" w:line="56"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On September 14, 2022, Janssen provided notice of their intent to exercise a second commercial option for a development candidate with respect to a particular Janssen Antigen (as defined under the Janssen Agreement). This option exercise is subject to Competition Law Filings, and therefore the exercise effective date was deemed to be the Clearance Date, which occurred during the year ended December 31, 2022. Janssen owes the Company an Option Exercise Payment (as defined under the Janssen Agreement) of $10.0 million under the Janssen Agreement. The Company determined the exercise represented an option with no material right under the Janssen Agreement. The Company has completed its performance obligations with respect to the exercise of the commercial option and accordingly, recognized the Option Exercise Payment as revenue for the year ended December 31, 2022.</w:t>
      </w:r>
    </w:p>
    <w:p>
      <w:pPr>
        <w:spacing w:after="0" w:line="56"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On November 18, 2022, the Company filed an IND for the second antigen, development candidate, which was cleared by the FDA during the year ended December 31, 2022. Accordingly, the Company achieved a $3.0 million pre-defined clinical development milestone under the Janssen Agreement which was recognized as revenue during the year ended December 31, 2022.</w:t>
      </w:r>
    </w:p>
    <w:p>
      <w:pPr>
        <w:spacing w:after="0" w:line="76"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As a direct result of the Company’s entry into the Janssen Agreement, the Company incurred $17.1 million in sublicense fees to certain of its existing licensors. The $17.1 million in sublicense consideration represents an asset under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(ASC 340) and is amortized to research and development expense ratably with the Company’s revenue recognition under the Janssen Agreement. During the years ended December 31, 2022 and 2021, the Company recognized $4.3 million and $1.7 million of such expense, respectively. As of December 31, 2022, the Janssen Agreement contract asset balance was $7.2 million.</w:t>
      </w:r>
    </w:p>
    <w:p>
      <w:pPr>
        <w:spacing w:after="0" w:line="8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Company recognized revenue of $79.7 million under the Janssen Agreement for the year ended December 31, 2022. Such revenue comprised $42.3 million associated with research and development services, $23.1 million associated with the upfront fee and Equity Premium, $13.0 million associated with a commercial option exercise and milestone achievements, and $1.3 million associated with collaboration services for the year ended December 31, 2022. The Company recognized revenue of $43.7 million under the Janssen Agreement for the year ended December 31, 2021. Such revenue comprised $29.5 million associated with research and development services and $14.2 million associated with the upfront fee and Equity Premium for the year ended December 31, 2021. As of December 31, 2022, aggregate deferred revenue related to the Janssen Agreement was $41.2 million, all of which is classified as current.</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2022, the Company has received $70.4 million in cash in aggregate research and development fees from Janssen.</w:t>
      </w:r>
    </w:p>
    <w:p>
      <w:pPr>
        <w:spacing w:after="0" w:line="12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January 3, 2023, the Company received notice of termination from Janssen of the Janssen Agreement. The termination will take effect on April 3, 2023 and, during the first quarter of 2023, the Company will wind down activities with Janssen, including discontinuing development of all collaboration products. Under the terms of the Janssen Agreement, in connection with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termination, (i) all licenses and other rights granted to either party pursuant to the Janssen Agreement will terminate, subject to limited exceptions set forth in the Janssen Agreement; (ii) both parties will wind down any development, commercialization and manufacturing activities under the Janssen Agreement;</w:t>
      </w:r>
    </w:p>
    <w:p>
      <w:pPr>
        <w:ind w:right="100" w:firstLine="8"/>
        <w:spacing w:after="0" w:line="277" w:lineRule="auto"/>
        <w:tabs>
          <w:tab w:leader="none" w:pos="315" w:val="left"/>
        </w:tabs>
        <w:numPr>
          <w:ilvl w:val="0"/>
          <w:numId w:val="58"/>
        </w:numPr>
        <w:rPr>
          <w:rFonts w:ascii="Arial" w:cs="Arial" w:eastAsia="Arial" w:hAnsi="Arial"/>
          <w:sz w:val="17"/>
          <w:szCs w:val="17"/>
          <w:color w:val="auto"/>
        </w:rPr>
      </w:pPr>
      <w:r>
        <w:rPr>
          <w:rFonts w:ascii="Arial" w:cs="Arial" w:eastAsia="Arial" w:hAnsi="Arial"/>
          <w:sz w:val="17"/>
          <w:szCs w:val="17"/>
          <w:color w:val="auto"/>
        </w:rPr>
        <w:t>neither party will have any right to continue to develop, manufacture or commercialize any collaboration candidate or collaboration product or use the other party’s materials; and (iv) neither party is restricted from independently developing, manufacturing, or commercializing any product, including any products directed to the same antigens as those of any collaboration candidate or collaboration product.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Ono Collaboration and Option Agreement</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Under a collaboration and option agreement with Ono Pharmaceutical Co. Ltd. (Ono) entered into in September 2018 and amended in June 2022 (the Ono Agreement), the Company is conducting research and preclinical development of off-the-shelf, iPSC-derived, CAR-targeted effector cells for the treatment of solid tumors.</w:t>
      </w:r>
    </w:p>
    <w:p>
      <w:pPr>
        <w:spacing w:after="0" w:line="76"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Ono Agreement was initially designed to research and preclinically develop two iPSC-derived CAR T-cell product candidates, one of which was designated to target an antigen expressed on certain lymphoblastic leukemias (Candidate 1) and the second of which was designated to target an antigen expressed on certain solid tumors (Candidate 2) (each a Candidate and, collectively, the Candidates). The Company granted to Ono, during a specified period of time, a preclinical option to obtain an exclusive license under certain intellectual property rights to develop and commercialize: (a) Candidate 1 in Asia, where the Company retained rights for development and commercialization in all other territories of the world; and (b) Candidate 2 in all territories of the world, where the Company retained rights to co-develop and co-commercialize Candidate 2 in the United States and Europe under a joint arrangement with Ono under which the Company is eligible to share at least 50% of the profits and losses. The Company maintained worldwide rights of manufacture for each Candidate. For each Candidate, the preclinical option expired upon the earliest of: (a) the achievement of the pre-defined preclinical milestone under the joint development plan; (b) termination by Ono of research and development activities for the Candidate; and (c) the date that is the later of (i) four years after the effective date, and (ii) completion of all applicable activities contemplated under the joint development plan. Ono paid the Company an upfront, non-refundable and non-creditable payment of $10.0 million in connection with entering into the Ono Agreement. Additionally, as consideration for the conduct of research and preclinical development under a joint development plan, Ono agreed to pay the Company annual research and development fees set forth in the annual budget included in the joint development plan, which fees were estimated to be $20.0 million in aggregate over the course of the joint development plan.</w:t>
      </w:r>
    </w:p>
    <w:p>
      <w:pPr>
        <w:spacing w:after="0" w:line="76"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In December 2020, the Company entered into a letter agreement with Ono pursuant to which Ono delivered proprietary antigen binding domains targeting an antigen expressed on certain solid tumors for incorporation into Candidate 2 and paid the Company a milestone fee of $10.0 million for further research and development of Candidate 2. In addition, Ono terminated all further research and development with respect to Candidate 1, and the Company retained all rights to research, develop and commercialize Candidate 1 throughout the world without any obligation to Ono.</w:t>
      </w:r>
    </w:p>
    <w:p>
      <w:pPr>
        <w:spacing w:after="0" w:line="4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In June 2022, the Company entered into an amendment with Ono to the Ono Agreement (the Ono Amendment). Pursuant to the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the companies expanded the scope of the collaboration to include the research and development of iPSC-derived CAR NK cell product candidates (in addition to iPSC-derived CAR T-cell product candidates) targeting the designated solid tumor antigens. Similar to Candidate 2, the Company granted to Ono, during a specified period of time, a preclinical option to obtain an exclusive license under certain intellectual property rights, subject to payment of an option exercise fee to the Company by Ono, to develop and commercialize Candidate 3 in all territories of the world, where the Company retains rights to co-develop and co-commercialize Candidate 3 in the United States and Europe under a joint arrangement with Ono under which the Company is eligible to share at least 50% of the profits and losses. The Company maintained worldwide rights of manufacture for Candidate 3. The preclinical option expires upon the earlier of: (a) September 30, 2024, or (b) the achievement of the pre-defined preclinical milestone under the joint development plan for Candidate</w:t>
      </w:r>
    </w:p>
    <w:p>
      <w:pPr>
        <w:spacing w:after="0" w:line="5" w:lineRule="exact"/>
        <w:rPr>
          <w:sz w:val="20"/>
          <w:szCs w:val="20"/>
          <w:color w:val="auto"/>
        </w:rPr>
      </w:pPr>
    </w:p>
    <w:p>
      <w:pPr>
        <w:ind w:right="200" w:firstLine="8"/>
        <w:spacing w:after="0" w:line="255"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payment of an extension fee by Ono, Ono may choose to defer its decision to exercise the preclinical option until no later than June 2026. Under the Ono Amendment, aggregate estimated research and development fees have been increased by approximately $9.3 million, for a total estimated $29.3 million in aggregate research and development fees over the course of the joint development plan.</w:t>
      </w:r>
    </w:p>
    <w:p>
      <w:pPr>
        <w:spacing w:after="0" w:line="8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Under the terms of the Ono Agreement, for Candidate 2 and for Candidate 3 (subject to exercise by Ono of its preclinical option to Candidate 3), we are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we elect to co-develop and co-commercialize the Candidate in the United States and Europe as described above. In addition, in those territories where Ono has exclusive rights of commercialization, we are eligible to receive tiered royalties (Royalties) ranging from the mid-single digits to the low-double digits based on annual net sales by Ono for each Candidate in such territories, with such royalties subject to certain reductions.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Ono Agreement will terminate with respect to a Candidate if Ono does not exercise its option for a Candidate within the option period, or in its entirety if Ono does not exercise any of its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8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Company determined that the Ono Agreement, Ono Letter Agreement, and Ono Amendment were within the scope of ASC 808. The Company concluded that certain units of account within the Ono Agreement and Ono Amendment represented a customer and applied relevant guidance from ASC 606 to evaluate the appropriate accounting for the those units of account. In accordance with this guidance, the Company identified its performance obligations, including its grant of a license to Ono to certain of its intellectual property subject to certain conditions, its conduct of research services, and its participation in a joint steering committee. The Company determined that its grant of a license to Ono to certain of its intellectual property subject to certain conditions was not distinct from other performance obligations because such grant is dependent on the conduct and results of the research services. Additionally, the Company determined that its conduct of research services was not distinct from other performance obligations since such conduct is dependent on the guidance of the joint steering committee. Accordingly, the Company determined that all performance obligations should be accounted for as one combined performance obligation, and that the combined performance obligation is transferred over the expected term of the conduct of the research services, which is estimated to be four years. The termination of the Ono Agreement with respect to Candidate 1 did not impact this assessment.</w:t>
      </w:r>
    </w:p>
    <w:p>
      <w:pPr>
        <w:spacing w:after="0" w:line="60"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The Company also assessed, in connection with the upfront, non-refundable and non-creditable payment of $10.0 million received in September 2018 and the $5.0 million prepayment of the first-year research and development fees in October 2018, and concluded that there was not a significant financing component to the Ono Agreement.</w:t>
      </w:r>
    </w:p>
    <w:p>
      <w:pPr>
        <w:spacing w:after="0" w:line="76"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The Company also assessed the effects of any variable elements under the Ono Agreement and Ono Amendment. Such assessment evaluated, among other things, the likelihood of receiving (i) preclinical milestone and option fees, (ii) various clinical, regulatory and commercial milestone payments, and (iii) royalties on net sales of either product Candidate. Based on its assessment, the Company concluded that, based on the likelihood of these variable components occurring, there was not a significant variable element included in the transaction price. Accordingly, the Company has not assigned a transaction price to any Ono Option Milestone, Ono Milestones or Ono Option Exercise Fees, other than the $10.0 million milestone triggered as part of the Ono Letter Agreement in December 2020, given the substantial uncertainty related to their achievement and has not assigned a transaction price to any Ono Royalties.</w:t>
      </w:r>
    </w:p>
    <w:p>
      <w:pPr>
        <w:spacing w:after="0" w:line="69"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accordance with ASC 606, the Company determined that the initial transaction price under the Ono Agreement equals $39.3 million, consisting of the upfront, non-refundable and non-creditable payment of $10.0 million and the aggregate estimated research and development fees of $29.3 million. The upfront payment of $10.0 million was recorded as deferred revenue and is being recognized as revenue over time in conjunction with the Company’s conduct of research services as the research services are the primary component of the combined performance obligations. Revenue associated with the upfront payment will be recognized based on actual costs incurred as a percentage of the estimated total costs expected to be incurred over the expected term of conduct of the research services. The Company recorded the $5.0 million prepayment of the first-year research and development fees as deferred revenue, and such fees were recognized as revenue as the research services were delivered.</w:t>
      </w:r>
    </w:p>
    <w:p>
      <w:pPr>
        <w:spacing w:after="0" w:line="6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accordance with ASC 606, the Company concluded that the $10.0 million milestone payment associated with the Ono Letter Agreement represented an increase in the initial transaction price under the Ono Agreement in the form of the receipt of variable consideration that was previously constrained. The Company recognized revenue associated with the $10.0 million milestone payment in an amount equal to the proportional percentage of actual costs incurred under the Ono Agreement as a percentage of the estimated total costs expected to be incurred over the expected term of conduct of the research services.</w:t>
      </w:r>
    </w:p>
    <w:p>
      <w:pPr>
        <w:spacing w:after="0" w:line="80"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On November 7, 2022, Ono exercised its option for continued development of Collaboration Candidate 2 (as defined under the Ono Agreement). Upon exercise, the Company granted Ono a license to develop and commercialize Collaboration Candidate 2. The Company elected its CDCC Option for Collaboration Candidate 2. As a result, the Company is owed an Option Exercise Payment (as defined under the Ono Agreement) of $12.5 million. The Company determined the exercise represented an option with no material right under the Ono Agreement. The Company has completed its performance obligations with respect to the exercise of the option and accordingly, recognized the Option Exercise Payment as revenue for the year ended December 31, 2022. The Company and Ono will establish a joint development plan for the ongoing development of Collaboration Candidate 2. The costs of this development plan are accounted for in accordance with ASC 808, and cost sharing payments to the Company from Ono are recorded net into research and development expenses. As of December 31, 2022, there were no cost-sharing payments made to the Company from Ono.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a direct result of the Company’s entry into the Ono Agreement and the Ono Letter Agreement, the Company incurred an aggregate of $7.8 million in sublicense consideration to existing licensors of the Company. The $7.8 million in sublicense consideration represents an asset under ASC 340 and is being amortized to research and development expense ratably with the Company’s revenue recognition under the Ono Agreement. During the years ended December 31, 2022 and 2021, the Company recognized $4.1 million and $1.2 million, respectively, of such expense. As of December 31, 2022, there is no remaining contract asset balance for the Ono Agreement.</w:t>
      </w:r>
    </w:p>
    <w:p>
      <w:pPr>
        <w:spacing w:after="0" w:line="80"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Company recognized revenue of $16.6 million, $12.1 million, and $14.6 million under the Ono Agreement and Ono Letter Agreement during the years ended December 31, 2022, 2021 and 2020, respectively. Such revenue comprised $2.5 million associated with research services, $1.6 million associated with the upfront payment, and $12.5 million associated with the option exercise during the year ended December 31, 2022. Such revenue comprised $6.0 million associated with the Ono Letter Agreement milestone earned in December 2021, $6.0 million associated with research services and $6.1 million associated with the upfront payment during the year ended December 31, 2021. Such revenue comprised $5.7 million associated with research services and $2.8 million associated with the upfront payment during the year ended December 31, 2020. As of December 31, 2022, aggregate deferred revenue related to the Ono Agreement and Ono Letter Agreement was $1.1 million, all of which is classified as current.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 Company has received $21.9 million in cash of aggregate research and development fees from Ono.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Memorial Sloan Kettering Cancer Center License Agreement</w:t>
      </w:r>
    </w:p>
    <w:p>
      <w:pPr>
        <w:spacing w:after="0" w:line="12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On May 15, 2018, the Company entered into an Amended and Restated Exclusive License Agreement (the Amended MSK License) with Memorial Sloan Kettering Cancer Center (MSK). The Amended MSK License amends and restates the Exclusive License Agreement entered into between the Company and MSK on August 19, 2016 (the Original MSK License), pursuant to which the Company entered into an exclusive license agreement with MSK for rights relating to compositions and methods covering iPSC-derived cellular immunotherapy, including T-cells and NK-cells derived from iPSCs engineered with CARs.</w:t>
      </w:r>
    </w:p>
    <w:p>
      <w:pPr>
        <w:spacing w:after="0" w:line="8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Pursuant to the Amended MSK License, MSK granted to the Company additional licenses to certain patents and patent applications relating to new CAR constructs and off-the-shelf CAR T 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 License, in which case it is obligated to pay MSK a percentage of certain sublicense income received by the Company.</w:t>
      </w:r>
    </w:p>
    <w:p>
      <w:pPr>
        <w:spacing w:after="0" w:line="68"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The Company is obligated to pay to MSK an annual license maintenance fee during the term of the agreement, and milestone payments upon the achievement of specified clinical, regulatory and commercial milestones for licensed products as well as royalty payments on net sales of licensed products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event a licensed product achieves a specified clinical milestone, MSK is then eligible to receive certain milestone payments totaling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$75.0 million based on the price of the Company’s common stock, where the amount of such payments owed to MSK is contingent upon certain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price of the Company’s common stock following the date of achievement of such clinical milestone. These payments are based on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multiples, with the numerator being the fair value of the ten-trading day trailing average closing price of the Company’s common stock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denominator being the ten-trading day trailing average closing price of the Company’s common stock as of the effective date of the Amended MSK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adjusted for any stock splits, cash dividends, stock dividends, other distributions, combinations, recapitalizations, or similar events.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Amended MSK License, upon a change of control of the Company, in certain circumstances, the Company may be required to pay a portion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payments to MSK based on the price of the Company’s common stock in connection with such change of control.</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common stock multiples and the stock price appreciation milestone payments under the terms of the agreement:</w:t>
      </w:r>
    </w:p>
    <w:p>
      <w:pPr>
        <w:spacing w:after="0" w:line="370"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Common stock multiple</w:t>
            </w:r>
          </w:p>
        </w:tc>
        <w:tc>
          <w:tcPr>
            <w:tcW w:w="9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5.0x</w:t>
            </w: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10.0x</w:t>
            </w: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15.0x</w:t>
            </w: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Ten-trading day trailing average common stock price</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50.18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100.36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150.54</w:t>
            </w:r>
          </w:p>
        </w:tc>
      </w:tr>
      <w:tr>
        <w:trPr>
          <w:trHeight w:val="24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Stock price appreciation milestone payment (in millions)</w:t>
            </w:r>
          </w:p>
        </w:tc>
        <w:tc>
          <w:tcPr>
            <w:tcW w:w="9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25.0</w:t>
            </w:r>
          </w:p>
        </w:tc>
      </w:tr>
    </w:tbl>
    <w:p>
      <w:pPr>
        <w:spacing w:after="0" w:line="310"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July 2021, the Company achieved the specified clinical milestone for a licensed product under the Amended MSK License and the Company’s ten-trading day trailing average common stock price exceeded the first, pre-specified threshold. As a result, the Company remitted the first milestone payment of $20.0 million to MSK during the year ended December 31, 2021.</w:t>
      </w:r>
    </w:p>
    <w:p>
      <w:pPr>
        <w:spacing w:after="0" w:line="76" w:lineRule="exact"/>
        <w:rPr>
          <w:sz w:val="20"/>
          <w:szCs w:val="20"/>
          <w:color w:val="auto"/>
        </w:rPr>
      </w:pPr>
    </w:p>
    <w:p>
      <w:pPr>
        <w:ind w:right="920" w:firstLine="509"/>
        <w:spacing w:after="0" w:line="308" w:lineRule="auto"/>
        <w:rPr>
          <w:sz w:val="20"/>
          <w:szCs w:val="20"/>
          <w:color w:val="auto"/>
        </w:rPr>
      </w:pPr>
      <w:r>
        <w:rPr>
          <w:rFonts w:ascii="Arial" w:cs="Arial" w:eastAsia="Arial" w:hAnsi="Arial"/>
          <w:sz w:val="17"/>
          <w:szCs w:val="17"/>
          <w:color w:val="auto"/>
        </w:rPr>
        <w:t>To determine the estimated fair value of the remaining stock price appreciation milestones, the Company uses a Monte Carlo simulation methodology which models future Company common stock prices based on the current stock price and several key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variables. The following variables were incorporated in the calculation of the estimated fair value of the stock price appreciation milestones as of December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r>
      <w:tr>
        <w:trPr>
          <w:trHeight w:val="185"/>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76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76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78.1 %</w:t>
            </w:r>
          </w:p>
        </w:tc>
        <w:tc>
          <w:tcPr>
            <w:tcW w:w="2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77.6 %</w:t>
            </w: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term (in years)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Closing stock price as of measurement date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2" w:lineRule="exact"/>
        <w:rPr>
          <w:sz w:val="20"/>
          <w:szCs w:val="20"/>
          <w:color w:val="auto"/>
        </w:rPr>
      </w:pPr>
    </w:p>
    <w:p>
      <w:pPr>
        <w:jc w:val="both"/>
        <w:ind w:right="340" w:firstLine="509"/>
        <w:spacing w:after="0" w:line="275" w:lineRule="auto"/>
        <w:rPr>
          <w:sz w:val="20"/>
          <w:szCs w:val="20"/>
          <w:color w:val="auto"/>
        </w:rPr>
      </w:pPr>
      <w:r>
        <w:rPr>
          <w:rFonts w:ascii="Arial" w:cs="Arial" w:eastAsia="Arial" w:hAnsi="Arial"/>
          <w:sz w:val="17"/>
          <w:szCs w:val="17"/>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remeasurement date; and the risk-free rate based on the U.S. Treasury yield for the estimated term determined. Fair value measurements are highly sensitive to changes in these inputs and significant changes could result in a significantly higher or lower fair value and resulting expense or gain.</w:t>
      </w:r>
    </w:p>
    <w:p>
      <w:pPr>
        <w:spacing w:after="0" w:line="68"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At each balance sheet date, the Company remeasures the fair value of the stock price appreciation milestones, with changes in fair value recognized as a component of other income (expense) in the consolidated statements of operations and comprehensive loss. Amounts are included in current or non-current liabilities based on the estimated timeline associated with the individual potential payments. During the year ended December 31, 2022 and 2021, the Company recorded $20.3 million of income and $3.5 million of income, respectively, associated with the change in fair value of the stock price appreciation milestones. During the year ended December 31, 2020, the Company recorded $47.7 million of expense. As of December 31, 2022 and 2021, the Company recorded a liability of $3.9 million and $24.2 million, respectively, associated with the stock price appreciation milestones for the Amended MSK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California Institute for Regenerative Medicine Award</w:t>
      </w:r>
    </w:p>
    <w:p>
      <w:pPr>
        <w:spacing w:after="0" w:line="121"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On April 5, 2018, the Company executed an award agreement with the California Institute for Regenerative Medicine (CIRM) pursuant to which CIRM awarded the Company $4.0 million to advance the Company’s FT516 product candidate into a first-in-human clinical trial for the treatment of subjects with advanced solid tumors, including in combination with monoclonal antibody therapy (the Award). The Award is subject to certain co-funding requirements by the Company, and the Company is required to provide CIRM progress and financial update reports under the Award.</w:t>
      </w:r>
    </w:p>
    <w:p>
      <w:pPr>
        <w:spacing w:after="0" w:line="49"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Pursuant to the terms of the Award, the Company, in its sole discretion, has the option to treat the Award either as a loan or as a grant. In the event the Company elects to treat the Award as a loan, the Company will be obligated to repay i) 60%, ii) 80%, iii) 100% or iv) 100% plus interest at 7% plus LIBOR, of the total Award to CIRM, where such repayment rate is dependent upon the phase of clinical development of FT516 at the time of the Company’s election. If the Company does not elect to treat the Award as a loan within 10 years of the date of the Award, the Award will be considered a grant and the Company will be obligated to pay to CIRM a royalty on commercial sales of FT516 until such royalty payments equal nine times the total amount awarded to the Company under the Award.</w:t>
      </w:r>
    </w:p>
    <w:p>
      <w:pPr>
        <w:spacing w:after="0" w:line="8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Since the Company may, at its election, repay some or all of the Award, the Company accounts for the Award as a liability until the time of election. As of December 31, 2022, the Company has received all disbursements available under the Award in the amount of $4.0 million. The aggregate amount received is recorded as a CIRM Liability on the accompanying consolidated balance sheets and classified as current based on the potential amount payable within twelve months of the current balance sheet date.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The Company invests portions of excess cash in United States treasuries, commercial paper, non-U.S. government securities, municipal securities, and corporate debt securities with maturities ranging from three to thirty-six months from the purchase date. These investments are accounted for as available-for-sale securities and are classified as short-term and long-term investments in the accompanying consolidated balance sheets based on each security’s contractual maturity date.</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following table summarizes the Company’s investments accounted for as available-for-sale securities as of December 31, 2022 and 2021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4"/>
                <w:szCs w:val="14"/>
                <w:color w:val="auto"/>
              </w:rPr>
            </w:pPr>
          </w:p>
        </w:tc>
      </w:tr>
      <w:tr>
        <w:trPr>
          <w:trHeight w:val="185"/>
        </w:trPr>
        <w:tc>
          <w:tcPr>
            <w:tcW w:w="5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2022</w:t>
            </w:r>
          </w:p>
        </w:tc>
        <w:tc>
          <w:tcPr>
            <w:tcW w:w="11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Classified as current assets: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debt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79,251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(263 )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79,025</w:t>
            </w:r>
          </w:p>
        </w:tc>
        <w:tc>
          <w:tcPr>
            <w:tcW w:w="100" w:type="dxa"/>
            <w:vAlign w:val="bottom"/>
            <w:shd w:val="clear" w:color="auto" w:fill="CFF0FC"/>
          </w:tcPr>
          <w:p>
            <w:pPr>
              <w:spacing w:after="0"/>
              <w:rPr>
                <w:sz w:val="21"/>
                <w:szCs w:val="21"/>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color w:val="auto"/>
              </w:rPr>
              <w:t>Non-US government securities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0"/>
                <w:szCs w:val="20"/>
                <w:color w:val="auto"/>
              </w:rPr>
            </w:pPr>
          </w:p>
        </w:tc>
      </w:tr>
      <w:tr>
        <w:trPr>
          <w:trHeight w:val="249"/>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Municipal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shd w:val="clear" w:color="auto" w:fill="CFF0FC"/>
          </w:tcPr>
          <w:p>
            <w:pPr>
              <w:spacing w:after="0"/>
              <w:rPr>
                <w:sz w:val="21"/>
                <w:szCs w:val="21"/>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123,996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(1,138 )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122,861</w:t>
            </w:r>
          </w:p>
        </w:tc>
        <w:tc>
          <w:tcPr>
            <w:tcW w:w="100" w:type="dxa"/>
            <w:vAlign w:val="bottom"/>
          </w:tcPr>
          <w:p>
            <w:pPr>
              <w:spacing w:after="0"/>
              <w:rPr>
                <w:sz w:val="20"/>
                <w:szCs w:val="20"/>
                <w:color w:val="auto"/>
              </w:rPr>
            </w:pPr>
          </w:p>
        </w:tc>
      </w:tr>
      <w:tr>
        <w:trPr>
          <w:trHeight w:val="249"/>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152,056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(230 )</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151,830</w:t>
            </w:r>
          </w:p>
        </w:tc>
        <w:tc>
          <w:tcPr>
            <w:tcW w:w="100" w:type="dxa"/>
            <w:vAlign w:val="bottom"/>
            <w:shd w:val="clear" w:color="auto" w:fill="CFF0FC"/>
          </w:tcPr>
          <w:p>
            <w:pPr>
              <w:spacing w:after="0"/>
              <w:rPr>
                <w:sz w:val="21"/>
                <w:szCs w:val="2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Total short-term investments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376,691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(1,841 )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374,894</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Classified as non-current assets: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Greater than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r>
      <w:tr>
        <w:trPr>
          <w:trHeight w:val="270"/>
        </w:trPr>
        <w:tc>
          <w:tcPr>
            <w:tcW w:w="51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long-term investments</w:t>
            </w:r>
          </w:p>
        </w:tc>
        <w:tc>
          <w:tcPr>
            <w:tcW w:w="1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0"/>
        </w:trPr>
        <w:tc>
          <w:tcPr>
            <w:tcW w:w="5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2021</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Classified as current assets: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debt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70,653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(163 )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70,490</w:t>
            </w:r>
          </w:p>
        </w:tc>
        <w:tc>
          <w:tcPr>
            <w:tcW w:w="100" w:type="dxa"/>
            <w:vAlign w:val="bottom"/>
            <w:shd w:val="clear" w:color="auto" w:fill="CFF0FC"/>
          </w:tcPr>
          <w:p>
            <w:pPr>
              <w:spacing w:after="0"/>
              <w:rPr>
                <w:sz w:val="21"/>
                <w:szCs w:val="21"/>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18,012</w:t>
            </w:r>
          </w:p>
        </w:tc>
        <w:tc>
          <w:tcPr>
            <w:tcW w:w="100" w:type="dxa"/>
            <w:vAlign w:val="bottom"/>
          </w:tcPr>
          <w:p>
            <w:pPr>
              <w:spacing w:after="0"/>
              <w:rPr>
                <w:sz w:val="20"/>
                <w:szCs w:val="20"/>
                <w:color w:val="auto"/>
              </w:rPr>
            </w:pPr>
          </w:p>
        </w:tc>
      </w:tr>
      <w:tr>
        <w:trPr>
          <w:trHeight w:val="249"/>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169,736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(187 )</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169,549</w:t>
            </w:r>
          </w:p>
        </w:tc>
        <w:tc>
          <w:tcPr>
            <w:tcW w:w="100" w:type="dxa"/>
            <w:vAlign w:val="bottom"/>
            <w:shd w:val="clear" w:color="auto" w:fill="CFF0FC"/>
          </w:tcPr>
          <w:p>
            <w:pPr>
              <w:spacing w:after="0"/>
              <w:rPr>
                <w:sz w:val="21"/>
                <w:szCs w:val="21"/>
                <w:color w:val="auto"/>
              </w:rPr>
            </w:pPr>
          </w:p>
        </w:tc>
      </w:tr>
      <w:tr>
        <w:trPr>
          <w:trHeight w:val="243"/>
        </w:trPr>
        <w:tc>
          <w:tcPr>
            <w:tcW w:w="512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224,333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224,276</w:t>
            </w:r>
          </w:p>
        </w:tc>
        <w:tc>
          <w:tcPr>
            <w:tcW w:w="100" w:type="dxa"/>
            <w:vAlign w:val="bottom"/>
          </w:tcPr>
          <w:p>
            <w:pPr>
              <w:spacing w:after="0"/>
              <w:rPr>
                <w:sz w:val="21"/>
                <w:szCs w:val="21"/>
                <w:color w:val="auto"/>
              </w:rPr>
            </w:pPr>
          </w:p>
        </w:tc>
      </w:tr>
      <w:tr>
        <w:trPr>
          <w:trHeight w:val="270"/>
        </w:trPr>
        <w:tc>
          <w:tcPr>
            <w:tcW w:w="51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short-term investments</w:t>
            </w:r>
          </w:p>
        </w:tc>
        <w:tc>
          <w:tcPr>
            <w:tcW w:w="1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482,739</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482,327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color w:val="auto"/>
              </w:rPr>
              <w:t>Classified as non-current assets: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debt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Greater than 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9,954</w:t>
            </w:r>
          </w:p>
        </w:tc>
        <w:tc>
          <w:tcPr>
            <w:tcW w:w="100" w:type="dxa"/>
            <w:vAlign w:val="bottom"/>
            <w:shd w:val="clear" w:color="auto" w:fill="CFF0FC"/>
          </w:tcPr>
          <w:p>
            <w:pPr>
              <w:spacing w:after="0"/>
              <w:rPr>
                <w:sz w:val="21"/>
                <w:szCs w:val="21"/>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Greater than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20"/>
                <w:szCs w:val="20"/>
                <w:color w:val="auto"/>
              </w:rPr>
            </w:pPr>
          </w:p>
        </w:tc>
      </w:tr>
      <w:tr>
        <w:trPr>
          <w:trHeight w:val="249"/>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Greater than 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(271 )</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81,718</w:t>
            </w:r>
          </w:p>
        </w:tc>
        <w:tc>
          <w:tcPr>
            <w:tcW w:w="100" w:type="dxa"/>
            <w:vAlign w:val="bottom"/>
            <w:shd w:val="clear" w:color="auto" w:fill="CFF0FC"/>
          </w:tcPr>
          <w:p>
            <w:pPr>
              <w:spacing w:after="0"/>
              <w:rPr>
                <w:sz w:val="21"/>
                <w:szCs w:val="2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Total long-term investments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101,012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(348 )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100,664</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-2759710</wp:posOffset>
            </wp:positionV>
            <wp:extent cx="77470"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-2759710</wp:posOffset>
            </wp:positionV>
            <wp:extent cx="77470"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-2759710</wp:posOffset>
            </wp:positionV>
            <wp:extent cx="6858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-2099310</wp:posOffset>
            </wp:positionV>
            <wp:extent cx="2451735"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51735" cy="1797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-831215</wp:posOffset>
            </wp:positionV>
            <wp:extent cx="2451735" cy="180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51735" cy="18034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7747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7747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6858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As of December 31, 2022 and 2021, the Company had $0.8 million and $1.1 million, respectively, of accrued interest on investments recorded in prepaid expenses and other assets on the consolidated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following tables present gross unrealized losses and fair values for those investments that were in an unrealized loss position as of December 31, 2022 and December 31, 2021, aggregated by investment category and the length of time that individual securities have been in a continuous loss position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06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12 Months or Greater</w:t>
            </w:r>
          </w:p>
        </w:tc>
        <w:tc>
          <w:tcPr>
            <w:tcW w:w="200" w:type="dxa"/>
            <w:vAlign w:val="bottom"/>
          </w:tcPr>
          <w:p>
            <w:pPr>
              <w:spacing w:after="0"/>
              <w:rPr>
                <w:sz w:val="16"/>
                <w:szCs w:val="16"/>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560" w:type="dxa"/>
            <w:vAlign w:val="bottom"/>
          </w:tcPr>
          <w:p>
            <w:pPr>
              <w:spacing w:after="0"/>
              <w:rPr>
                <w:sz w:val="11"/>
                <w:szCs w:val="11"/>
                <w:color w:val="auto"/>
              </w:rPr>
            </w:pPr>
          </w:p>
        </w:tc>
        <w:tc>
          <w:tcPr>
            <w:tcW w:w="98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7"/>
              </w:rPr>
              <w:t>Estimated Fair</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3"/>
              <w:spacing w:after="0" w:line="133"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52"/>
              <w:spacing w:after="0" w:line="133"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9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52"/>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r>
      <w:tr>
        <w:trPr>
          <w:trHeight w:val="185"/>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5"/>
              </w:rPr>
              <w:t>Losses</w:t>
            </w:r>
          </w:p>
        </w:tc>
        <w:tc>
          <w:tcPr>
            <w:tcW w:w="200" w:type="dxa"/>
            <w:vAlign w:val="bottom"/>
          </w:tcPr>
          <w:p>
            <w:pPr>
              <w:spacing w:after="0"/>
              <w:rPr>
                <w:sz w:val="16"/>
                <w:szCs w:val="16"/>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w w:val="91"/>
              </w:rPr>
              <w:t>Losses</w:t>
            </w:r>
          </w:p>
        </w:tc>
      </w:tr>
      <w:tr>
        <w:trPr>
          <w:trHeight w:val="23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U.S. Treasury debt securities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(163 )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(100 )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61,144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(263 )</w:t>
            </w:r>
          </w:p>
        </w:tc>
      </w:tr>
      <w:tr>
        <w:trPr>
          <w:trHeight w:val="249"/>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Non-US government securities</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14,765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(73 )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(266 )</w:t>
            </w:r>
          </w:p>
        </w:tc>
      </w:tr>
      <w:tr>
        <w:trPr>
          <w:trHeight w:val="249"/>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(174 )</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(964 )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117,246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(1,138 )</w:t>
            </w: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66,455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(230 )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66,455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(230 )</w:t>
            </w:r>
          </w:p>
        </w:tc>
      </w:tr>
      <w:tr>
        <w:trPr>
          <w:trHeight w:val="276"/>
        </w:trPr>
        <w:tc>
          <w:tcPr>
            <w:tcW w:w="45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180,511</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90,456</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270,967</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U.S. Treasury debt securities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80,444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(198 )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80,444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(198 )</w:t>
            </w:r>
          </w:p>
        </w:tc>
      </w:tr>
      <w:tr>
        <w:trPr>
          <w:trHeight w:val="249"/>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(48 )</w:t>
            </w:r>
          </w:p>
        </w:tc>
      </w:tr>
      <w:tr>
        <w:trPr>
          <w:trHeight w:val="237"/>
        </w:trPr>
        <w:tc>
          <w:tcPr>
            <w:tcW w:w="45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250,467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(458 )</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250,467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(458 )</w:t>
            </w:r>
          </w:p>
        </w:tc>
      </w:tr>
      <w:tr>
        <w:trPr>
          <w:trHeight w:val="243"/>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59,863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560" w:type="dxa"/>
            <w:vAlign w:val="bottom"/>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414,126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(763 )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414,126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(763 )</w:t>
            </w: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-1139825</wp:posOffset>
            </wp:positionV>
            <wp:extent cx="3617595"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617595" cy="17970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-187960</wp:posOffset>
            </wp:positionV>
            <wp:extent cx="7747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76835"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858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858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68580"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63"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Company reviews its investment holdings at the end of each reporting period and evaluates any unrealized losses using the expected credit loss model to determine if the unrealized loss is a result of a credit loss or other factors. The Company also evaluates its investment holdings for impairment using a variety of factors including the Company’s intent to sell the underlying securities prior to maturity and whether it is more likely than not that the Company would be required to sell the securities before the recovery of their amortized basis. During the years ended December 31, 2022, 2021 and 2020, the Company did not recognize any impairment or realized gains or losses on sales of investments, and the Company did not record an allowance for, or recognize, any expected credit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presents the Company’s financial assets and liabilities measured at fair value on a recurring basis as of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7"/>
          </w:tcPr>
          <w:p>
            <w:pPr>
              <w:jc w:val="center"/>
              <w:ind w:right="13"/>
              <w:spacing w:after="0"/>
              <w:rPr>
                <w:sz w:val="20"/>
                <w:szCs w:val="20"/>
                <w:color w:val="auto"/>
              </w:rPr>
            </w:pPr>
            <w:r>
              <w:rPr>
                <w:rFonts w:ascii="Arial" w:cs="Arial" w:eastAsia="Arial" w:hAnsi="Arial"/>
                <w:sz w:val="14"/>
                <w:szCs w:val="14"/>
                <w:b w:val="1"/>
                <w:bCs w:val="1"/>
                <w:color w:val="auto"/>
                <w:w w:val="93"/>
              </w:rPr>
              <w:t>Fair Value Measurements at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center"/>
              <w:ind w:left="755"/>
              <w:spacing w:after="0"/>
              <w:rPr>
                <w:sz w:val="20"/>
                <w:szCs w:val="20"/>
                <w:color w:val="auto"/>
              </w:rPr>
            </w:pPr>
            <w:r>
              <w:rPr>
                <w:rFonts w:ascii="Arial" w:cs="Arial" w:eastAsia="Arial" w:hAnsi="Arial"/>
                <w:sz w:val="14"/>
                <w:szCs w:val="14"/>
                <w:b w:val="1"/>
                <w:bCs w:val="1"/>
                <w:color w:val="auto"/>
                <w:w w:val="93"/>
              </w:rPr>
              <w:t>Reporting Date Using</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 Active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2022:</w:t>
            </w:r>
          </w:p>
        </w:tc>
        <w:tc>
          <w:tcPr>
            <w:tcW w:w="2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U.S. Treasury debt securities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79,025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23,697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122,861</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122,861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151,830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5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93"/>
              </w:rPr>
              <w:t>Total assets measured at fair value on a recurring basis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441,169</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140,358</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300,811</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Stock price appreciation milestones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2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financial liabilities measured at fair value on a</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200" w:type="dxa"/>
            <w:vAlign w:val="bottom"/>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360"/>
              <w:spacing w:after="0" w:line="203" w:lineRule="exact"/>
              <w:rPr>
                <w:sz w:val="20"/>
                <w:szCs w:val="20"/>
                <w:color w:val="auto"/>
              </w:rPr>
            </w:pPr>
            <w:r>
              <w:rPr>
                <w:rFonts w:ascii="Arial" w:cs="Arial" w:eastAsia="Arial" w:hAnsi="Arial"/>
                <w:sz w:val="18"/>
                <w:szCs w:val="18"/>
                <w:color w:val="auto"/>
              </w:rPr>
              <w:t>recurring basis</w:t>
            </w:r>
          </w:p>
        </w:tc>
        <w:tc>
          <w:tcPr>
            <w:tcW w:w="220" w:type="dxa"/>
            <w:vAlign w:val="bottom"/>
            <w:vMerge w:val="continue"/>
            <w:shd w:val="clear" w:color="auto" w:fill="CFF0FC"/>
          </w:tcPr>
          <w:p>
            <w:pPr>
              <w:spacing w:after="0"/>
              <w:rPr>
                <w:sz w:val="21"/>
                <w:szCs w:val="21"/>
                <w:color w:val="auto"/>
              </w:rPr>
            </w:pPr>
          </w:p>
        </w:tc>
        <w:tc>
          <w:tcPr>
            <w:tcW w:w="74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320" w:type="dxa"/>
            <w:vAlign w:val="bottom"/>
            <w:gridSpan w:val="2"/>
            <w:vMerge w:val="continue"/>
            <w:shd w:val="clear" w:color="auto" w:fill="CFF0FC"/>
          </w:tcPr>
          <w:p>
            <w:pPr>
              <w:spacing w:after="0"/>
              <w:rPr>
                <w:sz w:val="21"/>
                <w:szCs w:val="21"/>
                <w:color w:val="auto"/>
              </w:rPr>
            </w:pPr>
          </w:p>
        </w:tc>
        <w:tc>
          <w:tcPr>
            <w:tcW w:w="1000" w:type="dxa"/>
            <w:vAlign w:val="bottom"/>
            <w:gridSpan w:val="2"/>
            <w:vMerge w:val="continue"/>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820" w:type="dxa"/>
            <w:vAlign w:val="bottom"/>
            <w:vMerge w:val="continue"/>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133,583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U.S. Treasury debt securities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80,444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27,004</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251,267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251,267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224,276</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224,276</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360"/>
              <w:spacing w:after="0"/>
              <w:rPr>
                <w:sz w:val="20"/>
                <w:szCs w:val="20"/>
                <w:color w:val="auto"/>
              </w:rPr>
            </w:pPr>
            <w:r>
              <w:rPr>
                <w:rFonts w:ascii="Arial" w:cs="Arial" w:eastAsia="Arial" w:hAnsi="Arial"/>
                <w:sz w:val="18"/>
                <w:szCs w:val="18"/>
                <w:color w:val="auto"/>
                <w:w w:val="93"/>
              </w:rPr>
              <w:t>Total assets measured at fair value on a recurring basis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716,574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214,027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502,547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Stock price appreciation milestones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360"/>
              <w:spacing w:after="0"/>
              <w:rPr>
                <w:sz w:val="20"/>
                <w:szCs w:val="20"/>
                <w:color w:val="auto"/>
              </w:rPr>
            </w:pPr>
            <w:r>
              <w:rPr>
                <w:rFonts w:ascii="Arial" w:cs="Arial" w:eastAsia="Arial" w:hAnsi="Arial"/>
                <w:sz w:val="18"/>
                <w:szCs w:val="18"/>
                <w:color w:val="auto"/>
              </w:rPr>
              <w:t>Total financial liabilities measured at fair value on a</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24,168</w:t>
            </w:r>
          </w:p>
        </w:tc>
        <w:tc>
          <w:tcPr>
            <w:tcW w:w="20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3" w:lineRule="exact"/>
              <w:rPr>
                <w:sz w:val="20"/>
                <w:szCs w:val="20"/>
                <w:color w:val="auto"/>
              </w:rPr>
            </w:pPr>
            <w:r>
              <w:rPr>
                <w:rFonts w:ascii="Arial" w:cs="Arial" w:eastAsia="Arial" w:hAnsi="Arial"/>
                <w:sz w:val="18"/>
                <w:szCs w:val="18"/>
                <w:color w:val="auto"/>
              </w:rPr>
              <w:t>recurring basis</w:t>
            </w:r>
          </w:p>
        </w:tc>
        <w:tc>
          <w:tcPr>
            <w:tcW w:w="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-2974340</wp:posOffset>
            </wp:positionV>
            <wp:extent cx="2219960" cy="1803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219960" cy="18034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-2211070</wp:posOffset>
            </wp:positionV>
            <wp:extent cx="2219960" cy="1797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219960" cy="1797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-950595</wp:posOffset>
            </wp:positionV>
            <wp:extent cx="60325"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-950595</wp:posOffset>
            </wp:positionV>
            <wp:extent cx="6032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-950595</wp:posOffset>
            </wp:positionV>
            <wp:extent cx="51435"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-950595</wp:posOffset>
            </wp:positionV>
            <wp:extent cx="51435"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-299720</wp:posOffset>
            </wp:positionV>
            <wp:extent cx="60325" cy="3003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-299720</wp:posOffset>
            </wp:positionV>
            <wp:extent cx="60325" cy="3003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-299720</wp:posOffset>
            </wp:positionV>
            <wp:extent cx="51435" cy="3003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3003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-299720</wp:posOffset>
            </wp:positionV>
            <wp:extent cx="51435" cy="3003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300355"/>
                    </a:xfrm>
                    <a:prstGeom prst="rect">
                      <a:avLst/>
                    </a:prstGeom>
                    <a:noFill/>
                  </pic:spPr>
                </pic:pic>
              </a:graphicData>
            </a:graphic>
          </wp:anchor>
        </w:drawing>
      </w:r>
    </w:p>
    <w:p>
      <w:pPr>
        <w:spacing w:after="0" w:line="182"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Level 1 assets consisted of money market funds and U.S. Treasury securities measured at fair value based on quoted prices in active markets as provided by the Company’s investment managers.</w:t>
      </w:r>
    </w:p>
    <w:p>
      <w:pPr>
        <w:spacing w:after="0" w:line="62" w:lineRule="exact"/>
        <w:rPr>
          <w:sz w:val="20"/>
          <w:szCs w:val="20"/>
          <w:color w:val="auto"/>
        </w:rPr>
      </w:pPr>
    </w:p>
    <w:p>
      <w:pPr>
        <w:jc w:val="both"/>
        <w:ind w:right="120" w:firstLine="509"/>
        <w:spacing w:after="0" w:line="301" w:lineRule="auto"/>
        <w:rPr>
          <w:sz w:val="20"/>
          <w:szCs w:val="20"/>
          <w:color w:val="auto"/>
        </w:rPr>
      </w:pPr>
      <w:r>
        <w:rPr>
          <w:rFonts w:ascii="Arial" w:cs="Arial" w:eastAsia="Arial" w:hAnsi="Arial"/>
          <w:sz w:val="16"/>
          <w:szCs w:val="16"/>
          <w:color w:val="auto"/>
        </w:rPr>
        <w:t>Level 2 assets consisted of corporate debt securities, commercial paper, municipal securities, and non-U.S. government securities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Level 3 assets held by the Company as of December 31, 2022.</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Level 3 liabilities consisted of stock price appreciation milestones associated with the Amended MSK License as described in detail in Note 2. To determine the estimated fair value of the stock price appreciation milestones, the Company uses a Monte Carlo simulation methodology which models future Company common stock prices based on several key variables. The assumptions used to calculate the fair value of the stock price appreciation milestones are subject to a significant amount of judgment including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expected volatility of the Company’s common stock and estimated term, which is based in part on the last valid patent claim date. Fair value measurements are highly sensitive to changes in these inputs and significant changes could result in a significantly higher or lower fair value and resulting expense or gain. Further, as the stock price appreciation milestones are first contingent upon the achievement of a specified clinical milestone, the Company also estimates the fair value of the stock price appreciation milestones based on the probability of achieving the clinical milestone. This assessment is based on several factors including the successful achievement of technological, manufacturing, and regulatory requirements.</w:t>
      </w:r>
    </w:p>
    <w:p>
      <w:pPr>
        <w:spacing w:after="0" w:line="53"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A small change in the assumptions and other inputs, such as the price of the Company’s common stock, may have a relatively large change in the estimated fair value of the stock price appreciation milestones and associated liability and expense. For example, keeping all other variables constant, a hypothetical 10% increase in the stock price at December 31, 2022 from $10.09 to $11.10 per share would have decreased the income recorded during 2022 by $0.4 million related to the stock price appreciation milestones. Keeping all other variables constant, a hypothetical 10% decrease in the stock price at December 31, 2022 from $10.09 to $9.08 per share would have increased the income recorded during 2022 by $0.4 million related to the stock price appreciation milestones.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presents the changes in fair value of the Company’s Level 3 stock price appreciation milestones liability (in thousands):</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w:t>
            </w:r>
          </w:p>
        </w:tc>
        <w:tc>
          <w:tcPr>
            <w:tcW w:w="80" w:type="dxa"/>
            <w:vAlign w:val="bottom"/>
            <w:shd w:val="clear" w:color="auto" w:fill="CFF0FC"/>
          </w:tcPr>
          <w:p>
            <w:pPr>
              <w:spacing w:after="0"/>
              <w:rPr>
                <w:sz w:val="21"/>
                <w:szCs w:val="21"/>
                <w:color w:val="auto"/>
              </w:rPr>
            </w:pPr>
          </w:p>
        </w:tc>
      </w:tr>
      <w:tr>
        <w:trPr>
          <w:trHeight w:val="237"/>
        </w:trPr>
        <w:tc>
          <w:tcPr>
            <w:tcW w:w="7380" w:type="dxa"/>
            <w:vAlign w:val="bottom"/>
          </w:tcPr>
          <w:p>
            <w:pPr>
              <w:ind w:left="180"/>
              <w:spacing w:after="0"/>
              <w:rPr>
                <w:sz w:val="20"/>
                <w:szCs w:val="20"/>
                <w:color w:val="auto"/>
              </w:rPr>
            </w:pPr>
            <w:r>
              <w:rPr>
                <w:rFonts w:ascii="Arial" w:cs="Arial" w:eastAsia="Arial" w:hAnsi="Arial"/>
                <w:sz w:val="18"/>
                <w:szCs w:val="18"/>
                <w:color w:val="auto"/>
              </w:rPr>
              <w:t>Changes in fair value of stock price appreciation milestones liability</w:t>
            </w:r>
          </w:p>
        </w:tc>
        <w:tc>
          <w:tcPr>
            <w:tcW w:w="5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(20,307 )</w:t>
            </w:r>
          </w:p>
        </w:tc>
      </w:tr>
      <w:tr>
        <w:trPr>
          <w:trHeight w:val="276"/>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460" w:firstLine="584"/>
        <w:spacing w:after="0" w:line="277"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Leasehold improvements—building</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56,782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52,948</w:t>
            </w:r>
          </w:p>
        </w:tc>
        <w:tc>
          <w:tcPr>
            <w:tcW w:w="80" w:type="dxa"/>
            <w:vAlign w:val="bottom"/>
          </w:tcPr>
          <w:p>
            <w:pPr>
              <w:spacing w:after="0"/>
              <w:rPr>
                <w:sz w:val="20"/>
                <w:szCs w:val="20"/>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Scientific equipment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77,354</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4"/>
        </w:trPr>
        <w:tc>
          <w:tcPr>
            <w:tcW w:w="5320" w:type="dxa"/>
            <w:vAlign w:val="bottom"/>
          </w:tcPr>
          <w:p>
            <w:pPr>
              <w:ind w:left="180"/>
              <w:spacing w:after="0"/>
              <w:rPr>
                <w:sz w:val="20"/>
                <w:szCs w:val="20"/>
                <w:color w:val="auto"/>
              </w:rPr>
            </w:pPr>
            <w:r>
              <w:rPr>
                <w:rFonts w:ascii="Arial" w:cs="Arial" w:eastAsia="Arial" w:hAnsi="Arial"/>
                <w:sz w:val="18"/>
                <w:szCs w:val="18"/>
                <w:color w:val="auto"/>
              </w:rPr>
              <w:t>Total property and equipment, gross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140,404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108,474</w:t>
            </w:r>
          </w:p>
        </w:tc>
        <w:tc>
          <w:tcPr>
            <w:tcW w:w="80" w:type="dxa"/>
            <w:vAlign w:val="bottom"/>
          </w:tcPr>
          <w:p>
            <w:pPr>
              <w:spacing w:after="0"/>
              <w:rPr>
                <w:sz w:val="19"/>
                <w:szCs w:val="19"/>
                <w:color w:val="auto"/>
              </w:rPr>
            </w:pPr>
          </w:p>
        </w:tc>
      </w:tr>
      <w:tr>
        <w:trPr>
          <w:trHeight w:val="25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(30,384 )</w:t>
            </w:r>
          </w:p>
        </w:tc>
        <w:tc>
          <w:tcPr>
            <w:tcW w:w="3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(16,945 )</w:t>
            </w:r>
          </w:p>
        </w:tc>
      </w:tr>
      <w:tr>
        <w:trPr>
          <w:trHeight w:val="237"/>
        </w:trPr>
        <w:tc>
          <w:tcPr>
            <w:tcW w:w="53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110,020</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91,529</w:t>
            </w:r>
          </w:p>
        </w:tc>
        <w:tc>
          <w:tcPr>
            <w:tcW w:w="80" w:type="dxa"/>
            <w:vAlign w:val="bottom"/>
            <w:tcBorders>
              <w:top w:val="single" w:sz="8" w:color="CFF0FC"/>
            </w:tcBorders>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-504825</wp:posOffset>
            </wp:positionV>
            <wp:extent cx="51435"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Depreciation expense related to property and equipment was $13.8 million, $5.9 million, and $3.1 million, for the years ended December 31, 2022, 2021, and 2020, respectively. No material gains or losses on the disposal of property and equipment have been recorded for the years ended December 31, 2022, 2021, and 2020.</w:t>
      </w:r>
    </w:p>
    <w:p>
      <w:pPr>
        <w:spacing w:after="0" w:line="288" w:lineRule="exact"/>
        <w:rPr>
          <w:sz w:val="20"/>
          <w:szCs w:val="20"/>
          <w:color w:val="auto"/>
        </w:rPr>
      </w:pPr>
    </w:p>
    <w:p>
      <w:pPr>
        <w:ind w:right="9640" w:firstLine="8"/>
        <w:spacing w:after="0" w:line="453" w:lineRule="auto"/>
        <w:tabs>
          <w:tab w:leader="none" w:pos="18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Accrued Expenses</w:t>
      </w:r>
    </w:p>
    <w:p>
      <w:pPr>
        <w:ind w:left="520"/>
        <w:spacing w:after="0"/>
        <w:rPr>
          <w:rFonts w:ascii="Arial" w:cs="Arial" w:eastAsia="Arial" w:hAnsi="Arial"/>
          <w:sz w:val="15"/>
          <w:szCs w:val="15"/>
          <w:b w:val="1"/>
          <w:bCs w:val="1"/>
          <w:color w:val="auto"/>
        </w:rPr>
      </w:pPr>
      <w:r>
        <w:rPr>
          <w:rFonts w:ascii="Arial" w:cs="Arial" w:eastAsia="Arial" w:hAnsi="Arial"/>
          <w:sz w:val="18"/>
          <w:szCs w:val="18"/>
          <w:color w:val="auto"/>
        </w:rPr>
        <w:t>Current accrued expenses consist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other employee benefits</w:t>
            </w:r>
          </w:p>
        </w:tc>
        <w:tc>
          <w:tcPr>
            <w:tcW w:w="2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17,899</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Accrued clinical trial related costs</w:t>
            </w: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16,858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Total current accrued expenses</w:t>
            </w:r>
          </w:p>
        </w:tc>
        <w:tc>
          <w:tcPr>
            <w:tcW w:w="26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53,932</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42,412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340" w:type="dxa"/>
            <w:vAlign w:val="bottom"/>
            <w:vMerge w:val="restart"/>
          </w:tcPr>
          <w:p>
            <w:pPr>
              <w:jc w:val="right"/>
              <w:ind w:right="1430"/>
              <w:spacing w:after="0"/>
              <w:rPr>
                <w:sz w:val="20"/>
                <w:szCs w:val="20"/>
                <w:color w:val="auto"/>
              </w:rPr>
            </w:pPr>
            <w:r>
              <w:rPr>
                <w:rFonts w:ascii="Arial" w:cs="Arial" w:eastAsia="Arial" w:hAnsi="Arial"/>
                <w:sz w:val="18"/>
                <w:szCs w:val="18"/>
                <w:color w:val="auto"/>
              </w:rPr>
              <w:t>114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-676275</wp:posOffset>
            </wp:positionV>
            <wp:extent cx="60325"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-676275</wp:posOffset>
            </wp:positionV>
            <wp:extent cx="51435"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Company has lease agreements for office, laboratory and manufacturing spaces that are classified as operating leases on the consolidated balance sheets. These leases have terms varying from one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 lease component for purposes of determining the total future lease payments.</w:t>
      </w:r>
    </w:p>
    <w:p>
      <w:pPr>
        <w:spacing w:after="0" w:line="6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January 2020, the Company entered into a lease agreement for certain office, laboratory and manufacturing space (the Premises), and such lease is accounted for as an operating lease. The Premises are located in San Diego, California and the Company moved its corporate headquarters to the Premises in August 2021. Lease payments commenced in May 2021 (the Rent Commencement Date) and the lease has a lease term of 15 years starting from the Rent Commencement Date. The Company has the option to extend the lease for two successive five-year periods. The Company also has a one-time option to terminate the lease after 10 years from the Rent Commencement Date, subject to payment of a $30.0 million early termination fee. The landlord of the Premises is obligated to contribute an aggregate of up to $29.8 million toward tenant improvements of the Premises. As of December 31, 2022, the Company had utilized the entire tenant improvements allowance. The Company recorded the tenant improvement allowance as part of the Company's leasehold improvements, which is depreciated in accordance with the Company's Property and Equipment policy. In connection with the lease, the Company maintains a letter of credit for the benefit of the landlord in an amount equal to $15.0 million, which amount is subject to reduction over time.</w:t>
      </w:r>
    </w:p>
    <w:p>
      <w:pPr>
        <w:spacing w:after="0" w:line="58"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November 2021, the Company entered into a lease agreement for certain office space in San Diego, California, and such lease is accounted for as an operating lease. Lease payments commenced, subject to certain conditions, in January 2022 (the Rent Commencement Date) and the lease has a lease term of 6 years starting from the Rent Commencement Date. The Company has no option to extend the lease, and no option to early terminate the lease. Upon lease commencement in December 2021, the Company recorded a right-of-use asset of $6.0 million.</w:t>
      </w:r>
    </w:p>
    <w:p>
      <w:pPr>
        <w:spacing w:after="0" w:line="63"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As of December 31, 2022, future undiscounted minimum contractual payments under the Company’s operating leases were $177.7 million, which will be paid over a remaining weighted-average lease term of 11.5 years. The weighted-average discount rate for the operating lease liabilities was 8.28%, which was the Company's incremental borrowing rate at lease commencement, as the discount rates implicit in the leases could not be readily determined.</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for the years ended December 31, 2022, 2021, and 2020 were as follows (in thousands):</w:t>
      </w:r>
    </w:p>
    <w:p>
      <w:pPr>
        <w:spacing w:after="0" w:line="338"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4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Straight-line lease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15,354</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12,076</w:t>
            </w:r>
          </w:p>
        </w:tc>
        <w:tc>
          <w:tcPr>
            <w:tcW w:w="80" w:type="dxa"/>
            <w:vAlign w:val="bottom"/>
            <w:shd w:val="clear" w:color="auto" w:fill="CFF0FC"/>
          </w:tcPr>
          <w:p>
            <w:pPr>
              <w:spacing w:after="0"/>
              <w:rPr>
                <w:sz w:val="20"/>
                <w:szCs w:val="20"/>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80" w:type="dxa"/>
            <w:vAlign w:val="bottom"/>
          </w:tcPr>
          <w:p>
            <w:pPr>
              <w:spacing w:after="0"/>
              <w:rPr>
                <w:sz w:val="20"/>
                <w:szCs w:val="20"/>
                <w:color w:val="auto"/>
              </w:rPr>
            </w:pPr>
          </w:p>
        </w:tc>
      </w:tr>
      <w:tr>
        <w:trPr>
          <w:trHeight w:val="277"/>
        </w:trPr>
        <w:tc>
          <w:tcPr>
            <w:tcW w:w="5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17,624</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17,014</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No short-term lease expense was recognized in the years ended December 31, 2022 and 2021. Total short-term lease expense associated with short-term leases for the year ended December 31, 2020 was $1.2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Future undiscounted minimum payments under the Company’s operating leases as of December 31, 2022 are as follows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Lease Payments</w:t>
            </w:r>
          </w:p>
        </w:tc>
      </w:tr>
      <w:tr>
        <w:trPr>
          <w:trHeight w:val="237"/>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Years Ending December 31,</w:t>
            </w: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14,836</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15,540</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16,006</w:t>
            </w:r>
          </w:p>
        </w:tc>
        <w:tc>
          <w:tcPr>
            <w:tcW w:w="100" w:type="dxa"/>
            <w:vAlign w:val="bottom"/>
          </w:tcPr>
          <w:p>
            <w:pPr>
              <w:spacing w:after="0"/>
              <w:rPr>
                <w:sz w:val="20"/>
                <w:szCs w:val="20"/>
                <w:color w:val="auto"/>
              </w:rPr>
            </w:pP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9240" w:type="dxa"/>
            <w:vAlign w:val="bottom"/>
          </w:tcPr>
          <w:p>
            <w:pPr>
              <w:ind w:left="200"/>
              <w:spacing w:after="0"/>
              <w:rPr>
                <w:sz w:val="20"/>
                <w:szCs w:val="20"/>
                <w:color w:val="auto"/>
              </w:rPr>
            </w:pPr>
            <w:r>
              <w:rPr>
                <w:rFonts w:ascii="Arial" w:cs="Arial" w:eastAsia="Arial" w:hAnsi="Arial"/>
                <w:sz w:val="18"/>
                <w:szCs w:val="18"/>
                <w:color w:val="auto"/>
              </w:rPr>
              <w:t>Total undiscounted lease payments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177,702</w:t>
            </w:r>
          </w:p>
        </w:tc>
        <w:tc>
          <w:tcPr>
            <w:tcW w:w="100" w:type="dxa"/>
            <w:vAlign w:val="bottom"/>
          </w:tcPr>
          <w:p>
            <w:pPr>
              <w:spacing w:after="0"/>
              <w:rPr>
                <w:sz w:val="20"/>
                <w:szCs w:val="20"/>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(68,364 )</w:t>
            </w:r>
          </w:p>
        </w:tc>
      </w:tr>
      <w:tr>
        <w:trPr>
          <w:trHeight w:val="236"/>
        </w:trPr>
        <w:tc>
          <w:tcPr>
            <w:tcW w:w="92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lease liability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109,338</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6880" w:firstLine="8"/>
        <w:spacing w:after="0" w:line="377" w:lineRule="auto"/>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Equity Convertible Preferred Stock</w:t>
      </w:r>
    </w:p>
    <w:p>
      <w:pPr>
        <w:spacing w:after="0" w:line="2"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non-voting Class A Convertible Preferred Stock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w:t>
      </w:r>
    </w:p>
    <w:p>
      <w:pPr>
        <w:spacing w:after="0" w:line="6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 xml:space="preserve">The Class A Preferred are non-voting shares and have a stated par value of $0.001 per share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6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During the year ended December 31, 2019, 25,000 shares of the Company’s Class A Preferred were converted into 125,000 shares of the Company’s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 Board of Directors of the Company has not declared any dividends.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Incentive Plans and Inducement Equity Plan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2013 Stock Option and Incentive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August 28, 2013, the Company’s board of directors and stockholders approved and adopted the 2013 Stock Option and Incentive Plan (the 2013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Plan). The 2013 Plan became effective immediately prior to the Company’s IPO. The 2013 Plan was subsequently amended in May 2017. Under the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the Company could grant stock options, stock appreciation rights, restricted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stock, restricted stock units and other awards to individuals who are then employees, officers, directors or consultants of the Company or its subsidiaries.</w:t>
      </w:r>
    </w:p>
    <w:p>
      <w:pPr>
        <w:spacing w:after="0" w:line="14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Recipients of stock options under the 2013 Plan shall be eligible to purchase shares of the Company’s common stock at an exercise price equal to no less than the estimated fair value of such stock on the date of grant. Under the 2013 Plan, stock options generally vest 25% on the first anniversary of the original vesting date, with the balance vesting monthly over the remaining three years, or vest monthly over four years, unless they contain specific performance and/or market-based vesting provisions. The maximum term of stock options granted under the 2013 Plan is ten years. Under the 2013 Plan, restricted stock units generally vest annually over four years. Performance-based stock units/awards vest upon the achievement of certain pre-defined company-specific performance-based clinical achievement criteria.</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2013 Plan was replaced by the 2022 Stock Option and Incentive Plan on June 9, 2022.</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2022 Stock Option and Incentive Plan</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On June 9, 2022, the Company adopted the 2022 Stock Option and Incentive Plan (the “2022 Plan”). The 2022 Plan authorizes 9.5 million shares of common stock for issuance and allows for the grant of stock options, stock appreciation rights, restricted stock awards, performance-based awards, and other awards to individuals who are then employees, officers, directors or consultants of the Company. The shares of common stock underlying any awards from the 2022 Plan and a previously existing equity plan from 2013 or 2007 that are forfeited, cancelled, held back upon exercise or settlement of an award to satisfy the exercise price or tax withholding, reacquired by us prior to vesting, satisfied without any issuance of common stock, expire or are otherwise terminated (other than by exercise) are added back to the shares of common stock available for issuance under the 2022 Plan.</w:t>
      </w:r>
    </w:p>
    <w:p>
      <w:pPr>
        <w:spacing w:after="0" w:line="5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Recipients of stock options under the 2022 Plan shall be eligible to purchase shares of the Company’s common stock at an exercise price equal to no less than the estimated fair value of such stock on the date of grant. Under the 2022 Plan, stock options generally vest 25% on the first anniversary of the original vesting date, with the balance vesting monthly over the remaining three years, or vest monthly over four years, unless they contain specific performance and/or market-based vesting provisions. The maximum term of stock options granted under the 2022 Plan is ten years. Under the 2022 Plan, restricted stock units generally vest annually over four years. Performance-based stock units/awards vest upon the achievement of certain pre-defined company-specific performance-based clinical achievement criteria.</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Inducement Plan</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On May 10, 2016, the Company’s board of directors approved the Fate Therapeutics, Inc. Inducement Equity Plan (the Inducement Plan), the purpose of which is to enable the Company to grant equity awards to induce highly-qualified prospective officers and employees who are not employed by the Company to accept employment with the Company. Under the Inducement Plan, the Company may grant non-qualified stock options and restricted stock units. A total of 500,000 shares of common stock were initially reserved for issuance under the Inducement Plan. In January 2021, March 2020, and January 2019, an additional 300,000 shares, 470,822 shares, and 200,000 shares, respectively, of common stock were reserved for issuance under the Inducement Plan. The shares of common stock underlying any awards from the Inducement Plan that are forfeited, cancelled, held back upon exercise or settlement of an award to satisfy the exercise price or tax withholding, reacquired by us prior to vesting, satisfied without any issuance of common stock, expire or are otherwise terminated (other than by exercise) under the Inducement Plan will be added back to the shares of common stock available for issuance under the Inducement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On September 13, 2013, the Company’s board of directors approved and adopted the 2013 Employee Stock Purchase Plan (the ESPP). A total of 729,000 shares of common stock were initially reserved for issuance under the ESPP. In addition, the number of shares of stock available for issuance under the ESPP will be automatically increased each January 1, beginning on January 1, 2015, by the lesser of (i) 2% of the outstanding number of shares of the Company’s common stock on the immediately preceding December 31, (ii) 450,000 shares, or (iii) such lesser number as determined by the compensation committee of the Company’s board of directors.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purchases have been made to date under the ESPP.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121"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8"/>
          <w:szCs w:val="18"/>
          <w:color w:val="auto"/>
        </w:rPr>
        <w:t>In January 2021, in conjunction with a public offering, the Company issued Pre-Funded Warrants, in lieu of common stock to certain investors, to purchase 257,310 shares of the Company’s common stock. The purchase price for the Pre-Funded Warrants was $85.499 per Pre-Funded Warrant, which equals the per share public offering price for the shares of common stock less the $0.001 exercise price for each such Pre-Funded Warrant. Given that the Pre-Funded Warrants are indexed to the Company’s own shares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common stock (and otherwise meet the requirements to be classified in equity), the Company recorded the consideration received from the issuance of the warrants as additional paid-in capital on the Company’s consolidated balance sheets.</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there were 257,310 Pre-Funded Warrants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Restricted Stock Unit Awards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following table summarizes stock option activity and related information under all equity plans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9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(in 000s)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shd w:val="clear" w:color="auto" w:fill="CFF0FC"/>
          </w:tcPr>
          <w:p>
            <w:pPr>
              <w:spacing w:after="0"/>
              <w:rPr>
                <w:sz w:val="20"/>
                <w:szCs w:val="20"/>
                <w:color w:val="auto"/>
              </w:rPr>
            </w:pPr>
            <w:r>
              <w:rPr>
                <w:rFonts w:ascii="Arial" w:cs="Arial" w:eastAsia="Arial" w:hAnsi="Arial"/>
                <w:sz w:val="14"/>
                <w:szCs w:val="14"/>
                <w:color w:val="auto"/>
              </w:rPr>
              <w:t>Outstanding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7,708,263</w:t>
            </w: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20.43</w:t>
            </w:r>
          </w:p>
        </w:tc>
        <w:tc>
          <w:tcPr>
            <w:tcW w:w="18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80" w:type="dxa"/>
            <w:vAlign w:val="bottom"/>
          </w:tcPr>
          <w:p>
            <w:pPr>
              <w:jc w:val="right"/>
              <w:spacing w:after="0"/>
              <w:rPr>
                <w:sz w:val="20"/>
                <w:szCs w:val="20"/>
                <w:color w:val="auto"/>
              </w:rPr>
            </w:pPr>
            <w:r>
              <w:rPr>
                <w:rFonts w:ascii="Arial" w:cs="Arial" w:eastAsia="Arial" w:hAnsi="Arial"/>
                <w:sz w:val="14"/>
                <w:szCs w:val="14"/>
                <w:color w:val="auto"/>
              </w:rPr>
              <w:t>848,457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36.68</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Exercised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(941,780 )</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9.74</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180"/>
              <w:spacing w:after="0"/>
              <w:rPr>
                <w:sz w:val="20"/>
                <w:szCs w:val="20"/>
                <w:color w:val="auto"/>
              </w:rPr>
            </w:pPr>
            <w:r>
              <w:rPr>
                <w:rFonts w:ascii="Arial" w:cs="Arial" w:eastAsia="Arial" w:hAnsi="Arial"/>
                <w:sz w:val="14"/>
                <w:szCs w:val="14"/>
                <w:color w:val="auto"/>
              </w:rPr>
              <w:t>Cancelled</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(347,714 )</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48.56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Outstanding at December 31, 2022</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7,267,226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22.37</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6.30</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line="155" w:lineRule="exact"/>
              <w:rPr>
                <w:sz w:val="20"/>
                <w:szCs w:val="20"/>
                <w:color w:val="auto"/>
              </w:rPr>
            </w:pPr>
            <w:r>
              <w:rPr>
                <w:rFonts w:ascii="Arial" w:cs="Arial" w:eastAsia="Arial" w:hAnsi="Arial"/>
                <w:sz w:val="14"/>
                <w:szCs w:val="14"/>
                <w:color w:val="auto"/>
              </w:rPr>
              <w:t>Options vested and expected to vest at December 31, 2022</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7,267,226</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22.37</w:t>
            </w:r>
          </w:p>
        </w:tc>
        <w:tc>
          <w:tcPr>
            <w:tcW w:w="18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Options exercisable at December 31, 2022</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5,722,035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18.20</w:t>
            </w:r>
          </w:p>
        </w:tc>
        <w:tc>
          <w:tcPr>
            <w:tcW w:w="1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5.79</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-299720</wp:posOffset>
            </wp:positionV>
            <wp:extent cx="2486025" cy="1631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86025"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For the years ended December 31, 2022, 2021, and 2020, the weighted average grant date fair value of stock options granted per share was equal to $24.07, $55.83 and $18.87, respectively.</w:t>
      </w:r>
    </w:p>
    <w:p>
      <w:pPr>
        <w:spacing w:after="0" w:line="62"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As of December 31, 2022, 2021 and 2020, the unrecognized compensation cost related to outstanding options was $35.1 million, $48.9 million and $66.1 million, respectively, which was expected to be recognized as expense over approximately 2.2 years, 2.3 years and 2.9 years, respectively.</w:t>
      </w:r>
    </w:p>
    <w:p>
      <w:pPr>
        <w:spacing w:after="0" w:line="16"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total intrinsic value, which is the amount by which the exercise price was exceeded by the price of the Company’s common stock on the date of exercise, of stock options exercised during the years ended December 31, 2022, 2021 and 2020, was $23.8 million, $184.3 million and $59.7 million, respectively. Total cash received upon the exercise of stock options was $9.2 million for the year ended December 31, 2022.</w:t>
      </w:r>
    </w:p>
    <w:p>
      <w:pPr>
        <w:spacing w:after="0" w:line="57"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summarizes restricted stock unit activity and related information under all equity plans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2022:</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(in 000s)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Outstanding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4,008,832</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58.60</w:t>
            </w:r>
          </w:p>
        </w:tc>
        <w:tc>
          <w:tcPr>
            <w:tcW w:w="18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80" w:type="dxa"/>
            <w:vAlign w:val="bottom"/>
          </w:tcPr>
          <w:p>
            <w:pPr>
              <w:jc w:val="right"/>
              <w:spacing w:after="0"/>
              <w:rPr>
                <w:sz w:val="20"/>
                <w:szCs w:val="20"/>
                <w:color w:val="auto"/>
              </w:rPr>
            </w:pPr>
            <w:r>
              <w:rPr>
                <w:rFonts w:ascii="Arial" w:cs="Arial" w:eastAsia="Arial" w:hAnsi="Arial"/>
                <w:sz w:val="14"/>
                <w:szCs w:val="14"/>
                <w:color w:val="auto"/>
              </w:rPr>
              <w:t>3,211,208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36.58</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Vested</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(626,175 )</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53.44</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180"/>
              <w:spacing w:after="0"/>
              <w:rPr>
                <w:sz w:val="20"/>
                <w:szCs w:val="20"/>
                <w:color w:val="auto"/>
              </w:rPr>
            </w:pPr>
            <w:r>
              <w:rPr>
                <w:rFonts w:ascii="Arial" w:cs="Arial" w:eastAsia="Arial" w:hAnsi="Arial"/>
                <w:sz w:val="14"/>
                <w:szCs w:val="14"/>
                <w:color w:val="auto"/>
              </w:rPr>
              <w:t>Cancelled</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(731,132 )</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51.46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Outstanding at December 31, 2022</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5,862,733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48.13</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3.13</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59,155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line="155" w:lineRule="exact"/>
              <w:rPr>
                <w:sz w:val="20"/>
                <w:szCs w:val="20"/>
                <w:color w:val="auto"/>
              </w:rPr>
            </w:pPr>
            <w:r>
              <w:rPr>
                <w:rFonts w:ascii="Arial" w:cs="Arial" w:eastAsia="Arial" w:hAnsi="Arial"/>
                <w:sz w:val="14"/>
                <w:szCs w:val="14"/>
                <w:color w:val="auto"/>
              </w:rPr>
              <w:t>Restricted stock units expected to vest at December 31, 2022</w:t>
            </w: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4,065,114</w:t>
            </w:r>
          </w:p>
        </w:tc>
        <w:tc>
          <w:tcPr>
            <w:tcW w:w="24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44.46</w:t>
            </w: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2.75</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41,017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-161925</wp:posOffset>
            </wp:positionV>
            <wp:extent cx="2494280" cy="162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94280" cy="162560"/>
                    </a:xfrm>
                    <a:prstGeom prst="rect">
                      <a:avLst/>
                    </a:prstGeom>
                    <a:noFill/>
                  </pic:spPr>
                </pic:pic>
              </a:graphicData>
            </a:graphic>
          </wp:anchor>
        </w:drawing>
      </w:r>
    </w:p>
    <w:p>
      <w:pPr>
        <w:spacing w:after="0" w:line="3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As of December 31, 2022, 2021 and 2020, the unrecognized compensation cost related to outstanding restricted stock units (excluding those with unachieved performance-based conditions) was $137.7 million, $98.2 million and $20.8 million, respectively, which was expected to be recognized as expense over approximately 2.8 years, 3.2 years and 2.9 years, respectively.</w:t>
      </w:r>
    </w:p>
    <w:p>
      <w:pPr>
        <w:spacing w:after="0" w:line="7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During the year ended December 31, 2021, 1,199,377 performance-based restricted stock units ("PRSUs") were granted, none of which have vested. No PRSUs were granted during the year ended December 31, 2022. There were 1,797,619 and 1,199,377 PRSUs outstanding at December 31, 2022 and 2021,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allocation of stock-based compensation for all stock awards is as follows (in thousands):</w:t>
      </w:r>
    </w:p>
    <w:p>
      <w:pPr>
        <w:spacing w:after="0" w:line="230"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18,636</w:t>
            </w:r>
          </w:p>
        </w:tc>
        <w:tc>
          <w:tcPr>
            <w:tcW w:w="80" w:type="dxa"/>
            <w:vAlign w:val="bottom"/>
            <w:shd w:val="clear" w:color="auto" w:fill="CFF0FC"/>
          </w:tcPr>
          <w:p>
            <w:pPr>
              <w:spacing w:after="0"/>
              <w:rPr>
                <w:sz w:val="20"/>
                <w:szCs w:val="20"/>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12,117</w:t>
            </w:r>
          </w:p>
        </w:tc>
        <w:tc>
          <w:tcPr>
            <w:tcW w:w="80" w:type="dxa"/>
            <w:vAlign w:val="bottom"/>
          </w:tcPr>
          <w:p>
            <w:pPr>
              <w:spacing w:after="0"/>
              <w:rPr>
                <w:sz w:val="21"/>
                <w:szCs w:val="21"/>
                <w:color w:val="auto"/>
              </w:rPr>
            </w:pPr>
          </w:p>
        </w:tc>
      </w:tr>
      <w:tr>
        <w:trPr>
          <w:trHeight w:val="276"/>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78,733</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54,364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i w:val="1"/>
          <w:iCs w:val="1"/>
          <w:color w:val="auto"/>
        </w:rPr>
        <w:t xml:space="preserve">Stock Option Grants Valuation. </w:t>
      </w:r>
      <w:r>
        <w:rPr>
          <w:rFonts w:ascii="Arial" w:cs="Arial" w:eastAsia="Arial" w:hAnsi="Arial"/>
          <w:sz w:val="18"/>
          <w:szCs w:val="18"/>
          <w:color w:val="auto"/>
        </w:rPr>
        <w:t>The weighted-average assumptions used in the Black-Scholes option pricing model to determine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and nonemployee stock option grants were as follows:</w:t>
      </w:r>
    </w:p>
    <w:p>
      <w:pPr>
        <w:spacing w:after="0" w:line="175"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59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76.2 %</w:t>
            </w:r>
          </w:p>
        </w:tc>
        <w:tc>
          <w:tcPr>
            <w:tcW w:w="7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76.5 %</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77.5 %</w:t>
            </w:r>
          </w:p>
        </w:tc>
      </w:tr>
      <w:tr>
        <w:trPr>
          <w:trHeight w:val="250"/>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7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-608330</wp:posOffset>
            </wp:positionV>
            <wp:extent cx="5700395"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observed interest rates appropriate for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grants.</w:t>
      </w:r>
    </w:p>
    <w:p>
      <w:pPr>
        <w:spacing w:after="0" w:line="6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intention to pay cash dividends.</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During the years ended December 31, 2022 and 2021, the Company based the expected volatility on the historical volatility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common stock over the most recent period commensurate with the estimated expected term of the Company’s stock options, as the Company determined there was sufficient operating history and company-specific historical volatility to estimate the expected volatility.</w:t>
      </w:r>
    </w:p>
    <w:p>
      <w:pPr>
        <w:spacing w:after="0" w:line="76" w:lineRule="exact"/>
        <w:rPr>
          <w:sz w:val="20"/>
          <w:szCs w:val="20"/>
          <w:color w:val="auto"/>
        </w:rPr>
      </w:pPr>
    </w:p>
    <w:p>
      <w:pPr>
        <w:ind w:right="180" w:firstLine="509"/>
        <w:spacing w:after="0" w:line="308"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of time that options are expected to be outstanding. During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and 2021, the Company estimated the expected term using historical experience and anticipated future exercise behavior.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2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w w:val="96"/>
              </w:rPr>
              <w:t>December 31,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(if converted)</w:t>
            </w:r>
          </w:p>
        </w:tc>
        <w:tc>
          <w:tcPr>
            <w:tcW w:w="2400" w:type="dxa"/>
            <w:vAlign w:val="bottom"/>
            <w:shd w:val="clear" w:color="auto" w:fill="CFF0FC"/>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13,972,745</w:t>
            </w:r>
          </w:p>
        </w:tc>
        <w:tc>
          <w:tcPr>
            <w:tcW w:w="100" w:type="dxa"/>
            <w:vAlign w:val="bottom"/>
            <w:shd w:val="clear" w:color="auto" w:fill="CCECFF"/>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5"/>
              </w:rPr>
              <w:t>13,972,745</w:t>
            </w:r>
          </w:p>
        </w:tc>
        <w:tc>
          <w:tcPr>
            <w:tcW w:w="80" w:type="dxa"/>
            <w:vAlign w:val="bottom"/>
            <w:shd w:val="clear" w:color="auto" w:fill="CCEC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Common stock options</w:t>
            </w:r>
          </w:p>
        </w:tc>
        <w:tc>
          <w:tcPr>
            <w:tcW w:w="2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7,267,226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7,708,263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3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5,862,733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4,008,832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Awards available under the 2013 Plan</w:t>
            </w:r>
          </w:p>
        </w:tc>
        <w:tc>
          <w:tcPr>
            <w:tcW w:w="2400" w:type="dxa"/>
            <w:vAlign w:val="bottom"/>
          </w:tcPr>
          <w:p>
            <w:pPr>
              <w:spacing w:after="0"/>
              <w:rPr>
                <w:sz w:val="20"/>
                <w:szCs w:val="20"/>
                <w:color w:val="auto"/>
              </w:rPr>
            </w:pPr>
          </w:p>
        </w:tc>
        <w:tc>
          <w:tcPr>
            <w:tcW w:w="182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3,356,946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under the 2022 Plan</w:t>
            </w:r>
          </w:p>
        </w:tc>
        <w:tc>
          <w:tcPr>
            <w:tcW w:w="3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10,274,169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Awards available under the Inducement Plan</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741,000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729,000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38,846,873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30,631,786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0" w:type="dxa"/>
            <w:vAlign w:val="bottom"/>
            <w:vMerge w:val="restart"/>
          </w:tcPr>
          <w:p>
            <w:pPr>
              <w:jc w:val="right"/>
              <w:ind w:right="1470"/>
              <w:spacing w:after="0"/>
              <w:rPr>
                <w:sz w:val="20"/>
                <w:szCs w:val="20"/>
                <w:color w:val="auto"/>
              </w:rPr>
            </w:pPr>
            <w:r>
              <w:rPr>
                <w:rFonts w:ascii="Arial" w:cs="Arial" w:eastAsia="Arial" w:hAnsi="Arial"/>
                <w:sz w:val="18"/>
                <w:szCs w:val="18"/>
                <w:color w:val="auto"/>
              </w:rPr>
              <w:t>119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-685165</wp:posOffset>
            </wp:positionV>
            <wp:extent cx="59690"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1885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The following is a reconciliation of the Company’s expected federal income tax provision (benefit) to the actual income tax provision (in thousands):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Tax computed at federal statutory rate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(11,109 )</w:t>
            </w:r>
          </w:p>
        </w:tc>
        <w:tc>
          <w:tcPr>
            <w:tcW w:w="24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(6,966 )</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(1,296 )</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Non-deductible compensation</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Permanent differences</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(1,340 )</w:t>
            </w:r>
          </w:p>
        </w:tc>
        <w:tc>
          <w:tcPr>
            <w:tcW w:w="24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(686 )</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(240 )</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(35,852 )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(6,073 )</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R&amp;D tax credits</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(14,484 )</w:t>
            </w:r>
          </w:p>
        </w:tc>
        <w:tc>
          <w:tcPr>
            <w:tcW w:w="24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(12,140 )</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(7,177 )</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Reserve for uncertain tax positions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(1,376 )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82,717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49,497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deferred tax assets are summarized as follows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Capitalized R&amp;D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127,250</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95,172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operating losses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84,608</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R&amp;D tax credits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49,736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Intangible asset amortization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compensation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22,961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6,972</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316,935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248,957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(6,814 )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Right-of-use assets</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(13,874 )</w:t>
            </w:r>
          </w:p>
        </w:tc>
        <w:tc>
          <w:tcPr>
            <w:tcW w:w="36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(14,851 )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Pr>
          <w:p>
            <w:pPr>
              <w:ind w:left="54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(20,688 )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(22,174 )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of deferred tax assets and liabilities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296,247</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226,783</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(296,247 )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(226,783 )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-1302385</wp:posOffset>
            </wp:positionV>
            <wp:extent cx="51435" cy="162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-1302385</wp:posOffset>
            </wp:positionV>
            <wp:extent cx="43180" cy="162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-676275</wp:posOffset>
            </wp:positionV>
            <wp:extent cx="51435" cy="1714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-676275</wp:posOffset>
            </wp:positionV>
            <wp:extent cx="43180" cy="1714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-350520</wp:posOffset>
            </wp:positionV>
            <wp:extent cx="51435"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 valuation allowance of $296.2 million and $226.8 million at December 31, 2022 and 2021, respectively, has been established to offset the deferred tax assets, as realization of such assets is uncertain.</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At December 31, 2022, the Company had federal and California net operating loss (NOL) carryforwards of $392.5 million and $452.2 million, respectively, which may be available to offset future taxable income. The federal and California NOL carryforwards begin to expire in 2027 and 2028, respectively, unless previously utilized. At December 31, 2022, the Company had federal and California research and development (R&amp;D) credit carryforwards of $35.1 million and $33.3 million, respectively. The federal R&amp;D tax credit carryforwards will begin to expire in 2035 unless previously utilized. The California R&amp;D credit carryforwards will carry forward indefinitely.</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Under Sections 382 and 383 of the Internal Revenue Code of 1986, as amended, (the Code), substantial changes in the Company's ownership may limit the amount of net operating loss and research and development credit carryforwards that could be used annually in the future to offset taxable income. The tax benefits related to future utilization of federal and state net operating loss carryforwards, credit carryforwards, and other deferred tax assets may be limited or lost if cumulative changes in ownership exceeds 50% within any three-year period. The Company completed a study to assess whether an ownership change, as defined by Section 382 of the Code, had occurred from the Company’s formation through December 31, 2015. Based upon this study, the Company determined that several ownership changes had occurred. Accordingly, the Company reduced its deferred tax assets related to the federal NOL carryforwards and the federal R&amp;D credit carryforwards that are anticipated to expire unused as a result of these ownership changes. These tax attributes were excluded from deferred tax assets with a corresponding reduction of the valuation allowance with no net effect on income tax expense or the effective tax rate. The Company updated the study through December 31, 2022 and concluded there were no ownership changes during 2022. Future ownership changes may further limit the Company’s ability to utilize its remaining tax attributes.</w:t>
      </w:r>
    </w:p>
    <w:p>
      <w:pPr>
        <w:spacing w:after="0" w:line="60"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The Company files income tax returns in the United States, various state jurisdictions, and the Netherlands with varying statutes of limitations. The Company currently has no years under examination by any jurisdiction; however, the Company is subject to income tax examination by federal and state tax authorities for years beginning in 2019 and 2018, respectively. However, to the extent allowed by law, the taxing authorities may have the right to examine prior periods where NOLs and tax credits were generated and carried forward, and make adjustments up to the amount of the carryforwards.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the Company’s unrecognized tax benefits is summarized as follows (in thousands):</w:t>
      </w:r>
    </w:p>
    <w:p>
      <w:pPr>
        <w:spacing w:after="0" w:line="284"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r>
      <w:tr>
        <w:trPr>
          <w:trHeight w:val="23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Beginning unrecognized tax benefits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37,255</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16,822</w:t>
            </w:r>
          </w:p>
        </w:tc>
        <w:tc>
          <w:tcPr>
            <w:tcW w:w="60" w:type="dxa"/>
            <w:vAlign w:val="bottom"/>
            <w:shd w:val="clear" w:color="auto" w:fill="CFF0FC"/>
          </w:tcPr>
          <w:p>
            <w:pPr>
              <w:spacing w:after="0"/>
              <w:rPr>
                <w:sz w:val="20"/>
                <w:szCs w:val="20"/>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Increase related to current year tax positions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9,101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17,557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20"/>
                <w:szCs w:val="20"/>
                <w:color w:val="auto"/>
              </w:rPr>
            </w:pPr>
          </w:p>
        </w:tc>
      </w:tr>
      <w:tr>
        <w:trPr>
          <w:trHeight w:val="249"/>
        </w:trPr>
        <w:tc>
          <w:tcPr>
            <w:tcW w:w="3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Increase related to prior year tax positions</w:t>
            </w: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FF0FC"/>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Decrease related to prior year tax positions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(81 )</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7"/>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unrecognized tax benefits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52,767</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37,255</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19,779</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431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43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does not anticipate that the amount of unrecognized tax benefits as of December 31, 2022 will significantly change within the next twelve months. Due to the valuation allowance recorded against the Company’s deferred tax assets, none of the total unrecognized tax benefits as of December 31, 2022 would reduce the effective tax rate if recognized. The Company has not recognized interest or penalties related to income tax matters in its consolidated statements of operations and comprehensive loss since inception.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Effective January 1, 2009, the Company adopted a defined contribution 401(k) plan for employees who are at least 21 years of age. Employees are eligible to participate in the plan beginning on the first day of the calendar quarter following date of hire. Under the terms of the plan, employees may make voluntary contributions as a percent of compensation. The Company makes discretionary contributions to the 401(k) Plan equal to 100 percent of each employee’s pretax contributions up to 20 percent of the IRS Standard Limit. No matching contributions have been made by the Company as of December 31, 2022 since the adoption of the 401(k) plan.</w:t>
      </w:r>
    </w:p>
    <w:p>
      <w:pPr>
        <w:spacing w:after="0" w:line="292" w:lineRule="exact"/>
        <w:rPr>
          <w:sz w:val="20"/>
          <w:szCs w:val="20"/>
          <w:color w:val="auto"/>
        </w:rPr>
      </w:pPr>
    </w:p>
    <w:p>
      <w:pPr>
        <w:ind w:right="8400" w:firstLine="8"/>
        <w:spacing w:after="0" w:line="425" w:lineRule="auto"/>
        <w:tabs>
          <w:tab w:leader="none" w:pos="27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License Agreements</w:t>
      </w:r>
    </w:p>
    <w:p>
      <w:pPr>
        <w:ind w:firstLine="509"/>
        <w:spacing w:after="0" w:line="254" w:lineRule="auto"/>
        <w:rPr>
          <w:sz w:val="20"/>
          <w:szCs w:val="20"/>
          <w:color w:val="auto"/>
        </w:rPr>
      </w:pPr>
      <w:r>
        <w:rPr>
          <w:rFonts w:ascii="Arial" w:cs="Arial" w:eastAsia="Arial" w:hAnsi="Arial"/>
          <w:sz w:val="18"/>
          <w:szCs w:val="18"/>
          <w:color w:val="auto"/>
        </w:rPr>
        <w:t>The Company has entered into exclusive license agreements with certain academic institutions and universities pursuant to which the Company acquired certain intellectual property. Pursuant to each agreement, as consideration for an exclusive license to the intellectual property, the Company paid a license fee, reimbursed the institution for historical patent costs and, in certain instances, issued the institution shares of restricted common stock. Additionally, under each agreement, the institution is generally eligible to receive future consideration including, but not limited to, annual maintenance fees, royalties, milestone payments and sublicensing fees. Each of the license agreements is generally cancelable by the Company, given appropriate prior written notice. Minimum annual payments to maintain these cancelable licenses total an aggregate of $0.4 million. See Note 2 for additional information on certain licenses.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360" w:firstLine="509"/>
        <w:spacing w:after="0" w:line="301" w:lineRule="auto"/>
        <w:rPr>
          <w:sz w:val="20"/>
          <w:szCs w:val="20"/>
          <w:color w:val="auto"/>
        </w:rPr>
      </w:pPr>
      <w:r>
        <w:rPr>
          <w:rFonts w:ascii="Arial" w:cs="Arial" w:eastAsia="Arial" w:hAnsi="Arial"/>
          <w:sz w:val="16"/>
          <w:szCs w:val="16"/>
          <w:color w:val="auto"/>
        </w:rPr>
        <w:t>From time to time, the Company may be involved in various lawsuits, legal proceedings, or claims that arise in the ordinary course of business. Management believes there are no claims or actions pending against the Company as of December 31, 2022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the Company’s business.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Agreement Termination</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On January 3, 2023, the Company received notice of termination from Janssen of the Collaboration and Option Agreement dated April 2, 2020 by and between the Company and Janssen (the “Collaboration Agreement”), pursuant to which Janssen and the Company had agreed to collaborate to develop iPSC-derived CAR NK- and CAR T-cell product candidates for the treatment of cancer. Janssen provided notice of termination after the Company declined a proposal from Janssen for continuation of the Collaboration Agreement on revised terms. The termination will take effect on April 3, 2023 and, during the first quarter of 2023, the Company will wind down activities with Janssen, including discontinuing development of all collaboration products.</w:t>
      </w:r>
    </w:p>
    <w:p>
      <w:pPr>
        <w:spacing w:after="0" w:line="5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Under the terms of the Collaboration Agreement, in connection with the termination, (i) all licenses and other rights granted to either party pursuant to the Collaboration Agreement will terminate, subject to limited exceptions set forth in the Collaboration Agreement; (ii) both parties will wind down any development, commercialization and manufacturing activities under the Collaboration Agreement; (iii) neither party will have any right to continue to develop, manufacture or commercialize any collaboration candidate or collaboration product or use the other party’s materials; and (iv) neither party is restricted from independently developing, manufacturing, or commercializing any product, including any products directed to the same antigens as those of any collaboration candidate or collaboration product.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January 2023, the Company implemented a corporate restructuring to streamline operations, reduce operating expenses, extend cash runway and focus resources on the Company's most promising programs. In connection with the restructuring, the Company committed to a reduction in total workforce by approximately 60%, to approximately 220 employees. Affected employees were informed on January 5, 2023. The Company expects the reduction in force to be completed during the first quarter of 2023, and that it will incur charges of approximately $12 million to $16 million for severance and other employee termination-related costs during the first quarter of 2023. The Company may also incur additional costs not currently contemplated due to events that may occur as a result of, or that are associated with, its workforce reduction.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are responsible for maintaining disclosure controls and procedures, as defined in Rules</w:t>
      </w:r>
      <w:r>
        <w:rPr>
          <w:rFonts w:ascii="Arial" w:cs="Arial" w:eastAsia="Arial" w:hAnsi="Arial"/>
          <w:sz w:val="16"/>
          <w:szCs w:val="16"/>
          <w:b w:val="1"/>
          <w:bCs w:val="1"/>
          <w:color w:val="auto"/>
        </w:rPr>
        <w:t xml:space="preserve"> </w:t>
      </w:r>
      <w:r>
        <w:rPr>
          <w:rFonts w:ascii="Arial" w:cs="Arial" w:eastAsia="Arial" w:hAnsi="Arial"/>
          <w:sz w:val="16"/>
          <w:szCs w:val="16"/>
          <w:color w:val="auto"/>
        </w:rPr>
        <w:t>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the individual serving as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Based on our management’s evaluation (with the participation of our principal executive officer and principal financial officer) of our disclosure controls and procedures as required by Rules 13a-15 and 15d-15 under the Exchange Act, our principal executive officer and principal financial officer have concluded that our disclosure controls and procedures were effective at the reasonable assurance level as of December 31, 2022, the end of the period covered by this report.</w:t>
      </w:r>
    </w:p>
    <w:p>
      <w:pPr>
        <w:spacing w:after="0" w:line="7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b w:val="1"/>
          <w:bCs w:val="1"/>
          <w:color w:val="auto"/>
        </w:rPr>
        <w:t xml:space="preserve">Management’s Report on Internal Control Over Financial Reporting. </w:t>
      </w:r>
      <w:r>
        <w:rPr>
          <w:rFonts w:ascii="Arial" w:cs="Arial" w:eastAsia="Arial" w:hAnsi="Arial"/>
          <w:sz w:val="16"/>
          <w:szCs w:val="16"/>
          <w:color w:val="auto"/>
        </w:rPr>
        <w:t>The Company’s management is responsible for establishing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maintaining adequate internal control over financial reporting (as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 Management conducted an assessment of the effectiveness of the Company’s internal control over financial reporting based on the criteria set forth by the Committee of Sponsoring Organizations of the Treadway Commission in Internal Control—Integrated Framework (2013 Framework). Based on this assessment, our management concluded that, as of December 31, 2022, our internal control over financial reporting was effective based on those criteria.</w:t>
      </w:r>
    </w:p>
    <w:p>
      <w:pPr>
        <w:spacing w:after="0" w:line="55"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Our independent registered public accounting firm, Ernst &amp; Young LLP, has audited the financial statements included in this Form 10-K and has issued an unqualified opinion on the effectiveness of our internal control over financial reporting as of December 31, 2022, as stated in their attestation report, which is included elsewhere herein.</w:t>
      </w:r>
    </w:p>
    <w:p>
      <w:pPr>
        <w:spacing w:after="0" w:line="72" w:lineRule="exact"/>
        <w:rPr>
          <w:sz w:val="20"/>
          <w:szCs w:val="20"/>
          <w:color w:val="auto"/>
        </w:rPr>
      </w:pPr>
    </w:p>
    <w:p>
      <w:pPr>
        <w:ind w:right="40" w:firstLine="509"/>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during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Fate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have audited Fate Therapeutics, Inc.’s internal control over financial reporting as of December 31, 2022, based on criteria established in Internal Control—Integrated Framework issued by the Committee of Sponsoring Organizations of the Treadway Commission (2013 framework), (the COSO criteria). In our opinion, Fate Therapeutics, Inc. (the Company) maintained, in all material respects, effective internal control over financial reporting as of December 31, 2022, based on the COSO criteria.</w:t>
      </w:r>
    </w:p>
    <w:p>
      <w:pPr>
        <w:spacing w:after="0" w:line="7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loss, convertible preferred stock and stockholders’ equity and cash flows for each of the three years in the period ended December 31, 2022, and the related notes and our report dated February 28,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500" w:firstLine="509"/>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8"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Except as set forth below, the information required by this item is contained in our definitive proxy statement (the Proxy Statement), to be filed with the SEC in connection with the Annual Meeting of Stockholders within 120 days after the conclusion of our fiscal year ended December 31, 2022 and is incorporated in this Annual Report on Form 10-K by reference.</w:t>
      </w:r>
    </w:p>
    <w:p>
      <w:pPr>
        <w:spacing w:after="0" w:line="7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www.fatetherapeutics.com. If we make any substantive amendments to, or grant any waivers from, the code of business conduct and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information required by this item is contained in the Proxy Statement and is incorporated in this Annual Report on Form 10-K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information required by this item is contained in the Proxy Statement and is incorporated in this Annual Report on Form 10-K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information required by this item is contained in the Proxy Statement and is incorporated in this Annual Report on Form 10-K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independent public accounting firm is Ernst &amp; Young, LLP, San Diego, CA, PCAOB Auditor ID 42.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information required by this item is contained in the Proxy Statement and is incorporated in this Annual Report on Form 10-K by reference.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68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0"/>
                <w:szCs w:val="20"/>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10320" w:type="dxa"/>
            <w:vAlign w:val="bottom"/>
            <w:gridSpan w:val="8"/>
          </w:tcPr>
          <w:p>
            <w:pPr>
              <w:ind w:left="160"/>
              <w:spacing w:after="0"/>
              <w:rPr>
                <w:sz w:val="20"/>
                <w:szCs w:val="20"/>
                <w:color w:val="auto"/>
              </w:rPr>
            </w:pPr>
            <w:r>
              <w:rPr>
                <w:rFonts w:ascii="Arial" w:cs="Arial" w:eastAsia="Arial" w:hAnsi="Arial"/>
                <w:sz w:val="18"/>
                <w:szCs w:val="18"/>
                <w:color w:val="auto"/>
              </w:rPr>
              <w:t>The following documents are filed as part of this report:</w:t>
            </w:r>
          </w:p>
        </w:tc>
        <w:tc>
          <w:tcPr>
            <w:tcW w:w="5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(1)</w:t>
            </w:r>
          </w:p>
        </w:tc>
        <w:tc>
          <w:tcPr>
            <w:tcW w:w="9800" w:type="dxa"/>
            <w:vAlign w:val="bottom"/>
            <w:gridSpan w:val="7"/>
          </w:tcPr>
          <w:p>
            <w:pPr>
              <w:ind w:left="140"/>
              <w:spacing w:after="0"/>
              <w:rPr>
                <w:sz w:val="20"/>
                <w:szCs w:val="20"/>
                <w:color w:val="auto"/>
              </w:rPr>
            </w:pPr>
            <w:r>
              <w:rPr>
                <w:rFonts w:ascii="Arial" w:cs="Arial" w:eastAsia="Arial" w:hAnsi="Arial"/>
                <w:sz w:val="18"/>
                <w:szCs w:val="18"/>
                <w:i w:val="1"/>
                <w:iCs w:val="1"/>
                <w:color w:val="auto"/>
              </w:rPr>
              <w:t>Index list to Financial Statements:</w:t>
            </w:r>
          </w:p>
        </w:tc>
        <w:tc>
          <w:tcPr>
            <w:tcW w:w="560" w:type="dxa"/>
            <w:vAlign w:val="bottom"/>
          </w:tcPr>
          <w:p>
            <w:pPr>
              <w:spacing w:after="0"/>
              <w:rPr>
                <w:sz w:val="24"/>
                <w:szCs w:val="24"/>
                <w:color w:val="auto"/>
              </w:rPr>
            </w:pPr>
          </w:p>
        </w:tc>
      </w:tr>
      <w:tr>
        <w:trPr>
          <w:trHeight w:val="439"/>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189"/>
        </w:trPr>
        <w:tc>
          <w:tcPr>
            <w:tcW w:w="5520" w:type="dxa"/>
            <w:vAlign w:val="bottom"/>
            <w:tcBorders>
              <w:bottom w:val="single" w:sz="8" w:color="0000FF"/>
            </w:tcBorders>
            <w:gridSpan w:val="7"/>
          </w:tcPr>
          <w:p>
            <w:pPr>
              <w:ind w:left="20"/>
              <w:spacing w:after="0" w:line="189" w:lineRule="exact"/>
              <w:rPr>
                <w:sz w:val="20"/>
                <w:szCs w:val="20"/>
                <w:color w:val="auto"/>
              </w:rPr>
            </w:pPr>
            <w:r>
              <w:rPr>
                <w:rFonts w:ascii="Arial" w:cs="Arial" w:eastAsia="Arial" w:hAnsi="Arial"/>
                <w:sz w:val="18"/>
                <w:szCs w:val="18"/>
                <w:color w:val="0000FF"/>
                <w:w w:val="92"/>
              </w:rPr>
              <w:t>Report of Independent Registered Public Accounting Firm (PCAOB ID: 42)</w:t>
            </w:r>
          </w:p>
        </w:tc>
        <w:tc>
          <w:tcPr>
            <w:tcW w:w="5160" w:type="dxa"/>
            <w:vAlign w:val="bottom"/>
            <w:gridSpan w:val="2"/>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r>
      <w:tr>
        <w:trPr>
          <w:trHeight w:val="223"/>
        </w:trPr>
        <w:tc>
          <w:tcPr>
            <w:tcW w:w="10680" w:type="dxa"/>
            <w:vAlign w:val="bottom"/>
            <w:gridSpan w:val="9"/>
          </w:tcPr>
          <w:p>
            <w:pPr>
              <w:ind w:left="20"/>
              <w:spacing w:after="0"/>
              <w:rPr>
                <w:sz w:val="20"/>
                <w:szCs w:val="20"/>
                <w:color w:val="auto"/>
              </w:rPr>
            </w:pPr>
            <w:r>
              <w:rPr>
                <w:rFonts w:ascii="Arial" w:cs="Arial" w:eastAsia="Arial" w:hAnsi="Arial"/>
                <w:sz w:val="18"/>
                <w:szCs w:val="18"/>
                <w:color w:val="0000FF"/>
              </w:rPr>
              <w:t>Consolidated Balance Sheets</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21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70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89"/>
              </w:rPr>
              <w:t>Consolidated Statements of Operations and Comprehensive Loss</w:t>
            </w:r>
          </w:p>
        </w:tc>
        <w:tc>
          <w:tcPr>
            <w:tcW w:w="598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594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90"/>
              </w:rPr>
              <w:t>Consolidated Statements of Convertible Preferred Stock and Stockholders’ Equity</w:t>
            </w:r>
          </w:p>
        </w:tc>
        <w:tc>
          <w:tcPr>
            <w:tcW w:w="47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29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778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10680" w:type="dxa"/>
            <w:vAlign w:val="bottom"/>
            <w:gridSpan w:val="9"/>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other schedules are omitted because they are not required or the required information is included in the financial statements or notes thereto.</w:t>
      </w:r>
    </w:p>
    <w:p>
      <w:pPr>
        <w:spacing w:after="0" w:line="140" w:lineRule="exact"/>
        <w:rPr>
          <w:sz w:val="20"/>
          <w:szCs w:val="20"/>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2"/>
          </w:tcPr>
          <w:p>
            <w:pPr>
              <w:ind w:left="300"/>
              <w:spacing w:after="0"/>
              <w:rPr>
                <w:sz w:val="20"/>
                <w:szCs w:val="20"/>
                <w:color w:val="auto"/>
              </w:rPr>
            </w:pPr>
            <w:r>
              <w:rPr>
                <w:rFonts w:ascii="Arial" w:cs="Arial" w:eastAsia="Arial" w:hAnsi="Arial"/>
                <w:sz w:val="14"/>
                <w:szCs w:val="14"/>
                <w:b w:val="1"/>
                <w:bCs w:val="1"/>
                <w:color w:val="auto"/>
              </w:rPr>
              <w:t>Incorporated by</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ind w:left="500"/>
              <w:spacing w:after="0"/>
              <w:rPr>
                <w:sz w:val="20"/>
                <w:szCs w:val="20"/>
                <w:color w:val="auto"/>
              </w:rPr>
            </w:pPr>
            <w:r>
              <w:rPr>
                <w:rFonts w:ascii="Arial" w:cs="Arial" w:eastAsia="Arial" w:hAnsi="Arial"/>
                <w:sz w:val="14"/>
                <w:szCs w:val="14"/>
                <w:b w:val="1"/>
                <w:bCs w:val="1"/>
                <w:color w:val="auto"/>
                <w:w w:val="88"/>
              </w:rPr>
              <w:t>Reference</w:t>
            </w: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860" w:type="dxa"/>
            <w:vAlign w:val="bottom"/>
          </w:tcPr>
          <w:p>
            <w:pPr>
              <w:jc w:val="center"/>
              <w:ind w:right="272"/>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17"/>
            <w:vMerge w:val="restart"/>
          </w:tcPr>
          <w:p>
            <w:pPr>
              <w:ind w:left="40"/>
              <w:spacing w:after="0"/>
              <w:rPr>
                <w:sz w:val="20"/>
                <w:szCs w:val="20"/>
                <w:color w:val="auto"/>
              </w:rPr>
            </w:pPr>
            <w:r>
              <w:rPr>
                <w:rFonts w:ascii="Arial" w:cs="Arial" w:eastAsia="Arial" w:hAnsi="Arial"/>
                <w:sz w:val="14"/>
                <w:szCs w:val="14"/>
                <w:b w:val="1"/>
                <w:bCs w:val="1"/>
                <w:color w:val="auto"/>
              </w:rPr>
              <w:t>Exhibit Title</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5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860" w:type="dxa"/>
            <w:vAlign w:val="bottom"/>
          </w:tcPr>
          <w:p>
            <w:pPr>
              <w:jc w:val="center"/>
              <w:ind w:right="252"/>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60" w:type="dxa"/>
            <w:vAlign w:val="bottom"/>
            <w:gridSpan w:val="17"/>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87"/>
              </w:rPr>
              <w:t>3.1</w:t>
            </w:r>
          </w:p>
        </w:tc>
        <w:tc>
          <w:tcPr>
            <w:tcW w:w="6080" w:type="dxa"/>
            <w:vAlign w:val="bottom"/>
            <w:gridSpan w:val="25"/>
          </w:tcPr>
          <w:p>
            <w:pPr>
              <w:spacing w:after="0"/>
              <w:rPr>
                <w:rFonts w:ascii="Arial" w:cs="Arial" w:eastAsia="Arial" w:hAnsi="Arial"/>
                <w:sz w:val="18"/>
                <w:szCs w:val="18"/>
                <w:color w:val="0000FF"/>
              </w:rPr>
            </w:pPr>
            <w:hyperlink r:id="rId431">
              <w:r>
                <w:rPr>
                  <w:rFonts w:ascii="Arial" w:cs="Arial" w:eastAsia="Arial" w:hAnsi="Arial"/>
                  <w:sz w:val="18"/>
                  <w:szCs w:val="18"/>
                  <w:color w:val="0000FF"/>
                </w:rPr>
                <w:t>Amended and Restated Certificate of Incorporation of the Registrant</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7"/>
              </w:rPr>
              <w:t>3.2</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29, 2013</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87"/>
              </w:rPr>
              <w:t>3.2</w:t>
            </w:r>
          </w:p>
        </w:tc>
        <w:tc>
          <w:tcPr>
            <w:tcW w:w="6080" w:type="dxa"/>
            <w:vAlign w:val="bottom"/>
            <w:gridSpan w:val="25"/>
          </w:tcPr>
          <w:p>
            <w:pPr>
              <w:spacing w:after="0"/>
              <w:rPr>
                <w:rFonts w:ascii="Arial" w:cs="Arial" w:eastAsia="Arial" w:hAnsi="Arial"/>
                <w:sz w:val="18"/>
                <w:szCs w:val="18"/>
                <w:color w:val="0000FF"/>
                <w:w w:val="92"/>
              </w:rPr>
            </w:pPr>
            <w:hyperlink r:id="rId432">
              <w:r>
                <w:rPr>
                  <w:rFonts w:ascii="Arial" w:cs="Arial" w:eastAsia="Arial" w:hAnsi="Arial"/>
                  <w:sz w:val="18"/>
                  <w:szCs w:val="18"/>
                  <w:color w:val="0000FF"/>
                  <w:w w:val="92"/>
                </w:rPr>
                <w:t>Certificate of Amendment to Amended and Restated Certificate of Incorporation of</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7"/>
              </w:rPr>
              <w:t>3.1</w:t>
            </w:r>
          </w:p>
        </w:tc>
        <w:tc>
          <w:tcPr>
            <w:tcW w:w="1580" w:type="dxa"/>
            <w:vAlign w:val="bottom"/>
          </w:tcPr>
          <w:p>
            <w:pPr>
              <w:jc w:val="right"/>
              <w:spacing w:after="0"/>
              <w:rPr>
                <w:sz w:val="20"/>
                <w:szCs w:val="20"/>
                <w:color w:val="auto"/>
              </w:rPr>
            </w:pPr>
            <w:r>
              <w:rPr>
                <w:rFonts w:ascii="Arial" w:cs="Arial" w:eastAsia="Arial" w:hAnsi="Arial"/>
                <w:sz w:val="18"/>
                <w:szCs w:val="18"/>
                <w:color w:val="auto"/>
              </w:rPr>
              <w:t>June 7, 2021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32">
              <w:r>
                <w:rPr>
                  <w:rFonts w:ascii="Arial" w:cs="Arial" w:eastAsia="Arial" w:hAnsi="Arial"/>
                  <w:sz w:val="18"/>
                  <w:szCs w:val="18"/>
                  <w:color w:val="0000FF"/>
                </w:rPr>
                <w:t>the Registrant, as currently in effect</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87"/>
              </w:rPr>
              <w:t>3.3</w:t>
            </w:r>
          </w:p>
        </w:tc>
        <w:tc>
          <w:tcPr>
            <w:tcW w:w="6080" w:type="dxa"/>
            <w:vAlign w:val="bottom"/>
            <w:gridSpan w:val="25"/>
          </w:tcPr>
          <w:p>
            <w:pPr>
              <w:spacing w:after="0"/>
              <w:rPr>
                <w:rFonts w:ascii="Arial" w:cs="Arial" w:eastAsia="Arial" w:hAnsi="Arial"/>
                <w:sz w:val="18"/>
                <w:szCs w:val="18"/>
                <w:color w:val="0000FF"/>
              </w:rPr>
            </w:pPr>
            <w:hyperlink r:id="rId433">
              <w:r>
                <w:rPr>
                  <w:rFonts w:ascii="Arial" w:cs="Arial" w:eastAsia="Arial" w:hAnsi="Arial"/>
                  <w:sz w:val="18"/>
                  <w:szCs w:val="18"/>
                  <w:color w:val="0000FF"/>
                </w:rPr>
                <w:t>Certificate of Designation of Preferences, Rights and Limitations of Class A</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7"/>
              </w:rPr>
              <w:t>3.1</w:t>
            </w:r>
          </w:p>
        </w:tc>
        <w:tc>
          <w:tcPr>
            <w:tcW w:w="1580" w:type="dxa"/>
            <w:vAlign w:val="bottom"/>
          </w:tcPr>
          <w:p>
            <w:pPr>
              <w:jc w:val="right"/>
              <w:spacing w:after="0"/>
              <w:rPr>
                <w:sz w:val="20"/>
                <w:szCs w:val="20"/>
                <w:color w:val="auto"/>
              </w:rPr>
            </w:pPr>
            <w:r>
              <w:rPr>
                <w:rFonts w:ascii="Arial" w:cs="Arial" w:eastAsia="Arial" w:hAnsi="Arial"/>
                <w:sz w:val="18"/>
                <w:szCs w:val="18"/>
                <w:color w:val="auto"/>
                <w:w w:val="98"/>
              </w:rPr>
              <w:t>November 29, 2016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33">
              <w:r>
                <w:rPr>
                  <w:rFonts w:ascii="Arial" w:cs="Arial" w:eastAsia="Arial" w:hAnsi="Arial"/>
                  <w:sz w:val="18"/>
                  <w:szCs w:val="18"/>
                  <w:color w:val="0000FF"/>
                </w:rPr>
                <w:t>Convertible Preferred Stock</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87"/>
              </w:rPr>
              <w:t>3.4</w:t>
            </w:r>
          </w:p>
        </w:tc>
        <w:tc>
          <w:tcPr>
            <w:tcW w:w="6080" w:type="dxa"/>
            <w:vAlign w:val="bottom"/>
            <w:gridSpan w:val="25"/>
          </w:tcPr>
          <w:p>
            <w:pPr>
              <w:spacing w:after="0"/>
              <w:rPr>
                <w:rFonts w:ascii="Arial" w:cs="Arial" w:eastAsia="Arial" w:hAnsi="Arial"/>
                <w:sz w:val="18"/>
                <w:szCs w:val="18"/>
                <w:color w:val="0000FF"/>
              </w:rPr>
            </w:pPr>
            <w:hyperlink r:id="rId434">
              <w:r>
                <w:rPr>
                  <w:rFonts w:ascii="Arial" w:cs="Arial" w:eastAsia="Arial" w:hAnsi="Arial"/>
                  <w:sz w:val="18"/>
                  <w:szCs w:val="18"/>
                  <w:color w:val="0000FF"/>
                </w:rPr>
                <w:t>Amended and Restated Bylaws of the Registrant, as currently in effect</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87"/>
              </w:rPr>
              <w:t>3.3</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87"/>
              </w:rPr>
              <w:t>4.1</w:t>
            </w:r>
          </w:p>
        </w:tc>
        <w:tc>
          <w:tcPr>
            <w:tcW w:w="6080" w:type="dxa"/>
            <w:vAlign w:val="bottom"/>
            <w:gridSpan w:val="25"/>
          </w:tcPr>
          <w:p>
            <w:pPr>
              <w:spacing w:after="0"/>
              <w:rPr>
                <w:rFonts w:ascii="Arial" w:cs="Arial" w:eastAsia="Arial" w:hAnsi="Arial"/>
                <w:sz w:val="18"/>
                <w:szCs w:val="18"/>
                <w:color w:val="0000FF"/>
              </w:rPr>
            </w:pPr>
            <w:hyperlink r:id="rId435">
              <w:r>
                <w:rPr>
                  <w:rFonts w:ascii="Arial" w:cs="Arial" w:eastAsia="Arial" w:hAnsi="Arial"/>
                  <w:sz w:val="18"/>
                  <w:szCs w:val="18"/>
                  <w:color w:val="0000FF"/>
                </w:rPr>
                <w:t>Specimen Common Stock Certificate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7"/>
              </w:rPr>
              <w:t>4.1</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29, 2013</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87"/>
              </w:rPr>
              <w:t>4.2</w:t>
            </w:r>
          </w:p>
        </w:tc>
        <w:tc>
          <w:tcPr>
            <w:tcW w:w="6080" w:type="dxa"/>
            <w:vAlign w:val="bottom"/>
            <w:gridSpan w:val="25"/>
          </w:tcPr>
          <w:p>
            <w:pPr>
              <w:spacing w:after="0"/>
              <w:rPr>
                <w:rFonts w:ascii="Arial" w:cs="Arial" w:eastAsia="Arial" w:hAnsi="Arial"/>
                <w:sz w:val="18"/>
                <w:szCs w:val="18"/>
                <w:color w:val="0000FF"/>
              </w:rPr>
            </w:pPr>
            <w:hyperlink r:id="rId436">
              <w:r>
                <w:rPr>
                  <w:rFonts w:ascii="Arial" w:cs="Arial" w:eastAsia="Arial" w:hAnsi="Arial"/>
                  <w:sz w:val="18"/>
                  <w:szCs w:val="18"/>
                  <w:color w:val="0000FF"/>
                </w:rPr>
                <w:t>Description of Securities</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87"/>
              </w:rPr>
              <w:t>4.5</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87"/>
              </w:rPr>
              <w:t>4.3</w:t>
            </w:r>
          </w:p>
        </w:tc>
        <w:tc>
          <w:tcPr>
            <w:tcW w:w="6080" w:type="dxa"/>
            <w:vAlign w:val="bottom"/>
            <w:gridSpan w:val="25"/>
          </w:tcPr>
          <w:p>
            <w:pPr>
              <w:spacing w:after="0"/>
              <w:rPr>
                <w:rFonts w:ascii="Arial" w:cs="Arial" w:eastAsia="Arial" w:hAnsi="Arial"/>
                <w:sz w:val="18"/>
                <w:szCs w:val="18"/>
                <w:color w:val="0000FF"/>
              </w:rPr>
            </w:pPr>
            <w:hyperlink r:id="rId437">
              <w:r>
                <w:rPr>
                  <w:rFonts w:ascii="Arial" w:cs="Arial" w:eastAsia="Arial" w:hAnsi="Arial"/>
                  <w:sz w:val="18"/>
                  <w:szCs w:val="18"/>
                  <w:color w:val="0000FF"/>
                </w:rPr>
                <w:t>Form of Pre-Funded Warrant</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7"/>
              </w:rPr>
              <w:t>4.1</w:t>
            </w:r>
          </w:p>
        </w:tc>
        <w:tc>
          <w:tcPr>
            <w:tcW w:w="1580" w:type="dxa"/>
            <w:vAlign w:val="bottom"/>
          </w:tcPr>
          <w:p>
            <w:pPr>
              <w:jc w:val="right"/>
              <w:spacing w:after="0"/>
              <w:rPr>
                <w:sz w:val="20"/>
                <w:szCs w:val="20"/>
                <w:color w:val="auto"/>
              </w:rPr>
            </w:pPr>
            <w:r>
              <w:rPr>
                <w:rFonts w:ascii="Arial" w:cs="Arial" w:eastAsia="Arial" w:hAnsi="Arial"/>
                <w:sz w:val="18"/>
                <w:szCs w:val="18"/>
                <w:color w:val="auto"/>
              </w:rPr>
              <w:t>January 8, 2021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10.1#</w:t>
            </w:r>
          </w:p>
        </w:tc>
        <w:tc>
          <w:tcPr>
            <w:tcW w:w="6080" w:type="dxa"/>
            <w:vAlign w:val="bottom"/>
            <w:gridSpan w:val="25"/>
          </w:tcPr>
          <w:p>
            <w:pPr>
              <w:spacing w:after="0"/>
              <w:rPr>
                <w:rFonts w:ascii="Arial" w:cs="Arial" w:eastAsia="Arial" w:hAnsi="Arial"/>
                <w:sz w:val="18"/>
                <w:szCs w:val="18"/>
                <w:color w:val="0000FF"/>
              </w:rPr>
            </w:pPr>
            <w:hyperlink r:id="rId438">
              <w:r>
                <w:rPr>
                  <w:rFonts w:ascii="Arial" w:cs="Arial" w:eastAsia="Arial" w:hAnsi="Arial"/>
                  <w:sz w:val="18"/>
                  <w:szCs w:val="18"/>
                  <w:color w:val="0000FF"/>
                </w:rPr>
                <w:t>2007 Equity Incentive Plan and forms of agreements thereunder</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5"/>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29, 2013</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10.2#</w:t>
            </w:r>
          </w:p>
        </w:tc>
        <w:tc>
          <w:tcPr>
            <w:tcW w:w="6080" w:type="dxa"/>
            <w:vAlign w:val="bottom"/>
            <w:gridSpan w:val="25"/>
          </w:tcPr>
          <w:p>
            <w:pPr>
              <w:spacing w:after="0"/>
              <w:rPr>
                <w:rFonts w:ascii="Arial" w:cs="Arial" w:eastAsia="Arial" w:hAnsi="Arial"/>
                <w:sz w:val="18"/>
                <w:szCs w:val="18"/>
                <w:color w:val="0000FF"/>
              </w:rPr>
            </w:pPr>
            <w:hyperlink r:id="rId439">
              <w:r>
                <w:rPr>
                  <w:rFonts w:ascii="Arial" w:cs="Arial" w:eastAsia="Arial" w:hAnsi="Arial"/>
                  <w:sz w:val="18"/>
                  <w:szCs w:val="18"/>
                  <w:color w:val="0000FF"/>
                </w:rPr>
                <w:t>Amended and Restated 2013 Stock Option and Incentive Plan and forms of</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85"/>
              </w:rPr>
              <w:t>10.2</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39">
              <w:r>
                <w:rPr>
                  <w:rFonts w:ascii="Arial" w:cs="Arial" w:eastAsia="Arial" w:hAnsi="Arial"/>
                  <w:sz w:val="18"/>
                  <w:szCs w:val="18"/>
                  <w:color w:val="0000FF"/>
                </w:rPr>
                <w:t>agreements thereunder</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10.3#</w:t>
            </w:r>
          </w:p>
        </w:tc>
        <w:tc>
          <w:tcPr>
            <w:tcW w:w="6080" w:type="dxa"/>
            <w:vAlign w:val="bottom"/>
            <w:gridSpan w:val="25"/>
          </w:tcPr>
          <w:p>
            <w:pPr>
              <w:spacing w:after="0"/>
              <w:rPr>
                <w:rFonts w:ascii="Arial" w:cs="Arial" w:eastAsia="Arial" w:hAnsi="Arial"/>
                <w:sz w:val="18"/>
                <w:szCs w:val="18"/>
                <w:color w:val="0000FF"/>
                <w:w w:val="95"/>
              </w:rPr>
            </w:pPr>
            <w:hyperlink r:id="rId440">
              <w:r>
                <w:rPr>
                  <w:rFonts w:ascii="Arial" w:cs="Arial" w:eastAsia="Arial" w:hAnsi="Arial"/>
                  <w:sz w:val="18"/>
                  <w:szCs w:val="18"/>
                  <w:color w:val="0000FF"/>
                  <w:w w:val="95"/>
                </w:rPr>
                <w:t>Form of Unrestricted Stock Award Agreement under the 2013 Stock Option and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5"/>
              </w:rPr>
              <w:t>10.2</w:t>
            </w:r>
          </w:p>
        </w:tc>
        <w:tc>
          <w:tcPr>
            <w:tcW w:w="1580" w:type="dxa"/>
            <w:vAlign w:val="bottom"/>
          </w:tcPr>
          <w:p>
            <w:pPr>
              <w:jc w:val="right"/>
              <w:spacing w:after="0"/>
              <w:rPr>
                <w:sz w:val="20"/>
                <w:szCs w:val="20"/>
                <w:color w:val="auto"/>
              </w:rPr>
            </w:pPr>
            <w:r>
              <w:rPr>
                <w:rFonts w:ascii="Arial" w:cs="Arial" w:eastAsia="Arial" w:hAnsi="Arial"/>
                <w:sz w:val="18"/>
                <w:szCs w:val="18"/>
                <w:color w:val="auto"/>
              </w:rPr>
              <w:t>January 7, 2015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40">
              <w:r>
                <w:rPr>
                  <w:rFonts w:ascii="Arial" w:cs="Arial" w:eastAsia="Arial" w:hAnsi="Arial"/>
                  <w:sz w:val="18"/>
                  <w:szCs w:val="18"/>
                  <w:color w:val="0000FF"/>
                </w:rPr>
                <w:t>Incentive Plan</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10.4#</w:t>
            </w:r>
          </w:p>
        </w:tc>
        <w:tc>
          <w:tcPr>
            <w:tcW w:w="6080" w:type="dxa"/>
            <w:vAlign w:val="bottom"/>
            <w:gridSpan w:val="25"/>
          </w:tcPr>
          <w:p>
            <w:pPr>
              <w:spacing w:after="0"/>
              <w:rPr>
                <w:rFonts w:ascii="Arial" w:cs="Arial" w:eastAsia="Arial" w:hAnsi="Arial"/>
                <w:sz w:val="18"/>
                <w:szCs w:val="18"/>
                <w:color w:val="0000FF"/>
              </w:rPr>
            </w:pPr>
            <w:hyperlink r:id="rId441">
              <w:r>
                <w:rPr>
                  <w:rFonts w:ascii="Arial" w:cs="Arial" w:eastAsia="Arial" w:hAnsi="Arial"/>
                  <w:sz w:val="18"/>
                  <w:szCs w:val="18"/>
                  <w:color w:val="0000FF"/>
                </w:rPr>
                <w:t>2013 Employee Stock Purchase Plan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93"/>
              </w:rPr>
              <w:t>10.24</w:t>
            </w:r>
          </w:p>
        </w:tc>
        <w:tc>
          <w:tcPr>
            <w:tcW w:w="1580" w:type="dxa"/>
            <w:vAlign w:val="bottom"/>
          </w:tcPr>
          <w:p>
            <w:pPr>
              <w:jc w:val="right"/>
              <w:spacing w:after="0"/>
              <w:rPr>
                <w:sz w:val="20"/>
                <w:szCs w:val="20"/>
                <w:color w:val="auto"/>
              </w:rPr>
            </w:pPr>
            <w:r>
              <w:rPr>
                <w:rFonts w:ascii="Arial" w:cs="Arial" w:eastAsia="Arial" w:hAnsi="Arial"/>
                <w:sz w:val="18"/>
                <w:szCs w:val="18"/>
                <w:color w:val="auto"/>
                <w:w w:val="95"/>
              </w:rPr>
              <w:t>September 16, 2013</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10.5#</w:t>
            </w:r>
          </w:p>
        </w:tc>
        <w:tc>
          <w:tcPr>
            <w:tcW w:w="6080" w:type="dxa"/>
            <w:vAlign w:val="bottom"/>
            <w:gridSpan w:val="25"/>
          </w:tcPr>
          <w:p>
            <w:pPr>
              <w:spacing w:after="0"/>
              <w:rPr>
                <w:rFonts w:ascii="Arial" w:cs="Arial" w:eastAsia="Arial" w:hAnsi="Arial"/>
                <w:sz w:val="18"/>
                <w:szCs w:val="18"/>
                <w:color w:val="0000FF"/>
                <w:w w:val="90"/>
              </w:rPr>
            </w:pPr>
            <w:hyperlink r:id="rId442">
              <w:r>
                <w:rPr>
                  <w:rFonts w:ascii="Arial" w:cs="Arial" w:eastAsia="Arial" w:hAnsi="Arial"/>
                  <w:sz w:val="18"/>
                  <w:szCs w:val="18"/>
                  <w:color w:val="0000FF"/>
                  <w:w w:val="90"/>
                </w:rPr>
                <w:t>Amended and Restated Employment Agreement by and between the Registrant and</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85"/>
              </w:rPr>
              <w:t>10.5</w:t>
            </w:r>
          </w:p>
        </w:tc>
        <w:tc>
          <w:tcPr>
            <w:tcW w:w="1580" w:type="dxa"/>
            <w:vAlign w:val="bottom"/>
          </w:tcPr>
          <w:p>
            <w:pPr>
              <w:jc w:val="right"/>
              <w:spacing w:after="0"/>
              <w:rPr>
                <w:sz w:val="20"/>
                <w:szCs w:val="20"/>
                <w:color w:val="auto"/>
              </w:rPr>
            </w:pPr>
            <w:r>
              <w:rPr>
                <w:rFonts w:ascii="Arial" w:cs="Arial" w:eastAsia="Arial" w:hAnsi="Arial"/>
                <w:sz w:val="18"/>
                <w:szCs w:val="18"/>
                <w:color w:val="auto"/>
              </w:rPr>
              <w:t>March 5, 2018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42">
              <w:r>
                <w:rPr>
                  <w:rFonts w:ascii="Arial" w:cs="Arial" w:eastAsia="Arial" w:hAnsi="Arial"/>
                  <w:sz w:val="18"/>
                  <w:szCs w:val="18"/>
                  <w:color w:val="0000FF"/>
                </w:rPr>
                <w:t>Scott Wolchko, dated January 14, 2018</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10.6#</w:t>
            </w:r>
          </w:p>
        </w:tc>
        <w:tc>
          <w:tcPr>
            <w:tcW w:w="6080" w:type="dxa"/>
            <w:vAlign w:val="bottom"/>
            <w:gridSpan w:val="25"/>
          </w:tcPr>
          <w:p>
            <w:pPr>
              <w:spacing w:after="0"/>
              <w:rPr>
                <w:rFonts w:ascii="Arial" w:cs="Arial" w:eastAsia="Arial" w:hAnsi="Arial"/>
                <w:sz w:val="18"/>
                <w:szCs w:val="18"/>
                <w:color w:val="0000FF"/>
              </w:rPr>
            </w:pPr>
            <w:hyperlink r:id="rId443">
              <w:r>
                <w:rPr>
                  <w:rFonts w:ascii="Arial" w:cs="Arial" w:eastAsia="Arial" w:hAnsi="Arial"/>
                  <w:sz w:val="18"/>
                  <w:szCs w:val="18"/>
                  <w:color w:val="0000FF"/>
                </w:rPr>
                <w:t>Amended and Restated Senior Executive Incentive Bonus Plan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5"/>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January 7, 2015</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10.7#</w:t>
            </w:r>
          </w:p>
        </w:tc>
        <w:tc>
          <w:tcPr>
            <w:tcW w:w="6080" w:type="dxa"/>
            <w:vAlign w:val="bottom"/>
            <w:gridSpan w:val="25"/>
          </w:tcPr>
          <w:p>
            <w:pPr>
              <w:spacing w:after="0"/>
              <w:rPr>
                <w:rFonts w:ascii="Arial" w:cs="Arial" w:eastAsia="Arial" w:hAnsi="Arial"/>
                <w:sz w:val="18"/>
                <w:szCs w:val="18"/>
                <w:color w:val="0000FF"/>
              </w:rPr>
            </w:pPr>
            <w:hyperlink r:id="rId444">
              <w:r>
                <w:rPr>
                  <w:rFonts w:ascii="Arial" w:cs="Arial" w:eastAsia="Arial" w:hAnsi="Arial"/>
                  <w:sz w:val="18"/>
                  <w:szCs w:val="18"/>
                  <w:color w:val="0000FF"/>
                </w:rPr>
                <w:t>Amended and Restated Non-Employee Director Compensation Policy</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85"/>
              </w:rPr>
              <w:t>10.1</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10.8#</w:t>
            </w:r>
          </w:p>
        </w:tc>
        <w:tc>
          <w:tcPr>
            <w:tcW w:w="6080" w:type="dxa"/>
            <w:vAlign w:val="bottom"/>
            <w:gridSpan w:val="25"/>
          </w:tcPr>
          <w:p>
            <w:pPr>
              <w:spacing w:after="0"/>
              <w:rPr>
                <w:rFonts w:ascii="Arial" w:cs="Arial" w:eastAsia="Arial" w:hAnsi="Arial"/>
                <w:sz w:val="18"/>
                <w:szCs w:val="18"/>
                <w:color w:val="0000FF"/>
              </w:rPr>
            </w:pPr>
            <w:hyperlink r:id="rId445">
              <w:r>
                <w:rPr>
                  <w:rFonts w:ascii="Arial" w:cs="Arial" w:eastAsia="Arial" w:hAnsi="Arial"/>
                  <w:sz w:val="18"/>
                  <w:szCs w:val="18"/>
                  <w:color w:val="0000FF"/>
                </w:rPr>
                <w:t>Fate Therapeutics, Inc. Amended and Restated Inducement Equity Plan</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85"/>
              </w:rPr>
              <w:t>10.8</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10.9#</w:t>
            </w:r>
          </w:p>
        </w:tc>
        <w:tc>
          <w:tcPr>
            <w:tcW w:w="6080" w:type="dxa"/>
            <w:vAlign w:val="bottom"/>
            <w:gridSpan w:val="25"/>
          </w:tcPr>
          <w:p>
            <w:pPr>
              <w:spacing w:after="0"/>
              <w:rPr>
                <w:rFonts w:ascii="Arial" w:cs="Arial" w:eastAsia="Arial" w:hAnsi="Arial"/>
                <w:sz w:val="18"/>
                <w:szCs w:val="18"/>
                <w:color w:val="0000FF"/>
                <w:w w:val="90"/>
              </w:rPr>
            </w:pPr>
            <w:hyperlink r:id="rId446">
              <w:r>
                <w:rPr>
                  <w:rFonts w:ascii="Arial" w:cs="Arial" w:eastAsia="Arial" w:hAnsi="Arial"/>
                  <w:sz w:val="18"/>
                  <w:szCs w:val="18"/>
                  <w:color w:val="0000FF"/>
                  <w:w w:val="90"/>
                </w:rPr>
                <w:t>Forms of Stock Option Agreement under Fate Therapeutics, Inc. Inducement Equity</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85"/>
              </w:rPr>
              <w:t>10.9</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46">
              <w:r>
                <w:rPr>
                  <w:rFonts w:ascii="Arial" w:cs="Arial" w:eastAsia="Arial" w:hAnsi="Arial"/>
                  <w:sz w:val="18"/>
                  <w:szCs w:val="18"/>
                  <w:color w:val="0000FF"/>
                </w:rPr>
                <w:t>Plan</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72"/>
              <w:spacing w:after="0"/>
              <w:rPr>
                <w:sz w:val="20"/>
                <w:szCs w:val="20"/>
                <w:color w:val="auto"/>
              </w:rPr>
            </w:pPr>
            <w:r>
              <w:rPr>
                <w:rFonts w:ascii="Arial" w:cs="Arial" w:eastAsia="Arial" w:hAnsi="Arial"/>
                <w:sz w:val="18"/>
                <w:szCs w:val="18"/>
                <w:color w:val="auto"/>
                <w:w w:val="90"/>
              </w:rPr>
              <w:t>10.10#</w:t>
            </w:r>
          </w:p>
        </w:tc>
        <w:tc>
          <w:tcPr>
            <w:tcW w:w="6080" w:type="dxa"/>
            <w:vAlign w:val="bottom"/>
            <w:gridSpan w:val="25"/>
          </w:tcPr>
          <w:p>
            <w:pPr>
              <w:spacing w:after="0"/>
              <w:rPr>
                <w:rFonts w:ascii="Arial" w:cs="Arial" w:eastAsia="Arial" w:hAnsi="Arial"/>
                <w:sz w:val="18"/>
                <w:szCs w:val="18"/>
                <w:color w:val="0000FF"/>
                <w:w w:val="95"/>
              </w:rPr>
            </w:pPr>
            <w:hyperlink r:id="rId447">
              <w:r>
                <w:rPr>
                  <w:rFonts w:ascii="Arial" w:cs="Arial" w:eastAsia="Arial" w:hAnsi="Arial"/>
                  <w:sz w:val="18"/>
                  <w:szCs w:val="18"/>
                  <w:color w:val="0000FF"/>
                  <w:w w:val="95"/>
                </w:rPr>
                <w:t>Forms of Restricted Stock Unit Award Agreement under Fate Therapeutics, Inc.</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93"/>
              </w:rPr>
              <w:t>10.10</w:t>
            </w:r>
          </w:p>
        </w:tc>
        <w:tc>
          <w:tcPr>
            <w:tcW w:w="1580" w:type="dxa"/>
            <w:vAlign w:val="bottom"/>
          </w:tcPr>
          <w:p>
            <w:pPr>
              <w:jc w:val="right"/>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40" w:type="dxa"/>
            <w:vAlign w:val="bottom"/>
            <w:tcBorders>
              <w:righ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47">
              <w:r>
                <w:rPr>
                  <w:rFonts w:ascii="Arial" w:cs="Arial" w:eastAsia="Arial" w:hAnsi="Arial"/>
                  <w:sz w:val="18"/>
                  <w:szCs w:val="18"/>
                  <w:color w:val="0000FF"/>
                </w:rPr>
                <w:t>Inducement Equity Plan</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EE"/>
            </w:tcBorders>
            <w:gridSpan w:val="4"/>
            <w:shd w:val="clear" w:color="auto" w:fill="0000FF"/>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10.11</w:t>
            </w:r>
          </w:p>
        </w:tc>
        <w:tc>
          <w:tcPr>
            <w:tcW w:w="6080" w:type="dxa"/>
            <w:vAlign w:val="bottom"/>
            <w:gridSpan w:val="25"/>
          </w:tcPr>
          <w:p>
            <w:pPr>
              <w:spacing w:after="0"/>
              <w:rPr>
                <w:rFonts w:ascii="Arial" w:cs="Arial" w:eastAsia="Arial" w:hAnsi="Arial"/>
                <w:sz w:val="18"/>
                <w:szCs w:val="18"/>
                <w:color w:val="0000FF"/>
                <w:w w:val="96"/>
              </w:rPr>
            </w:pPr>
            <w:hyperlink r:id="rId448">
              <w:r>
                <w:rPr>
                  <w:rFonts w:ascii="Arial" w:cs="Arial" w:eastAsia="Arial" w:hAnsi="Arial"/>
                  <w:sz w:val="18"/>
                  <w:szCs w:val="18"/>
                  <w:color w:val="0000FF"/>
                  <w:w w:val="96"/>
                </w:rPr>
                <w:t>Lease Agreement by and between the Registrant and ARE-3535/3565 General</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93"/>
              </w:rPr>
              <w:t>10.14</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13, 2013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40" w:type="dxa"/>
            <w:vAlign w:val="bottom"/>
            <w:tcBorders>
              <w:right w:val="single" w:sz="8" w:color="0000FF"/>
            </w:tcBorders>
            <w:gridSpan w:val="10"/>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48">
              <w:r>
                <w:rPr>
                  <w:rFonts w:ascii="Arial" w:cs="Arial" w:eastAsia="Arial" w:hAnsi="Arial"/>
                  <w:sz w:val="18"/>
                  <w:szCs w:val="18"/>
                  <w:color w:val="0000FF"/>
                </w:rPr>
                <w:t>Atomics Court, LLC, dated December 3, 2009</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340" w:type="dxa"/>
            <w:vAlign w:val="bottom"/>
            <w:tcBorders>
              <w:right w:val="single" w:sz="8" w:color="0000EE"/>
            </w:tcBorders>
            <w:gridSpan w:val="10"/>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10.12</w:t>
            </w:r>
          </w:p>
        </w:tc>
        <w:tc>
          <w:tcPr>
            <w:tcW w:w="6080" w:type="dxa"/>
            <w:vAlign w:val="bottom"/>
            <w:gridSpan w:val="25"/>
          </w:tcPr>
          <w:p>
            <w:pPr>
              <w:spacing w:after="0"/>
              <w:rPr>
                <w:rFonts w:ascii="Arial" w:cs="Arial" w:eastAsia="Arial" w:hAnsi="Arial"/>
                <w:sz w:val="18"/>
                <w:szCs w:val="18"/>
                <w:color w:val="0000FF"/>
                <w:w w:val="95"/>
              </w:rPr>
            </w:pPr>
            <w:hyperlink r:id="rId449">
              <w:r>
                <w:rPr>
                  <w:rFonts w:ascii="Arial" w:cs="Arial" w:eastAsia="Arial" w:hAnsi="Arial"/>
                  <w:sz w:val="18"/>
                  <w:szCs w:val="18"/>
                  <w:color w:val="0000FF"/>
                  <w:w w:val="95"/>
                </w:rPr>
                <w:t>First Amendment to Lease Agreement by and between the Registrant and ARE-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93"/>
              </w:rPr>
              <w:t>10.15</w:t>
            </w:r>
          </w:p>
        </w:tc>
        <w:tc>
          <w:tcPr>
            <w:tcW w:w="1580" w:type="dxa"/>
            <w:vAlign w:val="bottom"/>
          </w:tcPr>
          <w:p>
            <w:pPr>
              <w:jc w:val="right"/>
              <w:spacing w:after="0"/>
              <w:rPr>
                <w:sz w:val="20"/>
                <w:szCs w:val="20"/>
                <w:color w:val="auto"/>
              </w:rPr>
            </w:pPr>
            <w:r>
              <w:rPr>
                <w:rFonts w:ascii="Arial" w:cs="Arial" w:eastAsia="Arial" w:hAnsi="Arial"/>
                <w:sz w:val="18"/>
                <w:szCs w:val="18"/>
                <w:color w:val="auto"/>
              </w:rPr>
              <w:t>August 13, 2013</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4360" w:type="dxa"/>
            <w:vAlign w:val="bottom"/>
            <w:tcBorders>
              <w:right w:val="single" w:sz="8" w:color="0000FF"/>
            </w:tcBorders>
            <w:gridSpan w:val="11"/>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49">
              <w:r>
                <w:rPr>
                  <w:rFonts w:ascii="Arial" w:cs="Arial" w:eastAsia="Arial" w:hAnsi="Arial"/>
                  <w:sz w:val="18"/>
                  <w:szCs w:val="18"/>
                  <w:color w:val="0000FF"/>
                </w:rPr>
                <w:t>3535/3565 General Atomics Court, LLC, dated October 1, 2011</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4360" w:type="dxa"/>
            <w:vAlign w:val="bottom"/>
            <w:tcBorders>
              <w:right w:val="single" w:sz="8" w:color="0000FF"/>
            </w:tcBorders>
            <w:gridSpan w:val="11"/>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10.13</w:t>
            </w:r>
          </w:p>
        </w:tc>
        <w:tc>
          <w:tcPr>
            <w:tcW w:w="6080" w:type="dxa"/>
            <w:vAlign w:val="bottom"/>
            <w:gridSpan w:val="25"/>
          </w:tcPr>
          <w:p>
            <w:pPr>
              <w:spacing w:after="0"/>
              <w:rPr>
                <w:rFonts w:ascii="Arial" w:cs="Arial" w:eastAsia="Arial" w:hAnsi="Arial"/>
                <w:sz w:val="18"/>
                <w:szCs w:val="18"/>
                <w:color w:val="0000FF"/>
                <w:w w:val="91"/>
              </w:rPr>
            </w:pPr>
            <w:hyperlink r:id="rId450">
              <w:r>
                <w:rPr>
                  <w:rFonts w:ascii="Arial" w:cs="Arial" w:eastAsia="Arial" w:hAnsi="Arial"/>
                  <w:sz w:val="18"/>
                  <w:szCs w:val="18"/>
                  <w:color w:val="0000FF"/>
                  <w:w w:val="91"/>
                </w:rPr>
                <w:t>Second Amendment to Lease Agreement by and between the Registrant and ARE-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93"/>
              </w:rPr>
              <w:t>10.25</w:t>
            </w:r>
          </w:p>
        </w:tc>
        <w:tc>
          <w:tcPr>
            <w:tcW w:w="1580" w:type="dxa"/>
            <w:vAlign w:val="bottom"/>
          </w:tcPr>
          <w:p>
            <w:pPr>
              <w:jc w:val="right"/>
              <w:spacing w:after="0"/>
              <w:rPr>
                <w:sz w:val="20"/>
                <w:szCs w:val="20"/>
                <w:color w:val="auto"/>
              </w:rPr>
            </w:pPr>
            <w:r>
              <w:rPr>
                <w:rFonts w:ascii="Arial" w:cs="Arial" w:eastAsia="Arial" w:hAnsi="Arial"/>
                <w:sz w:val="18"/>
                <w:szCs w:val="18"/>
                <w:color w:val="auto"/>
                <w:w w:val="95"/>
              </w:rPr>
              <w:t>September 30, 2013</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4360" w:type="dxa"/>
            <w:vAlign w:val="bottom"/>
            <w:tcBorders>
              <w:right w:val="single" w:sz="8" w:color="0000FF"/>
            </w:tcBorders>
            <w:gridSpan w:val="11"/>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9"/>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50">
              <w:r>
                <w:rPr>
                  <w:rFonts w:ascii="Arial" w:cs="Arial" w:eastAsia="Arial" w:hAnsi="Arial"/>
                  <w:sz w:val="18"/>
                  <w:szCs w:val="18"/>
                  <w:color w:val="0000FF"/>
                </w:rPr>
                <w:t>3535/3565 General Atomics Court, dated September 26, 2013</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4360" w:type="dxa"/>
            <w:vAlign w:val="bottom"/>
            <w:tcBorders>
              <w:right w:val="single" w:sz="8" w:color="0000FF"/>
            </w:tcBorders>
            <w:gridSpan w:val="11"/>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0" w:type="dxa"/>
            <w:vAlign w:val="bottom"/>
          </w:tcPr>
          <w:p>
            <w:pPr>
              <w:jc w:val="center"/>
              <w:ind w:right="252"/>
              <w:spacing w:after="0"/>
              <w:rPr>
                <w:sz w:val="20"/>
                <w:szCs w:val="20"/>
                <w:color w:val="auto"/>
              </w:rPr>
            </w:pPr>
            <w:r>
              <w:rPr>
                <w:rFonts w:ascii="Arial" w:cs="Arial" w:eastAsia="Arial" w:hAnsi="Arial"/>
                <w:sz w:val="18"/>
                <w:szCs w:val="18"/>
                <w:color w:val="auto"/>
                <w:w w:val="88"/>
              </w:rPr>
              <w:t>10.14</w:t>
            </w:r>
          </w:p>
        </w:tc>
        <w:tc>
          <w:tcPr>
            <w:tcW w:w="6080" w:type="dxa"/>
            <w:vAlign w:val="bottom"/>
            <w:gridSpan w:val="25"/>
          </w:tcPr>
          <w:p>
            <w:pPr>
              <w:spacing w:after="0"/>
              <w:rPr>
                <w:rFonts w:ascii="Arial" w:cs="Arial" w:eastAsia="Arial" w:hAnsi="Arial"/>
                <w:sz w:val="18"/>
                <w:szCs w:val="18"/>
                <w:color w:val="0000FF"/>
                <w:w w:val="94"/>
              </w:rPr>
            </w:pPr>
            <w:hyperlink r:id="rId451">
              <w:r>
                <w:rPr>
                  <w:rFonts w:ascii="Arial" w:cs="Arial" w:eastAsia="Arial" w:hAnsi="Arial"/>
                  <w:sz w:val="18"/>
                  <w:szCs w:val="18"/>
                  <w:color w:val="0000FF"/>
                  <w:w w:val="94"/>
                </w:rPr>
                <w:t>Third Amendment to Lease Agreement by and between the Registrant and ARE-</w:t>
              </w:r>
            </w:hyperlink>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00" w:type="dxa"/>
            <w:vAlign w:val="bottom"/>
          </w:tcPr>
          <w:p>
            <w:pPr>
              <w:jc w:val="center"/>
              <w:ind w:right="11"/>
              <w:spacing w:after="0"/>
              <w:rPr>
                <w:sz w:val="20"/>
                <w:szCs w:val="20"/>
                <w:color w:val="auto"/>
              </w:rPr>
            </w:pPr>
            <w:r>
              <w:rPr>
                <w:rFonts w:ascii="Arial" w:cs="Arial" w:eastAsia="Arial" w:hAnsi="Arial"/>
                <w:sz w:val="18"/>
                <w:szCs w:val="18"/>
                <w:color w:val="252525"/>
                <w:w w:val="93"/>
              </w:rPr>
              <w:t>10.15</w:t>
            </w:r>
          </w:p>
        </w:tc>
        <w:tc>
          <w:tcPr>
            <w:tcW w:w="1580" w:type="dxa"/>
            <w:vAlign w:val="bottom"/>
          </w:tcPr>
          <w:p>
            <w:pPr>
              <w:jc w:val="right"/>
              <w:spacing w:after="0"/>
              <w:rPr>
                <w:sz w:val="20"/>
                <w:szCs w:val="20"/>
                <w:color w:val="auto"/>
              </w:rPr>
            </w:pPr>
            <w:r>
              <w:rPr>
                <w:rFonts w:ascii="Arial" w:cs="Arial" w:eastAsia="Arial" w:hAnsi="Arial"/>
                <w:sz w:val="18"/>
                <w:szCs w:val="18"/>
                <w:color w:val="auto"/>
              </w:rPr>
              <w:t>March 3, 2016</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4360" w:type="dxa"/>
            <w:vAlign w:val="bottom"/>
            <w:tcBorders>
              <w:right w:val="single" w:sz="8" w:color="0000FF"/>
            </w:tcBorders>
            <w:gridSpan w:val="11"/>
            <w:shd w:val="clear" w:color="auto" w:fill="0000FF"/>
          </w:tcPr>
          <w:p>
            <w:pPr>
              <w:spacing w:after="0" w:line="20" w:lineRule="exact"/>
              <w:rPr>
                <w:sz w:val="1"/>
                <w:szCs w:val="1"/>
                <w:color w:val="auto"/>
              </w:rPr>
            </w:pPr>
          </w:p>
        </w:tc>
        <w:tc>
          <w:tcPr>
            <w:tcW w:w="1440" w:type="dxa"/>
            <w:vAlign w:val="bottom"/>
            <w:gridSpan w:val="10"/>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FF"/>
              </w:rPr>
            </w:pPr>
            <w:hyperlink r:id="rId451">
              <w:r>
                <w:rPr>
                  <w:rFonts w:ascii="Arial" w:cs="Arial" w:eastAsia="Arial" w:hAnsi="Arial"/>
                  <w:sz w:val="18"/>
                  <w:szCs w:val="18"/>
                  <w:color w:val="0000FF"/>
                </w:rPr>
                <w:t>3535/3565 General Atomics Court, dated September 2, 2014</w:t>
              </w:r>
            </w:hyperlink>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7320" w:type="dxa"/>
            <w:vAlign w:val="bottom"/>
            <w:gridSpan w:val="18"/>
          </w:tcPr>
          <w:p>
            <w:pPr>
              <w:spacing w:after="0"/>
              <w:rPr>
                <w:sz w:val="20"/>
                <w:szCs w:val="20"/>
                <w:color w:val="auto"/>
              </w:rPr>
            </w:pPr>
            <w:r>
              <w:rPr>
                <w:rFonts w:ascii="Arial" w:cs="Arial" w:eastAsia="Arial" w:hAnsi="Arial"/>
                <w:sz w:val="18"/>
                <w:szCs w:val="18"/>
                <w:color w:val="0000FF"/>
              </w:rPr>
              <w:t>Table of Contents</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74"/>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6140" w:type="dxa"/>
            <w:vAlign w:val="bottom"/>
            <w:gridSpan w:val="17"/>
          </w:tcPr>
          <w:p>
            <w:pPr>
              <w:spacing w:after="0"/>
              <w:rPr>
                <w:rFonts w:ascii="Arial" w:cs="Arial" w:eastAsia="Arial" w:hAnsi="Arial"/>
                <w:sz w:val="18"/>
                <w:szCs w:val="18"/>
                <w:color w:val="0000FF"/>
                <w:w w:val="93"/>
              </w:rPr>
            </w:pPr>
            <w:hyperlink r:id="rId453">
              <w:r>
                <w:rPr>
                  <w:rFonts w:ascii="Arial" w:cs="Arial" w:eastAsia="Arial" w:hAnsi="Arial"/>
                  <w:sz w:val="18"/>
                  <w:szCs w:val="18"/>
                  <w:color w:val="0000FF"/>
                  <w:w w:val="93"/>
                </w:rPr>
                <w:t>Fourth Amendment to Lease Agreement by and between the Registrant and ARE-</w:t>
              </w:r>
            </w:hyperlink>
          </w:p>
        </w:tc>
        <w:tc>
          <w:tcPr>
            <w:tcW w:w="60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252525"/>
                <w:w w:val="93"/>
              </w:rPr>
              <w:t>10.16</w:t>
            </w:r>
          </w:p>
        </w:tc>
        <w:tc>
          <w:tcPr>
            <w:tcW w:w="1600" w:type="dxa"/>
            <w:vAlign w:val="bottom"/>
          </w:tcPr>
          <w:p>
            <w:pPr>
              <w:jc w:val="right"/>
              <w:spacing w:after="0"/>
              <w:rPr>
                <w:sz w:val="20"/>
                <w:szCs w:val="20"/>
                <w:color w:val="auto"/>
              </w:rPr>
            </w:pPr>
            <w:r>
              <w:rPr>
                <w:rFonts w:ascii="Arial" w:cs="Arial" w:eastAsia="Arial" w:hAnsi="Arial"/>
                <w:sz w:val="18"/>
                <w:szCs w:val="18"/>
                <w:color w:val="auto"/>
              </w:rPr>
              <w:t>March 3, 2016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53">
              <w:r>
                <w:rPr>
                  <w:rFonts w:ascii="Arial" w:cs="Arial" w:eastAsia="Arial" w:hAnsi="Arial"/>
                  <w:sz w:val="18"/>
                  <w:szCs w:val="18"/>
                  <w:color w:val="0000FF"/>
                </w:rPr>
                <w:t>3535/3565 General Atomics Court, dated March 2, 2015</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6140" w:type="dxa"/>
            <w:vAlign w:val="bottom"/>
            <w:gridSpan w:val="17"/>
          </w:tcPr>
          <w:p>
            <w:pPr>
              <w:spacing w:after="0"/>
              <w:rPr>
                <w:rFonts w:ascii="Arial" w:cs="Arial" w:eastAsia="Arial" w:hAnsi="Arial"/>
                <w:sz w:val="18"/>
                <w:szCs w:val="18"/>
                <w:color w:val="0000FF"/>
                <w:w w:val="96"/>
              </w:rPr>
            </w:pPr>
            <w:hyperlink r:id="rId454">
              <w:r>
                <w:rPr>
                  <w:rFonts w:ascii="Arial" w:cs="Arial" w:eastAsia="Arial" w:hAnsi="Arial"/>
                  <w:sz w:val="18"/>
                  <w:szCs w:val="18"/>
                  <w:color w:val="0000FF"/>
                  <w:w w:val="96"/>
                </w:rPr>
                <w:t>Fifth Amendment to Lease Agreement by and between the Registrant and ARE-</w:t>
              </w:r>
            </w:hyperlink>
          </w:p>
        </w:tc>
        <w:tc>
          <w:tcPr>
            <w:tcW w:w="600" w:type="dxa"/>
            <w:vAlign w:val="bottom"/>
          </w:tcPr>
          <w:p>
            <w:pPr>
              <w:jc w:val="center"/>
              <w:spacing w:after="0"/>
              <w:rPr>
                <w:sz w:val="20"/>
                <w:szCs w:val="20"/>
                <w:color w:val="auto"/>
              </w:rPr>
            </w:pPr>
            <w:r>
              <w:rPr>
                <w:rFonts w:ascii="Arial" w:cs="Arial" w:eastAsia="Arial" w:hAnsi="Arial"/>
                <w:sz w:val="18"/>
                <w:szCs w:val="18"/>
                <w:color w:val="252525"/>
                <w:w w:val="94"/>
              </w:rPr>
              <w:t>10-Q</w:t>
            </w:r>
          </w:p>
        </w:tc>
        <w:tc>
          <w:tcPr>
            <w:tcW w:w="106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252525"/>
                <w:w w:val="85"/>
              </w:rPr>
              <w:t>10.2</w:t>
            </w:r>
          </w:p>
        </w:tc>
        <w:tc>
          <w:tcPr>
            <w:tcW w:w="1600" w:type="dxa"/>
            <w:vAlign w:val="bottom"/>
          </w:tcPr>
          <w:p>
            <w:pPr>
              <w:jc w:val="right"/>
              <w:spacing w:after="0"/>
              <w:rPr>
                <w:sz w:val="20"/>
                <w:szCs w:val="20"/>
                <w:color w:val="auto"/>
              </w:rPr>
            </w:pPr>
            <w:r>
              <w:rPr>
                <w:rFonts w:ascii="Arial" w:cs="Arial" w:eastAsia="Arial" w:hAnsi="Arial"/>
                <w:sz w:val="18"/>
                <w:szCs w:val="18"/>
                <w:color w:val="auto"/>
              </w:rPr>
              <w:t>August 8, 2016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54">
              <w:r>
                <w:rPr>
                  <w:rFonts w:ascii="Arial" w:cs="Arial" w:eastAsia="Arial" w:hAnsi="Arial"/>
                  <w:sz w:val="18"/>
                  <w:szCs w:val="18"/>
                  <w:color w:val="0000FF"/>
                </w:rPr>
                <w:t>3535/3565 General Atomics Court, dated June 1, 2016</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6140" w:type="dxa"/>
            <w:vAlign w:val="bottom"/>
            <w:gridSpan w:val="17"/>
          </w:tcPr>
          <w:p>
            <w:pPr>
              <w:spacing w:after="0"/>
              <w:rPr>
                <w:rFonts w:ascii="Arial" w:cs="Arial" w:eastAsia="Arial" w:hAnsi="Arial"/>
                <w:sz w:val="18"/>
                <w:szCs w:val="18"/>
                <w:color w:val="0000FF"/>
              </w:rPr>
            </w:pPr>
            <w:hyperlink r:id="rId455">
              <w:r>
                <w:rPr>
                  <w:rFonts w:ascii="Arial" w:cs="Arial" w:eastAsia="Arial" w:hAnsi="Arial"/>
                  <w:sz w:val="18"/>
                  <w:szCs w:val="18"/>
                  <w:color w:val="0000FF"/>
                </w:rPr>
                <w:t>Form of Indemnification Agreement</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333-190608</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600" w:type="dxa"/>
            <w:vAlign w:val="bottom"/>
          </w:tcPr>
          <w:p>
            <w:pPr>
              <w:jc w:val="right"/>
              <w:spacing w:after="0"/>
              <w:rPr>
                <w:sz w:val="20"/>
                <w:szCs w:val="20"/>
                <w:color w:val="auto"/>
              </w:rPr>
            </w:pPr>
            <w:r>
              <w:rPr>
                <w:rFonts w:ascii="Arial" w:cs="Arial" w:eastAsia="Arial" w:hAnsi="Arial"/>
                <w:sz w:val="18"/>
                <w:szCs w:val="18"/>
                <w:color w:val="auto"/>
              </w:rPr>
              <w:t>August 29, 2013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10.18†</w:t>
            </w:r>
          </w:p>
        </w:tc>
        <w:tc>
          <w:tcPr>
            <w:tcW w:w="6140" w:type="dxa"/>
            <w:vAlign w:val="bottom"/>
            <w:gridSpan w:val="17"/>
          </w:tcPr>
          <w:p>
            <w:pPr>
              <w:spacing w:after="0"/>
              <w:rPr>
                <w:rFonts w:ascii="Arial" w:cs="Arial" w:eastAsia="Arial" w:hAnsi="Arial"/>
                <w:sz w:val="18"/>
                <w:szCs w:val="18"/>
                <w:color w:val="0000FF"/>
                <w:w w:val="93"/>
              </w:rPr>
            </w:pPr>
            <w:hyperlink r:id="rId456">
              <w:r>
                <w:rPr>
                  <w:rFonts w:ascii="Arial" w:cs="Arial" w:eastAsia="Arial" w:hAnsi="Arial"/>
                  <w:sz w:val="18"/>
                  <w:szCs w:val="18"/>
                  <w:color w:val="0000FF"/>
                  <w:w w:val="93"/>
                </w:rPr>
                <w:t>Whitehead Institute for Biomedical Research Exclusive Patent License Agreement</w:t>
              </w:r>
            </w:hyperlink>
          </w:p>
        </w:tc>
        <w:tc>
          <w:tcPr>
            <w:tcW w:w="60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252525"/>
                <w:w w:val="93"/>
              </w:rPr>
              <w:t>10.19</w:t>
            </w:r>
          </w:p>
        </w:tc>
        <w:tc>
          <w:tcPr>
            <w:tcW w:w="1600" w:type="dxa"/>
            <w:vAlign w:val="bottom"/>
          </w:tcPr>
          <w:p>
            <w:pPr>
              <w:jc w:val="right"/>
              <w:spacing w:after="0"/>
              <w:rPr>
                <w:sz w:val="20"/>
                <w:szCs w:val="20"/>
                <w:color w:val="auto"/>
              </w:rPr>
            </w:pPr>
            <w:r>
              <w:rPr>
                <w:rFonts w:ascii="Arial" w:cs="Arial" w:eastAsia="Arial" w:hAnsi="Arial"/>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w w:val="91"/>
              </w:rPr>
            </w:pPr>
            <w:hyperlink r:id="rId456">
              <w:r>
                <w:rPr>
                  <w:rFonts w:ascii="Arial" w:cs="Arial" w:eastAsia="Arial" w:hAnsi="Arial"/>
                  <w:sz w:val="18"/>
                  <w:szCs w:val="18"/>
                  <w:color w:val="0000FF"/>
                  <w:w w:val="91"/>
                </w:rPr>
                <w:t>between the Registrant and the Whitehead Institute for Biomedical Research, dated</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56">
              <w:r>
                <w:rPr>
                  <w:rFonts w:ascii="Arial" w:cs="Arial" w:eastAsia="Arial" w:hAnsi="Arial"/>
                  <w:sz w:val="18"/>
                  <w:szCs w:val="18"/>
                  <w:color w:val="0000FF"/>
                </w:rPr>
                <w:t>as of February 24, 2009</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10.19†</w:t>
            </w:r>
          </w:p>
        </w:tc>
        <w:tc>
          <w:tcPr>
            <w:tcW w:w="6140" w:type="dxa"/>
            <w:vAlign w:val="bottom"/>
            <w:gridSpan w:val="17"/>
          </w:tcPr>
          <w:p>
            <w:pPr>
              <w:spacing w:after="0"/>
              <w:rPr>
                <w:rFonts w:ascii="Arial" w:cs="Arial" w:eastAsia="Arial" w:hAnsi="Arial"/>
                <w:sz w:val="18"/>
                <w:szCs w:val="18"/>
                <w:color w:val="0000FF"/>
                <w:w w:val="89"/>
              </w:rPr>
            </w:pPr>
            <w:hyperlink r:id="rId457">
              <w:r>
                <w:rPr>
                  <w:rFonts w:ascii="Arial" w:cs="Arial" w:eastAsia="Arial" w:hAnsi="Arial"/>
                  <w:sz w:val="18"/>
                  <w:szCs w:val="18"/>
                  <w:color w:val="0000FF"/>
                  <w:w w:val="89"/>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252525"/>
                <w:w w:val="93"/>
              </w:rPr>
              <w:t>10.20</w:t>
            </w:r>
          </w:p>
        </w:tc>
        <w:tc>
          <w:tcPr>
            <w:tcW w:w="1600" w:type="dxa"/>
            <w:vAlign w:val="bottom"/>
          </w:tcPr>
          <w:p>
            <w:pPr>
              <w:jc w:val="right"/>
              <w:spacing w:after="0"/>
              <w:rPr>
                <w:sz w:val="20"/>
                <w:szCs w:val="20"/>
                <w:color w:val="auto"/>
              </w:rPr>
            </w:pPr>
            <w:r>
              <w:rPr>
                <w:rFonts w:ascii="Arial" w:cs="Arial" w:eastAsia="Arial" w:hAnsi="Arial"/>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57">
              <w:r>
                <w:rPr>
                  <w:rFonts w:ascii="Arial" w:cs="Arial" w:eastAsia="Arial" w:hAnsi="Arial"/>
                  <w:sz w:val="18"/>
                  <w:szCs w:val="18"/>
                  <w:color w:val="0000FF"/>
                </w:rPr>
                <w:t>as of July 13, 2009</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10.20†</w:t>
            </w:r>
          </w:p>
        </w:tc>
        <w:tc>
          <w:tcPr>
            <w:tcW w:w="6140" w:type="dxa"/>
            <w:vAlign w:val="bottom"/>
            <w:gridSpan w:val="17"/>
          </w:tcPr>
          <w:p>
            <w:pPr>
              <w:spacing w:after="0"/>
              <w:rPr>
                <w:rFonts w:ascii="Arial" w:cs="Arial" w:eastAsia="Arial" w:hAnsi="Arial"/>
                <w:sz w:val="18"/>
                <w:szCs w:val="18"/>
                <w:color w:val="0000FF"/>
                <w:w w:val="89"/>
              </w:rPr>
            </w:pPr>
            <w:hyperlink r:id="rId458">
              <w:r>
                <w:rPr>
                  <w:rFonts w:ascii="Arial" w:cs="Arial" w:eastAsia="Arial" w:hAnsi="Arial"/>
                  <w:sz w:val="18"/>
                  <w:szCs w:val="18"/>
                  <w:color w:val="0000FF"/>
                  <w:w w:val="89"/>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252525"/>
                <w:w w:val="93"/>
              </w:rPr>
              <w:t>10.21</w:t>
            </w:r>
          </w:p>
        </w:tc>
        <w:tc>
          <w:tcPr>
            <w:tcW w:w="1600" w:type="dxa"/>
            <w:vAlign w:val="bottom"/>
          </w:tcPr>
          <w:p>
            <w:pPr>
              <w:jc w:val="right"/>
              <w:spacing w:after="0"/>
              <w:rPr>
                <w:sz w:val="20"/>
                <w:szCs w:val="20"/>
                <w:color w:val="auto"/>
              </w:rPr>
            </w:pPr>
            <w:r>
              <w:rPr>
                <w:rFonts w:ascii="Arial" w:cs="Arial" w:eastAsia="Arial" w:hAnsi="Arial"/>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58">
              <w:r>
                <w:rPr>
                  <w:rFonts w:ascii="Arial" w:cs="Arial" w:eastAsia="Arial" w:hAnsi="Arial"/>
                  <w:sz w:val="18"/>
                  <w:szCs w:val="18"/>
                  <w:color w:val="0000FF"/>
                </w:rPr>
                <w:t>as of May 25, 2010</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10.21†</w:t>
            </w:r>
          </w:p>
        </w:tc>
        <w:tc>
          <w:tcPr>
            <w:tcW w:w="6140" w:type="dxa"/>
            <w:vAlign w:val="bottom"/>
            <w:gridSpan w:val="17"/>
          </w:tcPr>
          <w:p>
            <w:pPr>
              <w:spacing w:after="0"/>
              <w:rPr>
                <w:rFonts w:ascii="Arial" w:cs="Arial" w:eastAsia="Arial" w:hAnsi="Arial"/>
                <w:sz w:val="18"/>
                <w:szCs w:val="18"/>
                <w:color w:val="0000FF"/>
                <w:w w:val="89"/>
              </w:rPr>
            </w:pPr>
            <w:hyperlink r:id="rId459">
              <w:r>
                <w:rPr>
                  <w:rFonts w:ascii="Arial" w:cs="Arial" w:eastAsia="Arial" w:hAnsi="Arial"/>
                  <w:sz w:val="18"/>
                  <w:szCs w:val="18"/>
                  <w:color w:val="0000FF"/>
                  <w:w w:val="89"/>
                </w:rPr>
                <w:t>License Agreement between the Registrant and The Scripps Research Institute, dated</w:t>
              </w:r>
            </w:hyperlink>
          </w:p>
        </w:tc>
        <w:tc>
          <w:tcPr>
            <w:tcW w:w="60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252525"/>
                <w:w w:val="93"/>
              </w:rPr>
              <w:t>10.22</w:t>
            </w:r>
          </w:p>
        </w:tc>
        <w:tc>
          <w:tcPr>
            <w:tcW w:w="1600" w:type="dxa"/>
            <w:vAlign w:val="bottom"/>
          </w:tcPr>
          <w:p>
            <w:pPr>
              <w:jc w:val="right"/>
              <w:spacing w:after="0"/>
              <w:rPr>
                <w:sz w:val="20"/>
                <w:szCs w:val="20"/>
                <w:color w:val="auto"/>
              </w:rPr>
            </w:pPr>
            <w:r>
              <w:rPr>
                <w:rFonts w:ascii="Arial" w:cs="Arial" w:eastAsia="Arial" w:hAnsi="Arial"/>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59">
              <w:r>
                <w:rPr>
                  <w:rFonts w:ascii="Arial" w:cs="Arial" w:eastAsia="Arial" w:hAnsi="Arial"/>
                  <w:sz w:val="18"/>
                  <w:szCs w:val="18"/>
                  <w:color w:val="0000FF"/>
                </w:rPr>
                <w:t>as of August 24, 2010</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6140" w:type="dxa"/>
            <w:vAlign w:val="bottom"/>
            <w:gridSpan w:val="17"/>
          </w:tcPr>
          <w:p>
            <w:pPr>
              <w:spacing w:after="0"/>
              <w:rPr>
                <w:rFonts w:ascii="Arial" w:cs="Arial" w:eastAsia="Arial" w:hAnsi="Arial"/>
                <w:sz w:val="18"/>
                <w:szCs w:val="18"/>
                <w:color w:val="0000FF"/>
                <w:w w:val="90"/>
              </w:rPr>
            </w:pPr>
            <w:hyperlink r:id="rId460">
              <w:r>
                <w:rPr>
                  <w:rFonts w:ascii="Arial" w:cs="Arial" w:eastAsia="Arial" w:hAnsi="Arial"/>
                  <w:sz w:val="18"/>
                  <w:szCs w:val="18"/>
                  <w:color w:val="0000FF"/>
                  <w:w w:val="90"/>
                </w:rPr>
                <w:t>Securities Purchase Agreement, dated August 6, 2016, by and among the Registrant</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0" w:type="dxa"/>
            <w:vAlign w:val="bottom"/>
          </w:tcPr>
          <w:p>
            <w:pPr>
              <w:jc w:val="right"/>
              <w:spacing w:after="0"/>
              <w:rPr>
                <w:sz w:val="20"/>
                <w:szCs w:val="20"/>
                <w:color w:val="auto"/>
              </w:rPr>
            </w:pPr>
            <w:r>
              <w:rPr>
                <w:rFonts w:ascii="Arial" w:cs="Arial" w:eastAsia="Arial" w:hAnsi="Arial"/>
                <w:sz w:val="18"/>
                <w:szCs w:val="18"/>
                <w:color w:val="auto"/>
              </w:rPr>
              <w:t>August 8, 2016</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60">
              <w:r>
                <w:rPr>
                  <w:rFonts w:ascii="Arial" w:cs="Arial" w:eastAsia="Arial" w:hAnsi="Arial"/>
                  <w:sz w:val="18"/>
                  <w:szCs w:val="18"/>
                  <w:color w:val="0000FF"/>
                </w:rPr>
                <w:t>and the Purchasers</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6140" w:type="dxa"/>
            <w:vAlign w:val="bottom"/>
            <w:gridSpan w:val="17"/>
          </w:tcPr>
          <w:p>
            <w:pPr>
              <w:spacing w:after="0"/>
              <w:rPr>
                <w:rFonts w:ascii="Arial" w:cs="Arial" w:eastAsia="Arial" w:hAnsi="Arial"/>
                <w:sz w:val="18"/>
                <w:szCs w:val="18"/>
                <w:color w:val="0000FF"/>
                <w:w w:val="91"/>
              </w:rPr>
            </w:pPr>
            <w:hyperlink r:id="rId461">
              <w:r>
                <w:rPr>
                  <w:rFonts w:ascii="Arial" w:cs="Arial" w:eastAsia="Arial" w:hAnsi="Arial"/>
                  <w:sz w:val="18"/>
                  <w:szCs w:val="18"/>
                  <w:color w:val="0000FF"/>
                  <w:w w:val="91"/>
                </w:rPr>
                <w:t>Registration Rights Agreement, dated August 6, 2016, by and among the Registrant</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0" w:type="dxa"/>
            <w:vAlign w:val="bottom"/>
          </w:tcPr>
          <w:p>
            <w:pPr>
              <w:jc w:val="right"/>
              <w:spacing w:after="0"/>
              <w:rPr>
                <w:sz w:val="20"/>
                <w:szCs w:val="20"/>
                <w:color w:val="auto"/>
              </w:rPr>
            </w:pPr>
            <w:r>
              <w:rPr>
                <w:rFonts w:ascii="Arial" w:cs="Arial" w:eastAsia="Arial" w:hAnsi="Arial"/>
                <w:sz w:val="18"/>
                <w:szCs w:val="18"/>
                <w:color w:val="auto"/>
              </w:rPr>
              <w:t>August 8, 2016</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61">
              <w:r>
                <w:rPr>
                  <w:rFonts w:ascii="Arial" w:cs="Arial" w:eastAsia="Arial" w:hAnsi="Arial"/>
                  <w:sz w:val="18"/>
                  <w:szCs w:val="18"/>
                  <w:color w:val="0000FF"/>
                </w:rPr>
                <w:t>and the Purchasers</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6140" w:type="dxa"/>
            <w:vAlign w:val="bottom"/>
            <w:gridSpan w:val="17"/>
          </w:tcPr>
          <w:p>
            <w:pPr>
              <w:spacing w:after="0"/>
              <w:rPr>
                <w:rFonts w:ascii="Arial" w:cs="Arial" w:eastAsia="Arial" w:hAnsi="Arial"/>
                <w:sz w:val="18"/>
                <w:szCs w:val="18"/>
                <w:color w:val="0000FF"/>
                <w:w w:val="97"/>
              </w:rPr>
            </w:pPr>
            <w:hyperlink r:id="rId462">
              <w:r>
                <w:rPr>
                  <w:rFonts w:ascii="Arial" w:cs="Arial" w:eastAsia="Arial" w:hAnsi="Arial"/>
                  <w:sz w:val="18"/>
                  <w:szCs w:val="18"/>
                  <w:color w:val="0000FF"/>
                  <w:w w:val="97"/>
                </w:rPr>
                <w:t>Securities Purchase Agreement, dated November 21, 2016, by and among the</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0" w:type="dxa"/>
            <w:vAlign w:val="bottom"/>
          </w:tcPr>
          <w:p>
            <w:pPr>
              <w:jc w:val="right"/>
              <w:spacing w:after="0"/>
              <w:rPr>
                <w:sz w:val="20"/>
                <w:szCs w:val="20"/>
                <w:color w:val="auto"/>
              </w:rPr>
            </w:pPr>
            <w:r>
              <w:rPr>
                <w:rFonts w:ascii="Arial" w:cs="Arial" w:eastAsia="Arial" w:hAnsi="Arial"/>
                <w:sz w:val="18"/>
                <w:szCs w:val="18"/>
                <w:color w:val="auto"/>
                <w:w w:val="98"/>
              </w:rPr>
              <w:t>November 22, 2016</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62">
              <w:r>
                <w:rPr>
                  <w:rFonts w:ascii="Arial" w:cs="Arial" w:eastAsia="Arial" w:hAnsi="Arial"/>
                  <w:sz w:val="18"/>
                  <w:szCs w:val="18"/>
                  <w:color w:val="0000FF"/>
                </w:rPr>
                <w:t>Registrant and the Purchasers</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EE"/>
            </w:tcBorders>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6140" w:type="dxa"/>
            <w:vAlign w:val="bottom"/>
            <w:gridSpan w:val="17"/>
          </w:tcPr>
          <w:p>
            <w:pPr>
              <w:spacing w:after="0"/>
              <w:rPr>
                <w:rFonts w:ascii="Arial" w:cs="Arial" w:eastAsia="Arial" w:hAnsi="Arial"/>
                <w:sz w:val="18"/>
                <w:szCs w:val="18"/>
                <w:color w:val="0000FF"/>
                <w:w w:val="99"/>
              </w:rPr>
            </w:pPr>
            <w:hyperlink r:id="rId463">
              <w:r>
                <w:rPr>
                  <w:rFonts w:ascii="Arial" w:cs="Arial" w:eastAsia="Arial" w:hAnsi="Arial"/>
                  <w:sz w:val="18"/>
                  <w:szCs w:val="18"/>
                  <w:color w:val="0000FF"/>
                  <w:w w:val="99"/>
                </w:rPr>
                <w:t>Registration Rights Agreement, dated November 21, 2016, by and among the</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0" w:type="dxa"/>
            <w:vAlign w:val="bottom"/>
          </w:tcPr>
          <w:p>
            <w:pPr>
              <w:jc w:val="right"/>
              <w:spacing w:after="0"/>
              <w:rPr>
                <w:sz w:val="20"/>
                <w:szCs w:val="20"/>
                <w:color w:val="auto"/>
              </w:rPr>
            </w:pPr>
            <w:r>
              <w:rPr>
                <w:rFonts w:ascii="Arial" w:cs="Arial" w:eastAsia="Arial" w:hAnsi="Arial"/>
                <w:sz w:val="18"/>
                <w:szCs w:val="18"/>
                <w:color w:val="auto"/>
                <w:w w:val="98"/>
              </w:rPr>
              <w:t>November 22, 2016</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580" w:type="dxa"/>
            <w:vAlign w:val="bottom"/>
            <w:tcBorders>
              <w:right w:val="single" w:sz="8" w:color="0000FF"/>
            </w:tcBorders>
            <w:gridSpan w:val="6"/>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FF"/>
              </w:rPr>
            </w:pPr>
            <w:hyperlink r:id="rId463">
              <w:r>
                <w:rPr>
                  <w:rFonts w:ascii="Arial" w:cs="Arial" w:eastAsia="Arial" w:hAnsi="Arial"/>
                  <w:sz w:val="18"/>
                  <w:szCs w:val="18"/>
                  <w:color w:val="0000FF"/>
                </w:rPr>
                <w:t>Registrant and the Purchasers</w:t>
              </w:r>
            </w:hyperlink>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80" w:type="dxa"/>
            <w:vAlign w:val="bottom"/>
            <w:tcBorders>
              <w:right w:val="single" w:sz="8" w:color="0000EE"/>
            </w:tcBorders>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10.26#</w:t>
            </w:r>
          </w:p>
        </w:tc>
        <w:tc>
          <w:tcPr>
            <w:tcW w:w="6140" w:type="dxa"/>
            <w:vAlign w:val="bottom"/>
            <w:gridSpan w:val="17"/>
          </w:tcPr>
          <w:p>
            <w:pPr>
              <w:spacing w:after="0"/>
              <w:rPr>
                <w:rFonts w:ascii="Arial" w:cs="Arial" w:eastAsia="Arial" w:hAnsi="Arial"/>
                <w:sz w:val="18"/>
                <w:szCs w:val="18"/>
                <w:color w:val="0000FF"/>
              </w:rPr>
            </w:pPr>
            <w:hyperlink r:id="rId464">
              <w:r>
                <w:rPr>
                  <w:rFonts w:ascii="Arial" w:cs="Arial" w:eastAsia="Arial" w:hAnsi="Arial"/>
                  <w:sz w:val="18"/>
                  <w:szCs w:val="18"/>
                  <w:color w:val="0000FF"/>
                </w:rPr>
                <w:t>Severance and Change in Control Policy</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252525"/>
                <w:w w:val="93"/>
              </w:rPr>
              <w:t>10.32</w:t>
            </w:r>
          </w:p>
        </w:tc>
        <w:tc>
          <w:tcPr>
            <w:tcW w:w="1600" w:type="dxa"/>
            <w:vAlign w:val="bottom"/>
          </w:tcPr>
          <w:p>
            <w:pPr>
              <w:jc w:val="right"/>
              <w:spacing w:after="0"/>
              <w:rPr>
                <w:sz w:val="20"/>
                <w:szCs w:val="20"/>
                <w:color w:val="auto"/>
              </w:rPr>
            </w:pPr>
            <w:r>
              <w:rPr>
                <w:rFonts w:ascii="Arial" w:cs="Arial" w:eastAsia="Arial" w:hAnsi="Arial"/>
                <w:sz w:val="18"/>
                <w:szCs w:val="18"/>
                <w:color w:val="auto"/>
              </w:rPr>
              <w:t>March 5, 2018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580" w:type="dxa"/>
            <w:vAlign w:val="bottom"/>
            <w:tcBorders>
              <w:right w:val="single" w:sz="8" w:color="0000EE"/>
            </w:tcBorders>
            <w:gridSpan w:val="6"/>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10.27#</w:t>
            </w:r>
          </w:p>
        </w:tc>
        <w:tc>
          <w:tcPr>
            <w:tcW w:w="6140" w:type="dxa"/>
            <w:vAlign w:val="bottom"/>
            <w:gridSpan w:val="17"/>
          </w:tcPr>
          <w:p>
            <w:pPr>
              <w:spacing w:after="0"/>
              <w:rPr>
                <w:rFonts w:ascii="Arial" w:cs="Arial" w:eastAsia="Arial" w:hAnsi="Arial"/>
                <w:sz w:val="18"/>
                <w:szCs w:val="18"/>
                <w:color w:val="0000FF"/>
                <w:w w:val="95"/>
              </w:rPr>
            </w:pPr>
            <w:hyperlink r:id="rId465">
              <w:r>
                <w:rPr>
                  <w:rFonts w:ascii="Arial" w:cs="Arial" w:eastAsia="Arial" w:hAnsi="Arial"/>
                  <w:sz w:val="18"/>
                  <w:szCs w:val="18"/>
                  <w:color w:val="0000FF"/>
                  <w:w w:val="95"/>
                </w:rPr>
                <w:t>Offer Letter by and between the Registrant and Cindy R. Tahl, dated October 23,</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10.33</w:t>
            </w:r>
          </w:p>
        </w:tc>
        <w:tc>
          <w:tcPr>
            <w:tcW w:w="1600" w:type="dxa"/>
            <w:vAlign w:val="bottom"/>
          </w:tcPr>
          <w:p>
            <w:pPr>
              <w:jc w:val="right"/>
              <w:spacing w:after="0"/>
              <w:rPr>
                <w:sz w:val="20"/>
                <w:szCs w:val="20"/>
                <w:color w:val="auto"/>
              </w:rPr>
            </w:pPr>
            <w:r>
              <w:rPr>
                <w:rFonts w:ascii="Arial" w:cs="Arial" w:eastAsia="Arial" w:hAnsi="Arial"/>
                <w:sz w:val="18"/>
                <w:szCs w:val="18"/>
                <w:color w:val="auto"/>
              </w:rPr>
              <w:t>March 5, 2019</w:t>
            </w:r>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340" w:type="dxa"/>
            <w:vAlign w:val="bottom"/>
            <w:gridSpan w:val="3"/>
          </w:tcPr>
          <w:p>
            <w:pPr>
              <w:spacing w:after="0" w:line="196" w:lineRule="exact"/>
              <w:rPr>
                <w:rFonts w:ascii="Arial" w:cs="Arial" w:eastAsia="Arial" w:hAnsi="Arial"/>
                <w:sz w:val="18"/>
                <w:szCs w:val="18"/>
                <w:color w:val="0000FF"/>
              </w:rPr>
            </w:pPr>
            <w:hyperlink r:id="rId465">
              <w:r>
                <w:rPr>
                  <w:rFonts w:ascii="Arial" w:cs="Arial" w:eastAsia="Arial" w:hAnsi="Arial"/>
                  <w:sz w:val="18"/>
                  <w:szCs w:val="18"/>
                  <w:color w:val="0000FF"/>
                </w:rPr>
                <w:t>2009</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66"/>
        </w:trPr>
        <w:tc>
          <w:tcPr>
            <w:tcW w:w="1180" w:type="dxa"/>
            <w:vAlign w:val="bottom"/>
          </w:tcPr>
          <w:p>
            <w:pPr>
              <w:spacing w:after="0"/>
              <w:rPr>
                <w:sz w:val="24"/>
                <w:szCs w:val="24"/>
                <w:color w:val="auto"/>
              </w:rPr>
            </w:pPr>
          </w:p>
        </w:tc>
        <w:tc>
          <w:tcPr>
            <w:tcW w:w="340" w:type="dxa"/>
            <w:vAlign w:val="bottom"/>
            <w:tcBorders>
              <w:top w:val="single" w:sz="8" w:color="0000FF"/>
            </w:tcBorders>
            <w:gridSpan w:val="2"/>
          </w:tcPr>
          <w:p>
            <w:pPr>
              <w:spacing w:after="0"/>
              <w:rPr>
                <w:sz w:val="24"/>
                <w:szCs w:val="24"/>
                <w:color w:val="auto"/>
              </w:rPr>
            </w:pPr>
          </w:p>
        </w:tc>
        <w:tc>
          <w:tcPr>
            <w:tcW w:w="5260" w:type="dxa"/>
            <w:vAlign w:val="bottom"/>
            <w:gridSpan w:val="9"/>
          </w:tcPr>
          <w:p>
            <w:pPr>
              <w:jc w:val="right"/>
              <w:ind w:right="10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7280" w:type="dxa"/>
            <w:vAlign w:val="bottom"/>
            <w:gridSpan w:val="25"/>
          </w:tcPr>
          <w:p>
            <w:pPr>
              <w:spacing w:after="0"/>
              <w:rPr>
                <w:sz w:val="20"/>
                <w:szCs w:val="20"/>
                <w:color w:val="auto"/>
              </w:rPr>
            </w:pPr>
            <w:r>
              <w:rPr>
                <w:rFonts w:ascii="Arial" w:cs="Arial" w:eastAsia="Arial" w:hAnsi="Arial"/>
                <w:sz w:val="18"/>
                <w:szCs w:val="18"/>
                <w:color w:val="0000FF"/>
              </w:rPr>
              <w:t>Table of Contents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31"/>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6100" w:type="dxa"/>
            <w:vAlign w:val="bottom"/>
            <w:gridSpan w:val="24"/>
          </w:tcPr>
          <w:p>
            <w:pPr>
              <w:spacing w:after="0"/>
              <w:rPr>
                <w:rFonts w:ascii="Arial" w:cs="Arial" w:eastAsia="Arial" w:hAnsi="Arial"/>
                <w:sz w:val="18"/>
                <w:szCs w:val="18"/>
                <w:color w:val="0000FF"/>
                <w:w w:val="90"/>
              </w:rPr>
            </w:pPr>
            <w:hyperlink r:id="rId468">
              <w:r>
                <w:rPr>
                  <w:rFonts w:ascii="Arial" w:cs="Arial" w:eastAsia="Arial" w:hAnsi="Arial"/>
                  <w:sz w:val="18"/>
                  <w:szCs w:val="18"/>
                  <w:color w:val="0000FF"/>
                  <w:w w:val="90"/>
                </w:rPr>
                <w:t>Sixth Amendment to the Lease Agreement by and between the Registrant and ARE-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85"/>
              </w:rPr>
              <w:t>10.1</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6, 2018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68">
              <w:r>
                <w:rPr>
                  <w:rFonts w:ascii="Arial" w:cs="Arial" w:eastAsia="Arial" w:hAnsi="Arial"/>
                  <w:sz w:val="18"/>
                  <w:szCs w:val="18"/>
                  <w:color w:val="0000FF"/>
                </w:rPr>
                <w:t>3535/3565 General Atomics Court, dated May 31, 2018</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6100" w:type="dxa"/>
            <w:vAlign w:val="bottom"/>
            <w:gridSpan w:val="24"/>
          </w:tcPr>
          <w:p>
            <w:pPr>
              <w:spacing w:after="0"/>
              <w:rPr>
                <w:rFonts w:ascii="Arial" w:cs="Arial" w:eastAsia="Arial" w:hAnsi="Arial"/>
                <w:sz w:val="18"/>
                <w:szCs w:val="18"/>
                <w:color w:val="0000FF"/>
                <w:w w:val="89"/>
              </w:rPr>
            </w:pPr>
            <w:hyperlink r:id="rId469">
              <w:r>
                <w:rPr>
                  <w:rFonts w:ascii="Arial" w:cs="Arial" w:eastAsia="Arial" w:hAnsi="Arial"/>
                  <w:sz w:val="18"/>
                  <w:szCs w:val="18"/>
                  <w:color w:val="0000FF"/>
                  <w:w w:val="89"/>
                </w:rPr>
                <w:t>Amended and Restated Exclusive License Agreement by and between the Registrant</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85"/>
              </w:rPr>
              <w:t>10.2</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6, 2018</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69">
              <w:r>
                <w:rPr>
                  <w:rFonts w:ascii="Arial" w:cs="Arial" w:eastAsia="Arial" w:hAnsi="Arial"/>
                  <w:sz w:val="18"/>
                  <w:szCs w:val="18"/>
                  <w:color w:val="0000FF"/>
                </w:rPr>
                <w:t>and Memorial Sloan Kettering Cancer Center, dated May 15, 2018</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10.30†</w:t>
            </w:r>
          </w:p>
        </w:tc>
        <w:tc>
          <w:tcPr>
            <w:tcW w:w="6100" w:type="dxa"/>
            <w:vAlign w:val="bottom"/>
            <w:gridSpan w:val="24"/>
          </w:tcPr>
          <w:p>
            <w:pPr>
              <w:spacing w:after="0"/>
              <w:rPr>
                <w:rFonts w:ascii="Arial" w:cs="Arial" w:eastAsia="Arial" w:hAnsi="Arial"/>
                <w:sz w:val="18"/>
                <w:szCs w:val="18"/>
                <w:color w:val="0000FF"/>
                <w:w w:val="99"/>
              </w:rPr>
            </w:pPr>
            <w:hyperlink r:id="rId470">
              <w:r>
                <w:rPr>
                  <w:rFonts w:ascii="Arial" w:cs="Arial" w:eastAsia="Arial" w:hAnsi="Arial"/>
                  <w:sz w:val="18"/>
                  <w:szCs w:val="18"/>
                  <w:color w:val="0000FF"/>
                  <w:w w:val="99"/>
                </w:rPr>
                <w:t>Exclusive License Agreement by and between the Registrant and The David</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85"/>
              </w:rPr>
              <w:t>10.1</w:t>
            </w:r>
          </w:p>
        </w:tc>
        <w:tc>
          <w:tcPr>
            <w:tcW w:w="1540" w:type="dxa"/>
            <w:vAlign w:val="bottom"/>
          </w:tcPr>
          <w:p>
            <w:pPr>
              <w:jc w:val="right"/>
              <w:spacing w:after="0"/>
              <w:rPr>
                <w:sz w:val="20"/>
                <w:szCs w:val="20"/>
                <w:color w:val="auto"/>
              </w:rPr>
            </w:pPr>
            <w:r>
              <w:rPr>
                <w:rFonts w:ascii="Arial" w:cs="Arial" w:eastAsia="Arial" w:hAnsi="Arial"/>
                <w:sz w:val="18"/>
                <w:szCs w:val="18"/>
                <w:color w:val="auto"/>
              </w:rPr>
              <w:t>November 1, 2018</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70">
              <w:r>
                <w:rPr>
                  <w:rFonts w:ascii="Arial" w:cs="Arial" w:eastAsia="Arial" w:hAnsi="Arial"/>
                  <w:sz w:val="18"/>
                  <w:szCs w:val="18"/>
                  <w:color w:val="0000FF"/>
                </w:rPr>
                <w:t>Gladstone Institutes, dated September 11, 2018</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10.31†</w:t>
            </w:r>
          </w:p>
        </w:tc>
        <w:tc>
          <w:tcPr>
            <w:tcW w:w="6100" w:type="dxa"/>
            <w:vAlign w:val="bottom"/>
            <w:gridSpan w:val="24"/>
          </w:tcPr>
          <w:p>
            <w:pPr>
              <w:spacing w:after="0"/>
              <w:rPr>
                <w:rFonts w:ascii="Arial" w:cs="Arial" w:eastAsia="Arial" w:hAnsi="Arial"/>
                <w:sz w:val="18"/>
                <w:szCs w:val="18"/>
                <w:color w:val="0000FF"/>
                <w:w w:val="98"/>
              </w:rPr>
            </w:pPr>
            <w:hyperlink r:id="rId471">
              <w:r>
                <w:rPr>
                  <w:rFonts w:ascii="Arial" w:cs="Arial" w:eastAsia="Arial" w:hAnsi="Arial"/>
                  <w:sz w:val="18"/>
                  <w:szCs w:val="18"/>
                  <w:color w:val="0000FF"/>
                  <w:w w:val="98"/>
                </w:rPr>
                <w:t>Collaboration and Option Agreement by and between the Registrant and Ono</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2"/>
              </w:rPr>
              <w:t>10-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85"/>
              </w:rPr>
              <w:t>10.2</w:t>
            </w:r>
          </w:p>
        </w:tc>
        <w:tc>
          <w:tcPr>
            <w:tcW w:w="1540" w:type="dxa"/>
            <w:vAlign w:val="bottom"/>
          </w:tcPr>
          <w:p>
            <w:pPr>
              <w:jc w:val="right"/>
              <w:spacing w:after="0"/>
              <w:rPr>
                <w:sz w:val="20"/>
                <w:szCs w:val="20"/>
                <w:color w:val="auto"/>
              </w:rPr>
            </w:pPr>
            <w:r>
              <w:rPr>
                <w:rFonts w:ascii="Arial" w:cs="Arial" w:eastAsia="Arial" w:hAnsi="Arial"/>
                <w:sz w:val="18"/>
                <w:szCs w:val="18"/>
                <w:color w:val="auto"/>
              </w:rPr>
              <w:t>February 8, 2019</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71">
              <w:r>
                <w:rPr>
                  <w:rFonts w:ascii="Arial" w:cs="Arial" w:eastAsia="Arial" w:hAnsi="Arial"/>
                  <w:sz w:val="18"/>
                  <w:szCs w:val="18"/>
                  <w:color w:val="0000FF"/>
                </w:rPr>
                <w:t>Pharmaceutical Co., Ltd., dated September 14, 2018</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252525"/>
                <w:w w:val="96"/>
              </w:rPr>
              <w:t>Q/A</w:t>
            </w: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10.32#</w:t>
            </w:r>
          </w:p>
        </w:tc>
        <w:tc>
          <w:tcPr>
            <w:tcW w:w="6100" w:type="dxa"/>
            <w:vAlign w:val="bottom"/>
            <w:gridSpan w:val="24"/>
          </w:tcPr>
          <w:p>
            <w:pPr>
              <w:spacing w:after="0"/>
              <w:rPr>
                <w:rFonts w:ascii="Arial" w:cs="Arial" w:eastAsia="Arial" w:hAnsi="Arial"/>
                <w:sz w:val="18"/>
                <w:szCs w:val="18"/>
                <w:color w:val="0000FF"/>
                <w:w w:val="90"/>
              </w:rPr>
            </w:pPr>
            <w:hyperlink r:id="rId472">
              <w:r>
                <w:rPr>
                  <w:rFonts w:ascii="Arial" w:cs="Arial" w:eastAsia="Arial" w:hAnsi="Arial"/>
                  <w:sz w:val="18"/>
                  <w:szCs w:val="18"/>
                  <w:color w:val="0000FF"/>
                  <w:w w:val="90"/>
                </w:rPr>
                <w:t>Offer Letter by and between the Registrant and Bahram Valamehr, dated November</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10.38</w:t>
            </w:r>
          </w:p>
        </w:tc>
        <w:tc>
          <w:tcPr>
            <w:tcW w:w="1540" w:type="dxa"/>
            <w:vAlign w:val="bottom"/>
          </w:tcPr>
          <w:p>
            <w:pPr>
              <w:jc w:val="right"/>
              <w:spacing w:after="0"/>
              <w:rPr>
                <w:sz w:val="20"/>
                <w:szCs w:val="20"/>
                <w:color w:val="auto"/>
              </w:rPr>
            </w:pPr>
            <w:r>
              <w:rPr>
                <w:rFonts w:ascii="Arial" w:cs="Arial" w:eastAsia="Arial" w:hAnsi="Arial"/>
                <w:sz w:val="18"/>
                <w:szCs w:val="18"/>
                <w:color w:val="auto"/>
              </w:rPr>
              <w:t>March 5, 2019</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FF"/>
                <w:w w:val="82"/>
              </w:rPr>
            </w:pPr>
            <w:hyperlink r:id="rId472">
              <w:r>
                <w:rPr>
                  <w:rFonts w:ascii="Arial" w:cs="Arial" w:eastAsia="Arial" w:hAnsi="Arial"/>
                  <w:sz w:val="18"/>
                  <w:szCs w:val="18"/>
                  <w:color w:val="0000FF"/>
                  <w:w w:val="82"/>
                </w:rPr>
                <w:t>23, 2009</w:t>
              </w:r>
            </w:hyperlink>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10.33†</w:t>
            </w:r>
          </w:p>
        </w:tc>
        <w:tc>
          <w:tcPr>
            <w:tcW w:w="6100" w:type="dxa"/>
            <w:vAlign w:val="bottom"/>
            <w:gridSpan w:val="24"/>
          </w:tcPr>
          <w:p>
            <w:pPr>
              <w:spacing w:after="0"/>
              <w:rPr>
                <w:rFonts w:ascii="Arial" w:cs="Arial" w:eastAsia="Arial" w:hAnsi="Arial"/>
                <w:sz w:val="18"/>
                <w:szCs w:val="18"/>
                <w:color w:val="0000FF"/>
                <w:w w:val="91"/>
              </w:rPr>
            </w:pPr>
            <w:hyperlink r:id="rId473">
              <w:r>
                <w:rPr>
                  <w:rFonts w:ascii="Arial" w:cs="Arial" w:eastAsia="Arial" w:hAnsi="Arial"/>
                  <w:sz w:val="18"/>
                  <w:szCs w:val="18"/>
                  <w:color w:val="0000FF"/>
                  <w:w w:val="91"/>
                </w:rPr>
                <w:t>Lease Agreement by and between the Registrant and Scripps Summit Investments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10.34</w:t>
            </w:r>
          </w:p>
        </w:tc>
        <w:tc>
          <w:tcPr>
            <w:tcW w:w="1540" w:type="dxa"/>
            <w:vAlign w:val="bottom"/>
          </w:tcPr>
          <w:p>
            <w:pPr>
              <w:jc w:val="right"/>
              <w:spacing w:after="0"/>
              <w:rPr>
                <w:sz w:val="20"/>
                <w:szCs w:val="20"/>
                <w:color w:val="auto"/>
              </w:rPr>
            </w:pPr>
            <w:r>
              <w:rPr>
                <w:rFonts w:ascii="Arial" w:cs="Arial" w:eastAsia="Arial" w:hAnsi="Arial"/>
                <w:sz w:val="18"/>
                <w:szCs w:val="18"/>
                <w:color w:val="auto"/>
              </w:rPr>
              <w:t>March 2, 2020</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73">
              <w:r>
                <w:rPr>
                  <w:rFonts w:ascii="Arial" w:cs="Arial" w:eastAsia="Arial" w:hAnsi="Arial"/>
                  <w:sz w:val="18"/>
                  <w:szCs w:val="18"/>
                  <w:color w:val="0000FF"/>
                </w:rPr>
                <w:t>LLC, dated January 7, 2020</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10.34†</w:t>
            </w:r>
          </w:p>
        </w:tc>
        <w:tc>
          <w:tcPr>
            <w:tcW w:w="6100" w:type="dxa"/>
            <w:vAlign w:val="bottom"/>
            <w:gridSpan w:val="24"/>
          </w:tcPr>
          <w:p>
            <w:pPr>
              <w:spacing w:after="0"/>
              <w:rPr>
                <w:rFonts w:ascii="Arial" w:cs="Arial" w:eastAsia="Arial" w:hAnsi="Arial"/>
                <w:sz w:val="18"/>
                <w:szCs w:val="18"/>
                <w:color w:val="0000FF"/>
                <w:w w:val="93"/>
              </w:rPr>
            </w:pPr>
            <w:hyperlink r:id="rId474">
              <w:r>
                <w:rPr>
                  <w:rFonts w:ascii="Arial" w:cs="Arial" w:eastAsia="Arial" w:hAnsi="Arial"/>
                  <w:sz w:val="18"/>
                  <w:szCs w:val="18"/>
                  <w:color w:val="0000FF"/>
                  <w:w w:val="93"/>
                </w:rPr>
                <w:t>Collaboration and Option Agreement by and between the Registrant and Janssen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5, 2020</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74">
              <w:r>
                <w:rPr>
                  <w:rFonts w:ascii="Arial" w:cs="Arial" w:eastAsia="Arial" w:hAnsi="Arial"/>
                  <w:sz w:val="18"/>
                  <w:szCs w:val="18"/>
                  <w:color w:val="0000FF"/>
                </w:rPr>
                <w:t>Biotech, Inc., dated April 2, 2020</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10.35†</w:t>
            </w:r>
          </w:p>
        </w:tc>
        <w:tc>
          <w:tcPr>
            <w:tcW w:w="6100" w:type="dxa"/>
            <w:vAlign w:val="bottom"/>
            <w:gridSpan w:val="24"/>
          </w:tcPr>
          <w:p>
            <w:pPr>
              <w:spacing w:after="0"/>
              <w:rPr>
                <w:rFonts w:ascii="Arial" w:cs="Arial" w:eastAsia="Arial" w:hAnsi="Arial"/>
                <w:sz w:val="18"/>
                <w:szCs w:val="18"/>
                <w:color w:val="0000FF"/>
                <w:w w:val="90"/>
              </w:rPr>
            </w:pPr>
            <w:hyperlink r:id="rId475">
              <w:r>
                <w:rPr>
                  <w:rFonts w:ascii="Arial" w:cs="Arial" w:eastAsia="Arial" w:hAnsi="Arial"/>
                  <w:sz w:val="18"/>
                  <w:szCs w:val="18"/>
                  <w:color w:val="0000FF"/>
                  <w:w w:val="90"/>
                </w:rPr>
                <w:t>Stock Purchase Agreement by and between the Registrant and Johnson &amp; Johnson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5, 2020</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75">
              <w:r>
                <w:rPr>
                  <w:rFonts w:ascii="Arial" w:cs="Arial" w:eastAsia="Arial" w:hAnsi="Arial"/>
                  <w:sz w:val="18"/>
                  <w:szCs w:val="18"/>
                  <w:color w:val="0000FF"/>
                </w:rPr>
                <w:t>Innovation – JJDC, Inc., dated April 2, 2020</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10.36†</w:t>
            </w:r>
          </w:p>
        </w:tc>
        <w:tc>
          <w:tcPr>
            <w:tcW w:w="6100" w:type="dxa"/>
            <w:vAlign w:val="bottom"/>
            <w:gridSpan w:val="24"/>
          </w:tcPr>
          <w:p>
            <w:pPr>
              <w:spacing w:after="0"/>
              <w:rPr>
                <w:rFonts w:ascii="Arial" w:cs="Arial" w:eastAsia="Arial" w:hAnsi="Arial"/>
                <w:sz w:val="18"/>
                <w:szCs w:val="18"/>
                <w:color w:val="0000FF"/>
                <w:w w:val="90"/>
              </w:rPr>
            </w:pPr>
            <w:hyperlink r:id="rId476">
              <w:r>
                <w:rPr>
                  <w:rFonts w:ascii="Arial" w:cs="Arial" w:eastAsia="Arial" w:hAnsi="Arial"/>
                  <w:sz w:val="18"/>
                  <w:szCs w:val="18"/>
                  <w:color w:val="0000FF"/>
                  <w:w w:val="90"/>
                </w:rPr>
                <w:t>Stock Purchase Agreement by and between the Registrant and Johnson &amp; Johnson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5, 2020</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76">
              <w:r>
                <w:rPr>
                  <w:rFonts w:ascii="Arial" w:cs="Arial" w:eastAsia="Arial" w:hAnsi="Arial"/>
                  <w:sz w:val="18"/>
                  <w:szCs w:val="18"/>
                  <w:color w:val="0000FF"/>
                </w:rPr>
                <w:t>Innovation – JJDC, Inc., dated June 8, 2020</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10.37#</w:t>
            </w:r>
          </w:p>
        </w:tc>
        <w:tc>
          <w:tcPr>
            <w:tcW w:w="6100" w:type="dxa"/>
            <w:vAlign w:val="bottom"/>
            <w:gridSpan w:val="24"/>
          </w:tcPr>
          <w:p>
            <w:pPr>
              <w:spacing w:after="0"/>
              <w:rPr>
                <w:rFonts w:ascii="Arial" w:cs="Arial" w:eastAsia="Arial" w:hAnsi="Arial"/>
                <w:sz w:val="18"/>
                <w:szCs w:val="18"/>
                <w:color w:val="0000FF"/>
                <w:w w:val="95"/>
              </w:rPr>
            </w:pPr>
            <w:hyperlink r:id="rId477">
              <w:r>
                <w:rPr>
                  <w:rFonts w:ascii="Arial" w:cs="Arial" w:eastAsia="Arial" w:hAnsi="Arial"/>
                  <w:sz w:val="18"/>
                  <w:szCs w:val="18"/>
                  <w:color w:val="0000FF"/>
                  <w:w w:val="95"/>
                </w:rPr>
                <w:t>Offer Letter by and between the Registrant and Edward Dulac III, dated May 20,</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19, 2020</w:t>
            </w: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FF"/>
                <w:w w:val="79"/>
              </w:rPr>
            </w:pPr>
            <w:hyperlink r:id="rId477">
              <w:r>
                <w:rPr>
                  <w:rFonts w:ascii="Arial" w:cs="Arial" w:eastAsia="Arial" w:hAnsi="Arial"/>
                  <w:sz w:val="18"/>
                  <w:szCs w:val="18"/>
                  <w:color w:val="0000FF"/>
                  <w:w w:val="79"/>
                </w:rPr>
                <w:t>2020</w:t>
              </w:r>
            </w:hyperlink>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10.38†</w:t>
            </w:r>
          </w:p>
        </w:tc>
        <w:tc>
          <w:tcPr>
            <w:tcW w:w="6100" w:type="dxa"/>
            <w:vAlign w:val="bottom"/>
            <w:gridSpan w:val="24"/>
          </w:tcPr>
          <w:p>
            <w:pPr>
              <w:spacing w:after="0"/>
              <w:rPr>
                <w:rFonts w:ascii="Arial" w:cs="Arial" w:eastAsia="Arial" w:hAnsi="Arial"/>
                <w:sz w:val="18"/>
                <w:szCs w:val="18"/>
                <w:color w:val="0000FF"/>
                <w:w w:val="89"/>
              </w:rPr>
            </w:pPr>
            <w:hyperlink r:id="rId478">
              <w:r>
                <w:rPr>
                  <w:rFonts w:ascii="Arial" w:cs="Arial" w:eastAsia="Arial" w:hAnsi="Arial"/>
                  <w:sz w:val="18"/>
                  <w:szCs w:val="18"/>
                  <w:color w:val="0000FF"/>
                  <w:w w:val="89"/>
                </w:rPr>
                <w:t>Letter Agreement, dated December 4, 2020, by and between the Registrant and Ono</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93"/>
              </w:rPr>
              <w:t>10.39</w:t>
            </w:r>
          </w:p>
        </w:tc>
        <w:tc>
          <w:tcPr>
            <w:tcW w:w="1540" w:type="dxa"/>
            <w:vAlign w:val="bottom"/>
          </w:tcPr>
          <w:p>
            <w:pPr>
              <w:jc w:val="right"/>
              <w:spacing w:after="0"/>
              <w:rPr>
                <w:sz w:val="20"/>
                <w:szCs w:val="20"/>
                <w:color w:val="auto"/>
              </w:rPr>
            </w:pPr>
            <w:r>
              <w:rPr>
                <w:rFonts w:ascii="Arial" w:cs="Arial" w:eastAsia="Arial" w:hAnsi="Arial"/>
                <w:sz w:val="18"/>
                <w:szCs w:val="18"/>
                <w:color w:val="auto"/>
              </w:rPr>
              <w:t>February 24, 2021</w:t>
            </w:r>
          </w:p>
        </w:tc>
      </w:tr>
      <w:tr>
        <w:trPr>
          <w:trHeight w:val="20"/>
        </w:trPr>
        <w:tc>
          <w:tcPr>
            <w:tcW w:w="1180" w:type="dxa"/>
            <w:vAlign w:val="bottom"/>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78">
              <w:r>
                <w:rPr>
                  <w:rFonts w:ascii="Arial" w:cs="Arial" w:eastAsia="Arial" w:hAnsi="Arial"/>
                  <w:sz w:val="18"/>
                  <w:szCs w:val="18"/>
                  <w:color w:val="0000FF"/>
                </w:rPr>
                <w:t>Pharmaceutical Co., Ltd.</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10.39†</w:t>
            </w:r>
          </w:p>
        </w:tc>
        <w:tc>
          <w:tcPr>
            <w:tcW w:w="6100" w:type="dxa"/>
            <w:vAlign w:val="bottom"/>
            <w:gridSpan w:val="24"/>
          </w:tcPr>
          <w:p>
            <w:pPr>
              <w:spacing w:after="0"/>
              <w:rPr>
                <w:rFonts w:ascii="Arial" w:cs="Arial" w:eastAsia="Arial" w:hAnsi="Arial"/>
                <w:sz w:val="18"/>
                <w:szCs w:val="18"/>
                <w:color w:val="0000FF"/>
                <w:w w:val="98"/>
              </w:rPr>
            </w:pPr>
            <w:hyperlink r:id="rId479">
              <w:r>
                <w:rPr>
                  <w:rFonts w:ascii="Arial" w:cs="Arial" w:eastAsia="Arial" w:hAnsi="Arial"/>
                  <w:sz w:val="18"/>
                  <w:szCs w:val="18"/>
                  <w:color w:val="0000FF"/>
                  <w:w w:val="98"/>
                </w:rPr>
                <w:t>Patent License Agreement by and between the Registrant and Max-Delbrück-</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93"/>
              </w:rPr>
              <w:t>10.40</w:t>
            </w:r>
          </w:p>
        </w:tc>
        <w:tc>
          <w:tcPr>
            <w:tcW w:w="1540" w:type="dxa"/>
            <w:vAlign w:val="bottom"/>
          </w:tcPr>
          <w:p>
            <w:pPr>
              <w:jc w:val="right"/>
              <w:spacing w:after="0"/>
              <w:rPr>
                <w:sz w:val="20"/>
                <w:szCs w:val="20"/>
                <w:color w:val="auto"/>
              </w:rPr>
            </w:pPr>
            <w:r>
              <w:rPr>
                <w:rFonts w:ascii="Arial" w:cs="Arial" w:eastAsia="Arial" w:hAnsi="Arial"/>
                <w:sz w:val="18"/>
                <w:szCs w:val="18"/>
                <w:color w:val="auto"/>
              </w:rPr>
              <w:t>February 24, 2021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w w:val="92"/>
              </w:rPr>
            </w:pPr>
            <w:hyperlink r:id="rId479">
              <w:r>
                <w:rPr>
                  <w:rFonts w:ascii="Arial" w:cs="Arial" w:eastAsia="Arial" w:hAnsi="Arial"/>
                  <w:sz w:val="18"/>
                  <w:szCs w:val="18"/>
                  <w:color w:val="0000FF"/>
                  <w:w w:val="92"/>
                </w:rPr>
                <w:t>Centrum für Molekulare Medizin in der Helmholtz-Gemeinschaft, dated August 30,</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FF"/>
                <w:w w:val="79"/>
              </w:rPr>
            </w:pPr>
            <w:hyperlink r:id="rId479">
              <w:r>
                <w:rPr>
                  <w:rFonts w:ascii="Arial" w:cs="Arial" w:eastAsia="Arial" w:hAnsi="Arial"/>
                  <w:sz w:val="18"/>
                  <w:szCs w:val="18"/>
                  <w:color w:val="0000FF"/>
                  <w:w w:val="79"/>
                </w:rPr>
                <w:t>2019</w:t>
              </w:r>
            </w:hyperlink>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6100" w:type="dxa"/>
            <w:vAlign w:val="bottom"/>
            <w:gridSpan w:val="24"/>
          </w:tcPr>
          <w:p>
            <w:pPr>
              <w:spacing w:after="0"/>
              <w:rPr>
                <w:rFonts w:ascii="Arial" w:cs="Arial" w:eastAsia="Arial" w:hAnsi="Arial"/>
                <w:sz w:val="18"/>
                <w:szCs w:val="18"/>
                <w:color w:val="0000FF"/>
                <w:w w:val="98"/>
              </w:rPr>
            </w:pPr>
            <w:hyperlink r:id="rId480">
              <w:r>
                <w:rPr>
                  <w:rFonts w:ascii="Arial" w:cs="Arial" w:eastAsia="Arial" w:hAnsi="Arial"/>
                  <w:sz w:val="18"/>
                  <w:szCs w:val="18"/>
                  <w:color w:val="0000FF"/>
                  <w:w w:val="98"/>
                </w:rPr>
                <w:t>Open Market Sale Agreement, dated November 4, 2021, by and between the</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87"/>
              </w:rPr>
              <w:t>1.1</w:t>
            </w:r>
          </w:p>
        </w:tc>
        <w:tc>
          <w:tcPr>
            <w:tcW w:w="1540" w:type="dxa"/>
            <w:vAlign w:val="bottom"/>
          </w:tcPr>
          <w:p>
            <w:pPr>
              <w:jc w:val="right"/>
              <w:spacing w:after="0"/>
              <w:rPr>
                <w:sz w:val="20"/>
                <w:szCs w:val="20"/>
                <w:color w:val="auto"/>
              </w:rPr>
            </w:pPr>
            <w:r>
              <w:rPr>
                <w:rFonts w:ascii="Arial" w:cs="Arial" w:eastAsia="Arial" w:hAnsi="Arial"/>
                <w:sz w:val="18"/>
                <w:szCs w:val="18"/>
                <w:color w:val="auto"/>
              </w:rPr>
              <w:t>November 4, 2021</w:t>
            </w:r>
          </w:p>
        </w:tc>
      </w:tr>
      <w:tr>
        <w:trPr>
          <w:trHeight w:val="20"/>
        </w:trPr>
        <w:tc>
          <w:tcPr>
            <w:tcW w:w="1180" w:type="dxa"/>
            <w:vAlign w:val="bottom"/>
          </w:tcPr>
          <w:p>
            <w:pPr>
              <w:spacing w:after="0" w:line="20" w:lineRule="exact"/>
              <w:rPr>
                <w:sz w:val="1"/>
                <w:szCs w:val="1"/>
                <w:color w:val="auto"/>
              </w:rPr>
            </w:pPr>
          </w:p>
        </w:tc>
        <w:tc>
          <w:tcPr>
            <w:tcW w:w="20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80">
              <w:r>
                <w:rPr>
                  <w:rFonts w:ascii="Arial" w:cs="Arial" w:eastAsia="Arial" w:hAnsi="Arial"/>
                  <w:sz w:val="18"/>
                  <w:szCs w:val="18"/>
                  <w:color w:val="0000FF"/>
                </w:rPr>
                <w:t>Registrant and Jefferies LLC</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10.41†</w:t>
            </w:r>
          </w:p>
        </w:tc>
        <w:tc>
          <w:tcPr>
            <w:tcW w:w="6100" w:type="dxa"/>
            <w:vAlign w:val="bottom"/>
            <w:gridSpan w:val="24"/>
          </w:tcPr>
          <w:p>
            <w:pPr>
              <w:spacing w:after="0"/>
              <w:rPr>
                <w:rFonts w:ascii="Arial" w:cs="Arial" w:eastAsia="Arial" w:hAnsi="Arial"/>
                <w:sz w:val="18"/>
                <w:szCs w:val="18"/>
                <w:color w:val="0000FF"/>
                <w:w w:val="91"/>
              </w:rPr>
            </w:pPr>
            <w:hyperlink r:id="rId481">
              <w:r>
                <w:rPr>
                  <w:rFonts w:ascii="Arial" w:cs="Arial" w:eastAsia="Arial" w:hAnsi="Arial"/>
                  <w:sz w:val="18"/>
                  <w:szCs w:val="18"/>
                  <w:color w:val="0000FF"/>
                  <w:w w:val="91"/>
                </w:rPr>
                <w:t>License Agreement, dated April 9, 2020, by and between the Registrant and Dana-</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93"/>
              </w:rPr>
              <w:t>10.40</w:t>
            </w:r>
          </w:p>
        </w:tc>
        <w:tc>
          <w:tcPr>
            <w:tcW w:w="1540" w:type="dxa"/>
            <w:vAlign w:val="bottom"/>
          </w:tcPr>
          <w:p>
            <w:pPr>
              <w:jc w:val="right"/>
              <w:spacing w:after="0"/>
              <w:rPr>
                <w:sz w:val="20"/>
                <w:szCs w:val="20"/>
                <w:color w:val="auto"/>
              </w:rPr>
            </w:pPr>
            <w:r>
              <w:rPr>
                <w:rFonts w:ascii="Arial" w:cs="Arial" w:eastAsia="Arial" w:hAnsi="Arial"/>
                <w:sz w:val="18"/>
                <w:szCs w:val="18"/>
                <w:color w:val="auto"/>
              </w:rPr>
              <w:t>February 28, 2022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81">
              <w:r>
                <w:rPr>
                  <w:rFonts w:ascii="Arial" w:cs="Arial" w:eastAsia="Arial" w:hAnsi="Arial"/>
                  <w:sz w:val="18"/>
                  <w:szCs w:val="18"/>
                  <w:color w:val="0000FF"/>
                </w:rPr>
                <w:t>Farber Cancer Institute, Inc.</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10.42#</w:t>
            </w:r>
          </w:p>
        </w:tc>
        <w:tc>
          <w:tcPr>
            <w:tcW w:w="6100" w:type="dxa"/>
            <w:vAlign w:val="bottom"/>
            <w:gridSpan w:val="24"/>
          </w:tcPr>
          <w:p>
            <w:pPr>
              <w:spacing w:after="0"/>
              <w:rPr>
                <w:rFonts w:ascii="Arial" w:cs="Arial" w:eastAsia="Arial" w:hAnsi="Arial"/>
                <w:sz w:val="18"/>
                <w:szCs w:val="18"/>
                <w:color w:val="0000FF"/>
              </w:rPr>
            </w:pPr>
            <w:hyperlink r:id="rId482">
              <w:r>
                <w:rPr>
                  <w:rFonts w:ascii="Arial" w:cs="Arial" w:eastAsia="Arial" w:hAnsi="Arial"/>
                  <w:sz w:val="18"/>
                  <w:szCs w:val="18"/>
                  <w:color w:val="0000FF"/>
                </w:rPr>
                <w:t>2022 Stock Option and Incentive Plan and form agreements thereunder</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2"/>
              </w:rPr>
              <w:t>S-8</w:t>
            </w:r>
          </w:p>
        </w:tc>
        <w:tc>
          <w:tcPr>
            <w:tcW w:w="1040" w:type="dxa"/>
            <w:vAlign w:val="bottom"/>
          </w:tcPr>
          <w:p>
            <w:pPr>
              <w:jc w:val="center"/>
              <w:spacing w:after="0"/>
              <w:rPr>
                <w:sz w:val="20"/>
                <w:szCs w:val="20"/>
                <w:color w:val="auto"/>
              </w:rPr>
            </w:pPr>
            <w:r>
              <w:rPr>
                <w:rFonts w:ascii="Arial" w:cs="Arial" w:eastAsia="Arial" w:hAnsi="Arial"/>
                <w:sz w:val="18"/>
                <w:szCs w:val="18"/>
                <w:color w:val="252525"/>
                <w:w w:val="90"/>
              </w:rPr>
              <w:t>333-26552</w:t>
            </w:r>
          </w:p>
        </w:tc>
        <w:tc>
          <w:tcPr>
            <w:tcW w:w="720" w:type="dxa"/>
            <w:vAlign w:val="bottom"/>
          </w:tcPr>
          <w:p>
            <w:pPr>
              <w:jc w:val="center"/>
              <w:spacing w:after="0"/>
              <w:rPr>
                <w:sz w:val="20"/>
                <w:szCs w:val="20"/>
                <w:color w:val="auto"/>
              </w:rPr>
            </w:pPr>
            <w:r>
              <w:rPr>
                <w:rFonts w:ascii="Arial" w:cs="Arial" w:eastAsia="Arial" w:hAnsi="Arial"/>
                <w:sz w:val="18"/>
                <w:szCs w:val="18"/>
                <w:color w:val="252525"/>
                <w:w w:val="85"/>
              </w:rPr>
              <w:t>99.1</w:t>
            </w:r>
          </w:p>
        </w:tc>
        <w:tc>
          <w:tcPr>
            <w:tcW w:w="1540" w:type="dxa"/>
            <w:vAlign w:val="bottom"/>
          </w:tcPr>
          <w:p>
            <w:pPr>
              <w:jc w:val="right"/>
              <w:spacing w:after="0"/>
              <w:rPr>
                <w:sz w:val="20"/>
                <w:szCs w:val="20"/>
                <w:color w:val="auto"/>
              </w:rPr>
            </w:pPr>
            <w:r>
              <w:rPr>
                <w:rFonts w:ascii="Arial" w:cs="Arial" w:eastAsia="Arial" w:hAnsi="Arial"/>
                <w:sz w:val="18"/>
                <w:szCs w:val="18"/>
                <w:color w:val="auto"/>
              </w:rPr>
              <w:t>June 9, 2022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FF"/>
            </w:tcBorders>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10.43†</w:t>
            </w:r>
          </w:p>
        </w:tc>
        <w:tc>
          <w:tcPr>
            <w:tcW w:w="6100" w:type="dxa"/>
            <w:vAlign w:val="bottom"/>
            <w:gridSpan w:val="24"/>
          </w:tcPr>
          <w:p>
            <w:pPr>
              <w:spacing w:after="0"/>
              <w:rPr>
                <w:rFonts w:ascii="Arial" w:cs="Arial" w:eastAsia="Arial" w:hAnsi="Arial"/>
                <w:sz w:val="18"/>
                <w:szCs w:val="18"/>
                <w:color w:val="0000FF"/>
                <w:w w:val="89"/>
              </w:rPr>
            </w:pPr>
            <w:hyperlink r:id="rId483">
              <w:r>
                <w:rPr>
                  <w:rFonts w:ascii="Arial" w:cs="Arial" w:eastAsia="Arial" w:hAnsi="Arial"/>
                  <w:sz w:val="18"/>
                  <w:szCs w:val="18"/>
                  <w:color w:val="0000FF"/>
                  <w:w w:val="89"/>
                </w:rPr>
                <w:t>Amendment 01 to Collaboration and Option Agreement, dated June 28, 2022, by and</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10-Q</w:t>
            </w:r>
          </w:p>
        </w:tc>
        <w:tc>
          <w:tcPr>
            <w:tcW w:w="104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85"/>
              </w:rPr>
              <w:t>10.2</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3, 2022</w:t>
            </w:r>
          </w:p>
        </w:tc>
      </w:tr>
      <w:tr>
        <w:trPr>
          <w:trHeight w:val="20"/>
        </w:trPr>
        <w:tc>
          <w:tcPr>
            <w:tcW w:w="1180" w:type="dxa"/>
            <w:vAlign w:val="bottom"/>
          </w:tcPr>
          <w:p>
            <w:pPr>
              <w:spacing w:after="0" w:line="20" w:lineRule="exact"/>
              <w:rPr>
                <w:sz w:val="1"/>
                <w:szCs w:val="1"/>
                <w:color w:val="auto"/>
              </w:rPr>
            </w:pPr>
          </w:p>
        </w:tc>
        <w:tc>
          <w:tcPr>
            <w:tcW w:w="2120" w:type="dxa"/>
            <w:vAlign w:val="bottom"/>
            <w:tcBorders>
              <w:right w:val="single" w:sz="8" w:color="0000FF"/>
            </w:tcBorders>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83">
              <w:r>
                <w:rPr>
                  <w:rFonts w:ascii="Arial" w:cs="Arial" w:eastAsia="Arial" w:hAnsi="Arial"/>
                  <w:sz w:val="18"/>
                  <w:szCs w:val="18"/>
                  <w:color w:val="0000FF"/>
                </w:rPr>
                <w:t>between the Registrant and Ono Pharmaceutical Co. Ltd.</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FF"/>
            </w:tcBorders>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6100" w:type="dxa"/>
            <w:vAlign w:val="bottom"/>
            <w:gridSpan w:val="24"/>
          </w:tcPr>
          <w:p>
            <w:pPr>
              <w:spacing w:after="0"/>
              <w:rPr>
                <w:rFonts w:ascii="Arial" w:cs="Arial" w:eastAsia="Arial" w:hAnsi="Arial"/>
                <w:sz w:val="18"/>
                <w:szCs w:val="18"/>
                <w:color w:val="0000FF"/>
                <w:w w:val="89"/>
              </w:rPr>
            </w:pPr>
            <w:hyperlink r:id="rId484">
              <w:r>
                <w:rPr>
                  <w:rFonts w:ascii="Arial" w:cs="Arial" w:eastAsia="Arial" w:hAnsi="Arial"/>
                  <w:sz w:val="18"/>
                  <w:szCs w:val="18"/>
                  <w:color w:val="0000FF"/>
                  <w:w w:val="89"/>
                </w:rPr>
                <w:t>Letter Agreement, dated November 7, 2022, by and between the Registrant and Ono</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252525"/>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252525"/>
                <w:w w:val="85"/>
              </w:rPr>
              <w:t>10.1</w:t>
            </w:r>
          </w:p>
        </w:tc>
        <w:tc>
          <w:tcPr>
            <w:tcW w:w="1540" w:type="dxa"/>
            <w:vAlign w:val="bottom"/>
          </w:tcPr>
          <w:p>
            <w:pPr>
              <w:jc w:val="right"/>
              <w:spacing w:after="0"/>
              <w:rPr>
                <w:sz w:val="20"/>
                <w:szCs w:val="20"/>
                <w:color w:val="auto"/>
              </w:rPr>
            </w:pPr>
            <w:r>
              <w:rPr>
                <w:rFonts w:ascii="Arial" w:cs="Arial" w:eastAsia="Arial" w:hAnsi="Arial"/>
                <w:sz w:val="18"/>
                <w:szCs w:val="18"/>
                <w:color w:val="auto"/>
              </w:rPr>
              <w:t>November 7, 2022</w:t>
            </w:r>
          </w:p>
        </w:tc>
      </w:tr>
      <w:tr>
        <w:trPr>
          <w:trHeight w:val="20"/>
        </w:trPr>
        <w:tc>
          <w:tcPr>
            <w:tcW w:w="1180" w:type="dxa"/>
            <w:vAlign w:val="bottom"/>
          </w:tcPr>
          <w:p>
            <w:pPr>
              <w:spacing w:after="0" w:line="20" w:lineRule="exact"/>
              <w:rPr>
                <w:sz w:val="1"/>
                <w:szCs w:val="1"/>
                <w:color w:val="auto"/>
              </w:rPr>
            </w:pPr>
          </w:p>
        </w:tc>
        <w:tc>
          <w:tcPr>
            <w:tcW w:w="2120" w:type="dxa"/>
            <w:vAlign w:val="bottom"/>
            <w:tcBorders>
              <w:right w:val="single" w:sz="8" w:color="0000FF"/>
            </w:tcBorders>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FF"/>
              </w:rPr>
            </w:pPr>
            <w:hyperlink r:id="rId484">
              <w:r>
                <w:rPr>
                  <w:rFonts w:ascii="Arial" w:cs="Arial" w:eastAsia="Arial" w:hAnsi="Arial"/>
                  <w:sz w:val="18"/>
                  <w:szCs w:val="18"/>
                  <w:color w:val="0000FF"/>
                </w:rPr>
                <w:t>Pharmaceutical Co., Ltd.</w:t>
              </w:r>
            </w:hyperlink>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6100" w:type="dxa"/>
            <w:vAlign w:val="bottom"/>
            <w:gridSpan w:val="24"/>
          </w:tcPr>
          <w:p>
            <w:pPr>
              <w:spacing w:after="0"/>
              <w:rPr>
                <w:rFonts w:ascii="Arial" w:cs="Arial" w:eastAsia="Arial" w:hAnsi="Arial"/>
                <w:sz w:val="18"/>
                <w:szCs w:val="18"/>
                <w:color w:val="0000FF"/>
              </w:rPr>
            </w:pPr>
            <w:hyperlink r:id="rId485">
              <w:r>
                <w:rPr>
                  <w:rFonts w:ascii="Arial" w:cs="Arial" w:eastAsia="Arial" w:hAnsi="Arial"/>
                  <w:sz w:val="18"/>
                  <w:szCs w:val="18"/>
                  <w:color w:val="0000FF"/>
                </w:rPr>
                <w:t>Amended Code of Business Conduct and Ethics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001-36076</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14.1</w:t>
            </w:r>
          </w:p>
        </w:tc>
        <w:tc>
          <w:tcPr>
            <w:tcW w:w="1540" w:type="dxa"/>
            <w:vAlign w:val="bottom"/>
          </w:tcPr>
          <w:p>
            <w:pPr>
              <w:jc w:val="right"/>
              <w:spacing w:after="0"/>
              <w:rPr>
                <w:sz w:val="20"/>
                <w:szCs w:val="20"/>
                <w:color w:val="auto"/>
              </w:rPr>
            </w:pPr>
            <w:r>
              <w:rPr>
                <w:rFonts w:ascii="Arial" w:cs="Arial" w:eastAsia="Arial" w:hAnsi="Arial"/>
                <w:sz w:val="18"/>
                <w:szCs w:val="18"/>
                <w:color w:val="auto"/>
              </w:rPr>
              <w:t>March 5, 2019</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FF"/>
            </w:tcBorders>
            <w:gridSpan w:val="7"/>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6100" w:type="dxa"/>
            <w:vAlign w:val="bottom"/>
            <w:gridSpan w:val="24"/>
          </w:tcPr>
          <w:p>
            <w:pPr>
              <w:spacing w:after="0"/>
              <w:rPr>
                <w:sz w:val="20"/>
                <w:szCs w:val="20"/>
                <w:color w:val="auto"/>
              </w:rPr>
            </w:pPr>
            <w:r>
              <w:rPr>
                <w:rFonts w:ascii="Arial" w:cs="Arial" w:eastAsia="Arial" w:hAnsi="Arial"/>
                <w:sz w:val="18"/>
                <w:szCs w:val="18"/>
                <w:color w:val="0000FF"/>
              </w:rPr>
              <w:t>Subsidiaries of the Registrant</w:t>
            </w:r>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gridSpan w:val="7"/>
            <w:shd w:val="clear" w:color="auto" w:fill="0000FF"/>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6100" w:type="dxa"/>
            <w:vAlign w:val="bottom"/>
            <w:gridSpan w:val="24"/>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8" w:right="359"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24"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FF"/>
        </w:rPr>
        <w:t>Power of Attorney (included on signature page to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319849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8">
                      <a:extLst>
                        <a:ext uri="{28A0092B-C50C-407E-A947-70E740481C1C}"/>
                      </a:extLst>
                    </a:blip>
                    <a:srcRect/>
                    <a:stretch>
                      <a:fillRect/>
                    </a:stretch>
                  </pic:blipFill>
                  <pic:spPr bwMode="auto">
                    <a:xfrm>
                      <a:off x="0" y="0"/>
                      <a:ext cx="3198495" cy="8255"/>
                    </a:xfrm>
                    <a:prstGeom prst="rect">
                      <a:avLst/>
                    </a:prstGeom>
                    <a:noFill/>
                  </pic:spPr>
                </pic:pic>
              </a:graphicData>
            </a:graphic>
          </wp:anchor>
        </w:drawing>
      </w:r>
    </w:p>
    <w:p>
      <w:pPr>
        <w:spacing w:after="0" w:line="259" w:lineRule="exact"/>
        <w:rPr>
          <w:sz w:val="20"/>
          <w:szCs w:val="20"/>
          <w:color w:val="auto"/>
        </w:rPr>
      </w:pPr>
    </w:p>
    <w:p>
      <w:pPr>
        <w:ind w:left="1160" w:hanging="737"/>
        <w:spacing w:after="0" w:line="311" w:lineRule="auto"/>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Principal Executive Officer pursuant to Rules 13a-14 and 15-d-14 promulgated pursuant to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-332740</wp:posOffset>
            </wp:positionV>
            <wp:extent cx="37699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9">
                      <a:extLst>
                        <a:ext uri="{28A0092B-C50C-407E-A947-70E740481C1C}"/>
                      </a:extLst>
                    </a:blip>
                    <a:srcRect/>
                    <a:stretch>
                      <a:fillRect/>
                    </a:stretch>
                  </pic:blipFill>
                  <pic:spPr bwMode="auto">
                    <a:xfrm>
                      <a:off x="0" y="0"/>
                      <a:ext cx="376999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-195580</wp:posOffset>
            </wp:positionV>
            <wp:extent cx="359156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0">
                      <a:extLst>
                        <a:ext uri="{28A0092B-C50C-407E-A947-70E740481C1C}"/>
                      </a:extLst>
                    </a:blip>
                    <a:srcRect/>
                    <a:stretch>
                      <a:fillRect/>
                    </a:stretch>
                  </pic:blipFill>
                  <pic:spPr bwMode="auto">
                    <a:xfrm>
                      <a:off x="0" y="0"/>
                      <a:ext cx="359156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-58420</wp:posOffset>
            </wp:positionV>
            <wp:extent cx="30968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1">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tabs>
          <w:tab w:leader="none" w:pos="820" w:val="left"/>
          <w:tab w:leader="none" w:pos="1660" w:val="left"/>
          <w:tab w:leader="none" w:pos="2640" w:val="left"/>
        </w:tabs>
        <w:rPr>
          <w:sz w:val="20"/>
          <w:szCs w:val="20"/>
          <w:color w:val="auto"/>
        </w:rPr>
      </w:pP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6"/>
          <w:szCs w:val="16"/>
          <w:color w:val="auto"/>
        </w:rPr>
        <w:t>Filed herewith</w:t>
      </w:r>
    </w:p>
    <w:p>
      <w:pPr>
        <w:spacing w:after="0" w:line="279" w:lineRule="exact"/>
        <w:rPr>
          <w:sz w:val="20"/>
          <w:szCs w:val="20"/>
          <w:color w:val="auto"/>
        </w:rPr>
      </w:pPr>
    </w:p>
    <w:p>
      <w:pPr>
        <w:spacing w:after="0"/>
        <w:tabs>
          <w:tab w:leader="none" w:pos="820" w:val="left"/>
          <w:tab w:leader="none" w:pos="1660" w:val="left"/>
          <w:tab w:leader="none" w:pos="2640" w:val="left"/>
        </w:tabs>
        <w:rPr>
          <w:sz w:val="20"/>
          <w:szCs w:val="20"/>
          <w:color w:val="auto"/>
        </w:rPr>
      </w:pP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6"/>
          <w:szCs w:val="16"/>
          <w:color w:val="auto"/>
        </w:rPr>
        <w:t>Filed herewith</w:t>
      </w:r>
    </w:p>
    <w:p>
      <w:pPr>
        <w:spacing w:after="0" w:line="708" w:lineRule="exact"/>
        <w:rPr>
          <w:sz w:val="20"/>
          <w:szCs w:val="20"/>
          <w:color w:val="auto"/>
        </w:rPr>
      </w:pPr>
    </w:p>
    <w:p>
      <w:pPr>
        <w:sectPr>
          <w:pgSz w:w="11900" w:h="16838" w:orient="portrait"/>
          <w:cols w:equalWidth="0" w:num="2">
            <w:col w:w="7040" w:space="480"/>
            <w:col w:w="3700"/>
          </w:cols>
          <w:pgMar w:left="320" w:top="125" w:right="359" w:bottom="1440" w:gutter="0" w:footer="0" w:header="0"/>
        </w:sectPr>
      </w:pPr>
    </w:p>
    <w:p>
      <w:pPr>
        <w:spacing w:after="0" w:line="3" w:lineRule="exact"/>
        <w:rPr>
          <w:sz w:val="20"/>
          <w:szCs w:val="20"/>
          <w:color w:val="auto"/>
        </w:rPr>
      </w:pPr>
    </w:p>
    <w:p>
      <w:pPr>
        <w:ind w:left="420"/>
        <w:spacing w:after="0"/>
        <w:tabs>
          <w:tab w:leader="none" w:pos="1140" w:val="left"/>
          <w:tab w:leader="none" w:pos="7500" w:val="left"/>
          <w:tab w:leader="none" w:pos="8340" w:val="left"/>
          <w:tab w:leader="none" w:pos="9180" w:val="left"/>
          <w:tab w:leader="none" w:pos="10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Principal Financial Officer pursuant to Rules 13a-14 and 15-d-14</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8"/>
          <w:szCs w:val="18"/>
          <w:color w:val="252525"/>
        </w:rPr>
        <w:t>—</w:t>
      </w:r>
      <w:r>
        <w:rPr>
          <w:sz w:val="20"/>
          <w:szCs w:val="20"/>
          <w:color w:val="auto"/>
        </w:rPr>
        <w:tab/>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37388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2">
                      <a:extLst>
                        <a:ext uri="{28A0092B-C50C-407E-A947-70E740481C1C}"/>
                      </a:extLst>
                    </a:blip>
                    <a:srcRect/>
                    <a:stretch>
                      <a:fillRect/>
                    </a:stretch>
                  </pic:blipFill>
                  <pic:spPr bwMode="auto">
                    <a:xfrm>
                      <a:off x="0" y="0"/>
                      <a:ext cx="3738880" cy="8255"/>
                    </a:xfrm>
                    <a:prstGeom prst="rect">
                      <a:avLst/>
                    </a:prstGeom>
                    <a:noFill/>
                  </pic:spPr>
                </pic:pic>
              </a:graphicData>
            </a:graphic>
          </wp:anchor>
        </w:drawing>
      </w:r>
    </w:p>
    <w:p>
      <w:pPr>
        <w:spacing w:after="0" w:line="3" w:lineRule="exact"/>
        <w:rPr>
          <w:sz w:val="20"/>
          <w:szCs w:val="20"/>
          <w:color w:val="auto"/>
        </w:rPr>
      </w:pPr>
    </w:p>
    <w:p>
      <w:pPr>
        <w:ind w:left="1160" w:right="4460"/>
        <w:spacing w:after="0" w:line="323" w:lineRule="auto"/>
        <w:rPr>
          <w:sz w:val="20"/>
          <w:szCs w:val="20"/>
          <w:color w:val="auto"/>
        </w:rPr>
      </w:pPr>
      <w:r>
        <w:rPr>
          <w:rFonts w:ascii="Arial" w:cs="Arial" w:eastAsia="Arial" w:hAnsi="Arial"/>
          <w:sz w:val="16"/>
          <w:szCs w:val="16"/>
          <w:u w:val="single" w:color="auto"/>
          <w:color w:val="0000FF"/>
        </w:rPr>
        <w:t>promulgated pursuant to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-202565</wp:posOffset>
            </wp:positionV>
            <wp:extent cx="35915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3">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-65405</wp:posOffset>
            </wp:positionV>
            <wp:extent cx="30968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4">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192" w:lineRule="exact"/>
        <w:rPr>
          <w:sz w:val="20"/>
          <w:szCs w:val="20"/>
          <w:color w:val="auto"/>
        </w:rPr>
      </w:pPr>
    </w:p>
    <w:p>
      <w:pPr>
        <w:ind w:left="1160" w:right="20" w:hanging="737"/>
        <w:spacing w:after="0" w:line="308" w:lineRule="auto"/>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-197485</wp:posOffset>
            </wp:positionV>
            <wp:extent cx="38119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5">
                      <a:extLst>
                        <a:ext uri="{28A0092B-C50C-407E-A947-70E740481C1C}"/>
                      </a:extLst>
                    </a:blip>
                    <a:srcRect/>
                    <a:stretch>
                      <a:fillRect/>
                    </a:stretch>
                  </pic:blipFill>
                  <pic:spPr bwMode="auto">
                    <a:xfrm>
                      <a:off x="0" y="0"/>
                      <a:ext cx="381190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-60325</wp:posOffset>
            </wp:positionV>
            <wp:extent cx="309689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6">
                      <a:extLst>
                        <a:ext uri="{28A0092B-C50C-407E-A947-70E740481C1C}"/>
                      </a:extLst>
                    </a:blip>
                    <a:srcRect/>
                    <a:stretch>
                      <a:fillRect/>
                    </a:stretch>
                  </pic:blipFill>
                  <pic:spPr bwMode="auto">
                    <a:xfrm>
                      <a:off x="0" y="0"/>
                      <a:ext cx="3096895" cy="8890"/>
                    </a:xfrm>
                    <a:prstGeom prst="rect">
                      <a:avLst/>
                    </a:prstGeom>
                    <a:noFill/>
                  </pic:spPr>
                </pic:pic>
              </a:graphicData>
            </a:graphic>
          </wp:anchor>
        </w:drawing>
      </w:r>
    </w:p>
    <w:p>
      <w:pPr>
        <w:spacing w:after="0" w:line="180" w:lineRule="exact"/>
        <w:rPr>
          <w:sz w:val="20"/>
          <w:szCs w:val="20"/>
          <w:color w:val="auto"/>
        </w:rPr>
      </w:pPr>
    </w:p>
    <w:p>
      <w:pPr>
        <w:ind w:left="1160" w:right="80" w:hanging="737"/>
        <w:spacing w:after="0" w:line="308" w:lineRule="auto"/>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-197485</wp:posOffset>
            </wp:positionV>
            <wp:extent cx="37801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7">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-60325</wp:posOffset>
            </wp:positionV>
            <wp:extent cx="30968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8">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180" w:lineRule="exact"/>
        <w:rPr>
          <w:sz w:val="20"/>
          <w:szCs w:val="20"/>
          <w:color w:val="auto"/>
        </w:rPr>
      </w:pPr>
    </w:p>
    <w:p>
      <w:pPr>
        <w:ind w:left="1160" w:hanging="882"/>
        <w:spacing w:after="0" w:line="263" w:lineRule="auto"/>
        <w:tabs>
          <w:tab w:leader="none" w:pos="11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702"/>
        </w:trPr>
        <w:tc>
          <w:tcPr>
            <w:tcW w:w="520" w:type="dxa"/>
            <w:vAlign w:val="bottom"/>
          </w:tcPr>
          <w:p>
            <w:pPr>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702"/>
        </w:trPr>
        <w:tc>
          <w:tcPr>
            <w:tcW w:w="520" w:type="dxa"/>
            <w:vAlign w:val="bottom"/>
          </w:tcPr>
          <w:p>
            <w:pPr>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bl>
    <w:p>
      <w:pPr>
        <w:spacing w:after="0" w:line="650" w:lineRule="exact"/>
        <w:rPr>
          <w:sz w:val="20"/>
          <w:szCs w:val="20"/>
          <w:color w:val="auto"/>
        </w:rPr>
      </w:pPr>
    </w:p>
    <w:p>
      <w:pPr>
        <w:sectPr>
          <w:pgSz w:w="11900" w:h="16838" w:orient="portrait"/>
          <w:cols w:equalWidth="0" w:num="2">
            <w:col w:w="7140" w:space="380"/>
            <w:col w:w="3700"/>
          </w:cols>
          <w:pgMar w:left="320" w:top="125" w:right="359" w:bottom="1440" w:gutter="0" w:footer="0" w:header="0"/>
          <w:type w:val="continuous"/>
        </w:sectPr>
      </w:pPr>
    </w:p>
    <w:p>
      <w:pPr>
        <w:spacing w:after="0" w:line="3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0"/>
              </w:rPr>
              <w:t>101.SCH</w:t>
            </w:r>
          </w:p>
        </w:tc>
        <w:tc>
          <w:tcPr>
            <w:tcW w:w="636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ind w:left="120"/>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486"/>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7"/>
              </w:rPr>
              <w:t>101.CAL</w:t>
            </w:r>
          </w:p>
        </w:tc>
        <w:tc>
          <w:tcPr>
            <w:tcW w:w="636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c>
          <w:tcPr>
            <w:tcW w:w="640" w:type="dxa"/>
            <w:vAlign w:val="bottom"/>
          </w:tcPr>
          <w:p>
            <w:pPr>
              <w:ind w:left="120"/>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486"/>
        </w:trPr>
        <w:tc>
          <w:tcPr>
            <w:tcW w:w="800" w:type="dxa"/>
            <w:vAlign w:val="bottom"/>
          </w:tcPr>
          <w:p>
            <w:pPr>
              <w:jc w:val="center"/>
              <w:ind w:right="50"/>
              <w:spacing w:after="0"/>
              <w:rPr>
                <w:sz w:val="20"/>
                <w:szCs w:val="20"/>
                <w:color w:val="auto"/>
              </w:rPr>
            </w:pPr>
            <w:r>
              <w:rPr>
                <w:rFonts w:ascii="Arial" w:cs="Arial" w:eastAsia="Arial" w:hAnsi="Arial"/>
                <w:sz w:val="18"/>
                <w:szCs w:val="18"/>
                <w:color w:val="auto"/>
                <w:w w:val="92"/>
              </w:rPr>
              <w:t>101.DEF</w:t>
            </w:r>
          </w:p>
        </w:tc>
        <w:tc>
          <w:tcPr>
            <w:tcW w:w="636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ind w:left="120"/>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486"/>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8"/>
              </w:rPr>
              <w:t>101.LAB</w:t>
            </w:r>
          </w:p>
        </w:tc>
        <w:tc>
          <w:tcPr>
            <w:tcW w:w="636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ind w:left="120"/>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486"/>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101.PRE</w:t>
            </w:r>
          </w:p>
        </w:tc>
        <w:tc>
          <w:tcPr>
            <w:tcW w:w="636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c>
          <w:tcPr>
            <w:tcW w:w="640" w:type="dxa"/>
            <w:vAlign w:val="bottom"/>
          </w:tcPr>
          <w:p>
            <w:pPr>
              <w:ind w:left="120"/>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472"/>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3"/>
              </w:rPr>
              <w:t>104</w:t>
            </w:r>
          </w:p>
        </w:tc>
        <w:tc>
          <w:tcPr>
            <w:tcW w:w="6360" w:type="dxa"/>
            <w:vAlign w:val="bottom"/>
          </w:tcPr>
          <w:p>
            <w:pPr>
              <w:ind w:left="120"/>
              <w:spacing w:after="0"/>
              <w:rPr>
                <w:sz w:val="20"/>
                <w:szCs w:val="20"/>
                <w:color w:val="auto"/>
              </w:rPr>
            </w:pPr>
            <w:r>
              <w:rPr>
                <w:rFonts w:ascii="Arial" w:cs="Arial" w:eastAsia="Arial" w:hAnsi="Arial"/>
                <w:sz w:val="18"/>
                <w:szCs w:val="18"/>
                <w:color w:val="auto"/>
                <w:w w:val="93"/>
              </w:rPr>
              <w:t xml:space="preserve">Cover Page Interactive Data File </w:t>
            </w:r>
            <w:r>
              <w:rPr>
                <w:rFonts w:ascii="Arial" w:cs="Arial" w:eastAsia="Arial" w:hAnsi="Arial"/>
                <w:sz w:val="18"/>
                <w:szCs w:val="18"/>
                <w:color w:val="212529"/>
                <w:w w:val="93"/>
              </w:rPr>
              <w:t>(formatted as inline XBRL and contained in Exhibit</w:t>
            </w:r>
          </w:p>
        </w:tc>
        <w:tc>
          <w:tcPr>
            <w:tcW w:w="640" w:type="dxa"/>
            <w:vAlign w:val="bottom"/>
          </w:tcPr>
          <w:p>
            <w:pPr>
              <w:ind w:left="120"/>
              <w:spacing w:after="0"/>
              <w:rPr>
                <w:sz w:val="20"/>
                <w:szCs w:val="20"/>
                <w:color w:val="auto"/>
              </w:rPr>
            </w:pPr>
            <w:r>
              <w:rPr>
                <w:rFonts w:ascii="Arial" w:cs="Arial" w:eastAsia="Arial" w:hAnsi="Arial"/>
                <w:sz w:val="18"/>
                <w:szCs w:val="18"/>
                <w:color w:val="252525"/>
              </w:rPr>
              <w:t>—</w:t>
            </w:r>
          </w:p>
        </w:tc>
        <w:tc>
          <w:tcPr>
            <w:tcW w:w="840" w:type="dxa"/>
            <w:vAlign w:val="bottom"/>
          </w:tcPr>
          <w:p>
            <w:pPr>
              <w:ind w:left="320"/>
              <w:spacing w:after="0"/>
              <w:rPr>
                <w:sz w:val="20"/>
                <w:szCs w:val="20"/>
                <w:color w:val="auto"/>
              </w:rPr>
            </w:pPr>
            <w:r>
              <w:rPr>
                <w:rFonts w:ascii="Arial" w:cs="Arial" w:eastAsia="Arial" w:hAnsi="Arial"/>
                <w:sz w:val="18"/>
                <w:szCs w:val="18"/>
                <w:color w:val="252525"/>
              </w:rPr>
              <w:t>—</w:t>
            </w:r>
          </w:p>
        </w:tc>
        <w:tc>
          <w:tcPr>
            <w:tcW w:w="900" w:type="dxa"/>
            <w:vAlign w:val="bottom"/>
          </w:tcPr>
          <w:p>
            <w:pPr>
              <w:ind w:left="320"/>
              <w:spacing w:after="0"/>
              <w:rPr>
                <w:sz w:val="20"/>
                <w:szCs w:val="20"/>
                <w:color w:val="auto"/>
              </w:rPr>
            </w:pPr>
            <w:r>
              <w:rPr>
                <w:rFonts w:ascii="Arial" w:cs="Arial" w:eastAsia="Arial" w:hAnsi="Arial"/>
                <w:sz w:val="18"/>
                <w:szCs w:val="18"/>
                <w:color w:val="252525"/>
              </w:rPr>
              <w:t>—</w:t>
            </w:r>
          </w:p>
        </w:tc>
        <w:tc>
          <w:tcPr>
            <w:tcW w:w="1440" w:type="dxa"/>
            <w:vAlign w:val="bottom"/>
          </w:tcPr>
          <w:p>
            <w:pPr>
              <w:ind w:left="400"/>
              <w:spacing w:after="0"/>
              <w:rPr>
                <w:sz w:val="20"/>
                <w:szCs w:val="20"/>
                <w:color w:val="auto"/>
              </w:rPr>
            </w:pPr>
            <w:r>
              <w:rPr>
                <w:rFonts w:ascii="Arial" w:cs="Arial" w:eastAsia="Arial" w:hAnsi="Arial"/>
                <w:sz w:val="18"/>
                <w:szCs w:val="18"/>
                <w:color w:val="auto"/>
                <w:w w:val="91"/>
              </w:rPr>
              <w:t>Filed herewith</w:t>
            </w:r>
          </w:p>
        </w:tc>
      </w:tr>
      <w:tr>
        <w:trPr>
          <w:trHeight w:val="230"/>
        </w:trPr>
        <w:tc>
          <w:tcPr>
            <w:tcW w:w="800" w:type="dxa"/>
            <w:vAlign w:val="bottom"/>
          </w:tcPr>
          <w:p>
            <w:pPr>
              <w:spacing w:after="0"/>
              <w:rPr>
                <w:sz w:val="20"/>
                <w:szCs w:val="20"/>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212529"/>
              </w:rPr>
              <w:t>101).</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Certain provisions of this Exhibit have been omitted as confidential information.</w:t>
      </w:r>
    </w:p>
    <w:p>
      <w:pPr>
        <w:spacing w:after="0" w:line="23" w:lineRule="exact"/>
        <w:rPr>
          <w:sz w:val="20"/>
          <w:szCs w:val="20"/>
          <w:color w:val="auto"/>
        </w:rPr>
      </w:pPr>
    </w:p>
    <w:p>
      <w:pPr>
        <w:ind w:left="5480" w:right="4960" w:hanging="5472"/>
        <w:spacing w:after="0" w:line="887" w:lineRule="auto"/>
        <w:tabs>
          <w:tab w:leader="none" w:pos="134"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Fate Therapeutics, Inc.</w:t>
            </w:r>
          </w:p>
        </w:tc>
      </w:tr>
      <w:tr>
        <w:trPr>
          <w:trHeight w:val="486"/>
        </w:trPr>
        <w:tc>
          <w:tcPr>
            <w:tcW w:w="3980" w:type="dxa"/>
            <w:vAlign w:val="bottom"/>
          </w:tcPr>
          <w:p>
            <w:pPr>
              <w:spacing w:after="0"/>
              <w:rPr>
                <w:sz w:val="20"/>
                <w:szCs w:val="20"/>
                <w:color w:val="auto"/>
              </w:rPr>
            </w:pPr>
            <w:r>
              <w:rPr>
                <w:rFonts w:ascii="Arial" w:cs="Arial" w:eastAsia="Arial" w:hAnsi="Arial"/>
                <w:sz w:val="18"/>
                <w:szCs w:val="18"/>
                <w:color w:val="auto"/>
              </w:rPr>
              <w:t>Date: February 28, 2023</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tc>
      </w:tr>
      <w:tr>
        <w:trPr>
          <w:trHeight w:val="224"/>
        </w:trPr>
        <w:tc>
          <w:tcPr>
            <w:tcW w:w="39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0"/>
              </w:rPr>
              <w:t>J. Scott Wolchko</w:t>
            </w:r>
          </w:p>
        </w:tc>
      </w:tr>
      <w:tr>
        <w:trPr>
          <w:trHeight w:val="241"/>
        </w:trPr>
        <w:tc>
          <w:tcPr>
            <w:tcW w:w="3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 and Authorized Signatory)</w:t>
            </w:r>
          </w:p>
        </w:tc>
      </w:tr>
      <w:tr>
        <w:trPr>
          <w:trHeight w:val="513"/>
        </w:trPr>
        <w:tc>
          <w:tcPr>
            <w:tcW w:w="3980" w:type="dxa"/>
            <w:vAlign w:val="bottom"/>
          </w:tcPr>
          <w:p>
            <w:pPr>
              <w:spacing w:after="0"/>
              <w:rPr>
                <w:sz w:val="20"/>
                <w:szCs w:val="20"/>
                <w:color w:val="auto"/>
              </w:rPr>
            </w:pPr>
            <w:r>
              <w:rPr>
                <w:rFonts w:ascii="Arial" w:cs="Arial" w:eastAsia="Arial" w:hAnsi="Arial"/>
                <w:sz w:val="18"/>
                <w:szCs w:val="18"/>
                <w:color w:val="auto"/>
              </w:rPr>
              <w:t>Date: February 28, 2023</w:t>
            </w: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tc>
      </w:tr>
      <w:tr>
        <w:trPr>
          <w:trHeight w:val="224"/>
        </w:trPr>
        <w:tc>
          <w:tcPr>
            <w:tcW w:w="39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Edward J. Dulac III</w:t>
            </w:r>
          </w:p>
        </w:tc>
      </w:tr>
    </w:tbl>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72" w:lineRule="exact"/>
        <w:rPr>
          <w:sz w:val="20"/>
          <w:szCs w:val="20"/>
          <w:color w:val="auto"/>
        </w:rPr>
      </w:pPr>
    </w:p>
    <w:p>
      <w:pPr>
        <w:ind w:right="480" w:firstLine="509"/>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J. Scott Wolchko and Edward J. Dulac III as his or her attorney-in-fact,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said attorney-in-fact, or his or her substitute or substitutes may do or cause to be done by virtue hereof.</w:t>
      </w:r>
    </w:p>
    <w:p>
      <w:pPr>
        <w:spacing w:after="0" w:line="8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7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0"/>
              </w:rPr>
              <w:t>J. Scott Wolchko</w:t>
            </w:r>
          </w:p>
        </w:tc>
        <w:tc>
          <w:tcPr>
            <w:tcW w:w="1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3"/>
              </w:rPr>
              <w:t>Edward J. Dulac III</w:t>
            </w:r>
          </w:p>
        </w:tc>
        <w:tc>
          <w:tcPr>
            <w:tcW w:w="1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H. R</w:t>
            </w:r>
            <w:r>
              <w:rPr>
                <w:rFonts w:ascii="Arial" w:cs="Arial" w:eastAsia="Arial" w:hAnsi="Arial"/>
                <w:sz w:val="12"/>
                <w:szCs w:val="12"/>
                <w:color w:val="auto"/>
              </w:rPr>
              <w:t>astetter</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Chairman of the Board and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2"/>
              </w:rPr>
              <w:t>William H. Rastetter, Ph.D.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D. M</w:t>
            </w:r>
            <w:r>
              <w:rPr>
                <w:rFonts w:ascii="Arial" w:cs="Arial" w:eastAsia="Arial" w:hAnsi="Arial"/>
                <w:sz w:val="12"/>
                <w:szCs w:val="12"/>
                <w:color w:val="auto"/>
              </w:rPr>
              <w:t>endlein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Vice Chairman of the Board and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1"/>
              </w:rPr>
              <w:t>John D. Mendlein, Ph.D., J.D.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hefali</w:t>
            </w:r>
            <w:r>
              <w:rPr>
                <w:rFonts w:ascii="Arial" w:cs="Arial" w:eastAsia="Arial" w:hAnsi="Arial"/>
                <w:sz w:val="18"/>
                <w:szCs w:val="18"/>
                <w:color w:val="auto"/>
              </w:rPr>
              <w:t xml:space="preserve"> A</w:t>
            </w:r>
            <w:r>
              <w:rPr>
                <w:rFonts w:ascii="Arial" w:cs="Arial" w:eastAsia="Arial" w:hAnsi="Arial"/>
                <w:sz w:val="12"/>
                <w:szCs w:val="12"/>
                <w:color w:val="auto"/>
              </w:rPr>
              <w:t>garwal</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4"/>
              </w:rPr>
              <w:t>Shefali Agarwal, M.D.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imothy</w:t>
            </w:r>
            <w:r>
              <w:rPr>
                <w:rFonts w:ascii="Arial" w:cs="Arial" w:eastAsia="Arial" w:hAnsi="Arial"/>
                <w:sz w:val="18"/>
                <w:szCs w:val="18"/>
                <w:color w:val="auto"/>
              </w:rPr>
              <w:t xml:space="preserve"> P. C</w:t>
            </w:r>
            <w:r>
              <w:rPr>
                <w:rFonts w:ascii="Arial" w:cs="Arial" w:eastAsia="Arial" w:hAnsi="Arial"/>
                <w:sz w:val="12"/>
                <w:szCs w:val="12"/>
                <w:color w:val="auto"/>
              </w:rPr>
              <w:t>oughlin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2"/>
              </w:rPr>
              <w:t>Timothy P. Coughlin</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S. E</w:t>
            </w:r>
            <w:r>
              <w:rPr>
                <w:rFonts w:ascii="Arial" w:cs="Arial" w:eastAsia="Arial" w:hAnsi="Arial"/>
                <w:sz w:val="12"/>
                <w:szCs w:val="12"/>
                <w:color w:val="auto"/>
              </w:rPr>
              <w:t>pstein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89"/>
              </w:rPr>
              <w:t>Robert S. Epstein</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H</w:t>
            </w:r>
            <w:r>
              <w:rPr>
                <w:rFonts w:ascii="Arial" w:cs="Arial" w:eastAsia="Arial" w:hAnsi="Arial"/>
                <w:sz w:val="12"/>
                <w:szCs w:val="12"/>
                <w:color w:val="auto"/>
              </w:rPr>
              <w:t>ershberg</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1"/>
              </w:rPr>
              <w:t>Robert Hershberg, M.D., Ph.D.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arin</w:t>
            </w:r>
            <w:r>
              <w:rPr>
                <w:rFonts w:ascii="Arial" w:cs="Arial" w:eastAsia="Arial" w:hAnsi="Arial"/>
                <w:sz w:val="18"/>
                <w:szCs w:val="18"/>
                <w:color w:val="auto"/>
              </w:rPr>
              <w:t xml:space="preserve"> J</w:t>
            </w:r>
            <w:r>
              <w:rPr>
                <w:rFonts w:ascii="Arial" w:cs="Arial" w:eastAsia="Arial" w:hAnsi="Arial"/>
                <w:sz w:val="12"/>
                <w:szCs w:val="12"/>
                <w:color w:val="auto"/>
              </w:rPr>
              <w:t>ooss</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89"/>
              </w:rPr>
              <w:t>Karin Jooss, Ph.D.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L</w:t>
            </w:r>
            <w:r>
              <w:rPr>
                <w:rFonts w:ascii="Arial" w:cs="Arial" w:eastAsia="Arial" w:hAnsi="Arial"/>
                <w:sz w:val="12"/>
                <w:szCs w:val="12"/>
                <w:color w:val="auto"/>
              </w:rPr>
              <w:t>ee</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2"/>
              </w:rPr>
              <w:t>Michael Lee</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8"/>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Y</w:t>
            </w:r>
            <w:r>
              <w:rPr>
                <w:rFonts w:ascii="Arial" w:cs="Arial" w:eastAsia="Arial" w:hAnsi="Arial"/>
                <w:sz w:val="12"/>
                <w:szCs w:val="12"/>
                <w:color w:val="auto"/>
              </w:rPr>
              <w:t>uan</w:t>
            </w:r>
            <w:r>
              <w:rPr>
                <w:rFonts w:ascii="Arial" w:cs="Arial" w:eastAsia="Arial" w:hAnsi="Arial"/>
                <w:sz w:val="18"/>
                <w:szCs w:val="18"/>
                <w:color w:val="auto"/>
              </w:rPr>
              <w:t xml:space="preserve"> X</w:t>
            </w:r>
            <w:r>
              <w:rPr>
                <w:rFonts w:ascii="Arial" w:cs="Arial" w:eastAsia="Arial" w:hAnsi="Arial"/>
                <w:sz w:val="12"/>
                <w:szCs w:val="12"/>
                <w:color w:val="auto"/>
              </w:rPr>
              <w:t>u</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91"/>
              </w:rPr>
              <w:t>Yuan Xu, Ph.D.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SUBSIDIARIES OF REGISTRANT</w:t>
            </w:r>
          </w:p>
        </w:tc>
        <w:tc>
          <w:tcPr>
            <w:tcW w:w="220" w:type="dxa"/>
            <w:vAlign w:val="bottom"/>
          </w:tcPr>
          <w:p>
            <w:pPr>
              <w:spacing w:after="0"/>
              <w:rPr>
                <w:sz w:val="20"/>
                <w:szCs w:val="20"/>
                <w:color w:val="auto"/>
              </w:rPr>
            </w:pPr>
          </w:p>
        </w:tc>
        <w:tc>
          <w:tcPr>
            <w:tcW w:w="3340" w:type="dxa"/>
            <w:vAlign w:val="bottom"/>
            <w:gridSpan w:val="2"/>
          </w:tcPr>
          <w:p>
            <w:pPr>
              <w:ind w:left="242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3"/>
              </w:rPr>
              <w:t>State or Other Jurisdiction of Incorporation or</w:t>
            </w:r>
          </w:p>
        </w:tc>
        <w:tc>
          <w:tcPr>
            <w:tcW w:w="220" w:type="dxa"/>
            <w:vAlign w:val="bottom"/>
          </w:tcPr>
          <w:p>
            <w:pPr>
              <w:spacing w:after="0"/>
              <w:rPr>
                <w:sz w:val="24"/>
                <w:szCs w:val="24"/>
                <w:color w:val="auto"/>
              </w:rPr>
            </w:pPr>
          </w:p>
        </w:tc>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Names Under Which Subsidiary Does Business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vMerge w:val="restart"/>
          </w:tcPr>
          <w:p>
            <w:pPr>
              <w:ind w:left="1640"/>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
                <w:szCs w:val="2"/>
                <w:color w:val="auto"/>
              </w:rPr>
            </w:pPr>
          </w:p>
        </w:tc>
        <w:tc>
          <w:tcPr>
            <w:tcW w:w="3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Organization</w:t>
            </w:r>
          </w:p>
        </w:tc>
        <w:tc>
          <w:tcPr>
            <w:tcW w:w="22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7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Fate Therapeutics (UK) Ltd.</w:t>
            </w: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Fate Therapeutics (UK) Ltd.</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Tfinity Therapeutics, Inc.</w:t>
            </w: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Tfinity Therapeutics, Inc.</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Fate Therapeutics B.V.</w:t>
            </w: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rPr>
              <w:t>Netherlands</w:t>
            </w:r>
          </w:p>
        </w:tc>
        <w:tc>
          <w:tcPr>
            <w:tcW w:w="2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Fate Therapeutics B.V.</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Senescea Therapeutics, Inc.</w:t>
            </w: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Senescea Therapeutics, Inc.</w:t>
            </w:r>
          </w:p>
        </w:tc>
        <w:tc>
          <w:tcPr>
            <w:tcW w:w="0" w:type="dxa"/>
            <w:vAlign w:val="bottom"/>
          </w:tcPr>
          <w:p>
            <w:pPr>
              <w:spacing w:after="0"/>
              <w:rPr>
                <w:sz w:val="1"/>
                <w:szCs w:val="1"/>
                <w:color w:val="auto"/>
              </w:rPr>
            </w:pPr>
          </w:p>
        </w:tc>
      </w:tr>
      <w:tr>
        <w:trPr>
          <w:trHeight w:val="345"/>
        </w:trPr>
        <w:tc>
          <w:tcPr>
            <w:tcW w:w="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Registration Statements (Form S-3 Nos. 333-213590, 333-215460, 333-219987, and 333-260772) of Fate Therapeutics, Inc., and</w:t>
      </w:r>
    </w:p>
    <w:p>
      <w:pPr>
        <w:spacing w:after="0" w:line="128" w:lineRule="exact"/>
        <w:rPr>
          <w:rFonts w:ascii="Arial" w:cs="Arial" w:eastAsia="Arial" w:hAnsi="Arial"/>
          <w:sz w:val="17"/>
          <w:szCs w:val="17"/>
          <w:color w:val="auto"/>
        </w:rPr>
      </w:pPr>
    </w:p>
    <w:p>
      <w:pPr>
        <w:ind w:left="1020" w:right="100" w:hanging="503"/>
        <w:spacing w:after="0" w:line="259"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Statements (Form S-8 Nos. 333-191576, 333-194625, 333-202690, 333-209392, 333-211484, 333-215880, 333-219989, 333-223521, 333-230152, 333-236835, 333-253459, 333-263102, and 333-265502) pertaining to the 2007 Equity Incentive Plan, the 2013 Stock Option and Incentive Plan, the 2013 Employee Stock Purchase Plan, the Inducement Equity Plan and the 2022 Stock Option and Incentive Plan of Fate Therapeutics, Inc.;</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of our reports dated February 28, 2023, with respect to the consolidated financial statements of Fate Therapeutics, Inc. and the effectiveness of internal control over financial reporting of Fate Therapeutics, Inc. included in this Annual Report (Form 10-K) of Fate Therapeutics, Inc.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AND 15d-14(a) OF THE SECURITIES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 Scott Wolchko, certify that:</w:t>
      </w:r>
    </w:p>
    <w:p>
      <w:pPr>
        <w:spacing w:after="0" w:line="117" w:lineRule="exact"/>
        <w:rPr>
          <w:sz w:val="20"/>
          <w:szCs w:val="20"/>
          <w:color w:val="auto"/>
        </w:rPr>
      </w:pPr>
    </w:p>
    <w:p>
      <w:pPr>
        <w:ind w:left="700" w:hanging="183"/>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Fate Therapeutics, Inc.;</w:t>
      </w:r>
    </w:p>
    <w:p>
      <w:pPr>
        <w:spacing w:after="0" w:line="117"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517"/>
        <w:spacing w:after="0" w:line="263" w:lineRule="auto"/>
        <w:tabs>
          <w:tab w:leader="none" w:pos="6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0" w:firstLine="506"/>
        <w:spacing w:after="0" w:line="263" w:lineRule="auto"/>
        <w:tabs>
          <w:tab w:leader="none" w:pos="11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200" w:firstLine="506"/>
        <w:spacing w:after="0" w:line="263" w:lineRule="auto"/>
        <w:tabs>
          <w:tab w:leader="none" w:pos="12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40" w:firstLine="506"/>
        <w:spacing w:after="0" w:line="342" w:lineRule="auto"/>
        <w:tabs>
          <w:tab w:leader="none" w:pos="1199"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506"/>
        <w:spacing w:after="0" w:line="263" w:lineRule="auto"/>
        <w:tabs>
          <w:tab w:leader="none" w:pos="12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20" w:firstLine="517"/>
        <w:spacing w:after="0" w:line="308" w:lineRule="auto"/>
        <w:tabs>
          <w:tab w:leader="none" w:pos="68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506"/>
        <w:spacing w:after="0" w:line="308" w:lineRule="auto"/>
        <w:tabs>
          <w:tab w:leader="none" w:pos="1199"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506"/>
        <w:spacing w:after="0" w:line="277" w:lineRule="auto"/>
        <w:tabs>
          <w:tab w:leader="none" w:pos="12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/s/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 Scott Wolchko</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PRINCIPAL FINANCIAL OFFICER PURSUANT TO RULE 13a-14(a) AND 15d-14(a) OF THE SECURITIES EXCHANGE ACT,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Edward J. Dulac III, certify that:</w:t>
      </w:r>
    </w:p>
    <w:p>
      <w:pPr>
        <w:spacing w:after="0" w:line="225" w:lineRule="exact"/>
        <w:rPr>
          <w:sz w:val="20"/>
          <w:szCs w:val="20"/>
          <w:color w:val="auto"/>
        </w:rPr>
      </w:pPr>
    </w:p>
    <w:p>
      <w:pPr>
        <w:ind w:left="700" w:hanging="183"/>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Fate Therapeutics, Inc.;</w:t>
      </w:r>
    </w:p>
    <w:p>
      <w:pPr>
        <w:spacing w:after="0" w:line="225" w:lineRule="exact"/>
        <w:rPr>
          <w:rFonts w:ascii="Arial" w:cs="Arial" w:eastAsia="Arial" w:hAnsi="Arial"/>
          <w:sz w:val="18"/>
          <w:szCs w:val="18"/>
          <w:color w:val="auto"/>
        </w:rPr>
      </w:pPr>
    </w:p>
    <w:p>
      <w:pPr>
        <w:ind w:right="80" w:firstLine="517"/>
        <w:spacing w:after="0" w:line="342" w:lineRule="auto"/>
        <w:tabs>
          <w:tab w:leader="none" w:pos="6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7"/>
        <w:spacing w:after="0" w:line="263" w:lineRule="auto"/>
        <w:tabs>
          <w:tab w:leader="none" w:pos="6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1028"/>
        <w:spacing w:after="0" w:line="263" w:lineRule="auto"/>
        <w:tabs>
          <w:tab w:leader="none" w:pos="1189"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1028"/>
        <w:spacing w:after="0" w:line="263" w:lineRule="auto"/>
        <w:tabs>
          <w:tab w:leader="none" w:pos="12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340" w:firstLine="1028"/>
        <w:spacing w:after="0" w:line="342" w:lineRule="auto"/>
        <w:tabs>
          <w:tab w:leader="none" w:pos="1189"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1028"/>
        <w:spacing w:after="0" w:line="263" w:lineRule="auto"/>
        <w:tabs>
          <w:tab w:leader="none" w:pos="12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517"/>
        <w:spacing w:after="0" w:line="308" w:lineRule="auto"/>
        <w:tabs>
          <w:tab w:leader="none" w:pos="6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560" w:firstLine="1028"/>
        <w:spacing w:after="0" w:line="308" w:lineRule="auto"/>
        <w:tabs>
          <w:tab w:leader="none" w:pos="1189"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40" w:firstLine="1028"/>
        <w:spacing w:after="0" w:line="277" w:lineRule="auto"/>
        <w:tabs>
          <w:tab w:leader="none" w:pos="12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/s/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Edward J. Dulac III</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J. Scott Wolchko, President and Chief Executive Officer of Fate Therapeutics, Inc. (the “Registrant”), do hereby certify in accordance with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Section 906 of the Sarbanes-Oxley Act of 2002, that, based upon my knowledge:</w:t>
      </w:r>
    </w:p>
    <w:p>
      <w:pPr>
        <w:spacing w:after="0" w:line="103" w:lineRule="exact"/>
        <w:rPr>
          <w:sz w:val="20"/>
          <w:szCs w:val="20"/>
          <w:color w:val="auto"/>
        </w:rPr>
      </w:pPr>
    </w:p>
    <w:p>
      <w:pPr>
        <w:ind w:left="1020" w:right="260" w:hanging="503"/>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Annual Report on Form 10-K of the Registrant, to which this certification is attached as an exhibit (the “Report”), fully complies with the requirements of Section 13(a) or 15(d) of the Securities Exchange Act of 1934 (15 U.S.C. 78m); and</w:t>
      </w:r>
    </w:p>
    <w:p>
      <w:pPr>
        <w:spacing w:after="0" w:line="62"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/s/ J. S</w:t>
      </w:r>
      <w:r>
        <w:rPr>
          <w:rFonts w:ascii="Arial" w:cs="Arial" w:eastAsia="Arial" w:hAnsi="Arial"/>
          <w:sz w:val="12"/>
          <w:szCs w:val="12"/>
          <w:color w:val="auto"/>
        </w:rPr>
        <w:t>cott</w:t>
      </w:r>
      <w:r>
        <w:rPr>
          <w:rFonts w:ascii="Arial" w:cs="Arial" w:eastAsia="Arial" w:hAnsi="Arial"/>
          <w:sz w:val="18"/>
          <w:szCs w:val="18"/>
          <w:color w:val="auto"/>
        </w:rPr>
        <w:t xml:space="preserve"> W</w:t>
      </w:r>
      <w:r>
        <w:rPr>
          <w:rFonts w:ascii="Arial" w:cs="Arial" w:eastAsia="Arial" w:hAnsi="Arial"/>
          <w:sz w:val="12"/>
          <w:szCs w:val="12"/>
          <w:color w:val="auto"/>
        </w:rPr>
        <w:t>olchko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 Scott Wolchko</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 Edward J. Dulac III, Chief Financial Officer of Fate Therapeutics, Inc. (the “Registrant”), do hereby certify in accordance with 18 U.S.C. 1350, as adopted pursuant to Section 906 of the Sarbanes-Oxley Act of 2002, that, based upon my knowledge:</w:t>
      </w:r>
    </w:p>
    <w:p>
      <w:pPr>
        <w:spacing w:after="0" w:line="62" w:lineRule="exact"/>
        <w:rPr>
          <w:sz w:val="20"/>
          <w:szCs w:val="20"/>
          <w:color w:val="auto"/>
        </w:rPr>
      </w:pPr>
    </w:p>
    <w:p>
      <w:pPr>
        <w:ind w:left="1020" w:right="260" w:hanging="503"/>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Annual Report on Form 10-K of the Registrant, to which this certification is attached as an exhibit (the “Report”), fully complies with the requirements of Section 13(a) or 15(d) of the Securities Exchange Act of 1934 (15 U.S.C. 78m); and</w:t>
      </w:r>
    </w:p>
    <w:p>
      <w:pPr>
        <w:spacing w:after="0" w:line="62"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/s/ E</w:t>
      </w:r>
      <w:r>
        <w:rPr>
          <w:rFonts w:ascii="Arial" w:cs="Arial" w:eastAsia="Arial" w:hAnsi="Arial"/>
          <w:sz w:val="12"/>
          <w:szCs w:val="12"/>
          <w:color w:val="auto"/>
        </w:rPr>
        <w:t>dward</w:t>
      </w:r>
      <w:r>
        <w:rPr>
          <w:rFonts w:ascii="Arial" w:cs="Arial" w:eastAsia="Arial" w:hAnsi="Arial"/>
          <w:sz w:val="18"/>
          <w:szCs w:val="18"/>
          <w:color w:val="auto"/>
        </w:rPr>
        <w:t xml:space="preserve"> J. D</w:t>
      </w:r>
      <w:r>
        <w:rPr>
          <w:rFonts w:ascii="Arial" w:cs="Arial" w:eastAsia="Arial" w:hAnsi="Arial"/>
          <w:sz w:val="12"/>
          <w:szCs w:val="12"/>
          <w:color w:val="auto"/>
        </w:rPr>
        <w:t>ulac</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Edward J. Dulac III</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2"/>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9"/>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1)"/>
      <w:numFmt w:val="lowerRoman"/>
      <w:start w:val="3"/>
    </w:lvl>
  </w:abstractNum>
  <w:abstractNum w:abstractNumId="58">
    <w:nsid w:val="2F305DEF"/>
    <w:multiLevelType w:val="hybridMultilevel"/>
    <w:lvl w:ilvl="0">
      <w:lvlJc w:val="left"/>
      <w:lvlText w:val="%1."/>
      <w:numFmt w:val="decimal"/>
      <w:start w:val="3"/>
    </w:lvl>
  </w:abstractNum>
  <w:abstractNum w:abstractNumId="59">
    <w:nsid w:val="25A70BF7"/>
    <w:multiLevelType w:val="hybridMultilevel"/>
    <w:lvl w:ilvl="0">
      <w:lvlJc w:val="left"/>
      <w:lvlText w:val="%1."/>
      <w:numFmt w:val="decimal"/>
      <w:start w:val="3"/>
    </w:lvl>
  </w:abstractNum>
  <w:abstractNum w:abstractNumId="60">
    <w:nsid w:val="1DBABF00"/>
    <w:multiLevelType w:val="hybridMultilevel"/>
    <w:lvl w:ilvl="0">
      <w:lvlJc w:val="left"/>
      <w:lvlText w:val="%1."/>
      <w:numFmt w:val="decimal"/>
      <w:start w:val="7"/>
    </w:lvl>
  </w:abstractNum>
  <w:abstractNum w:abstractNumId="61">
    <w:nsid w:val="4AD084E9"/>
    <w:multiLevelType w:val="hybridMultilevel"/>
    <w:lvl w:ilvl="0">
      <w:lvlJc w:val="left"/>
      <w:lvlText w:val="%1."/>
      <w:numFmt w:val="decimal"/>
      <w:start w:val="9"/>
    </w:lvl>
  </w:abstractNum>
  <w:abstractNum w:abstractNumId="62">
    <w:nsid w:val="1F48EAA1"/>
    <w:multiLevelType w:val="hybridMultilevel"/>
    <w:lvl w:ilvl="0">
      <w:lvlJc w:val="left"/>
      <w:lvlText w:val="%1."/>
      <w:numFmt w:val="decimal"/>
      <w:start w:val="12"/>
    </w:lvl>
  </w:abstractNum>
  <w:abstractNum w:abstractNumId="63">
    <w:nsid w:val="1381823A"/>
    <w:multiLevelType w:val="hybridMultilevel"/>
    <w:lvl w:ilvl="0">
      <w:lvlJc w:val="left"/>
      <w:lvlText w:val="(%1)"/>
      <w:numFmt w:val="decimal"/>
      <w:start w:val="2"/>
    </w:lvl>
  </w:abstractNum>
  <w:abstractNum w:abstractNumId="64">
    <w:nsid w:val="5DB70AE5"/>
    <w:multiLevelType w:val="hybridMultilevel"/>
    <w:lvl w:ilvl="0">
      <w:lvlJc w:val="left"/>
      <w:lvlText w:val="(%1)"/>
      <w:numFmt w:val="decimal"/>
      <w:start w:val="3"/>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52" Type="http://schemas.openxmlformats.org/officeDocument/2006/relationships/image" Target="media/image424.png"/><Relationship Id="rId466" Type="http://schemas.openxmlformats.org/officeDocument/2006/relationships/image" Target="media/image425.png"/><Relationship Id="rId467" Type="http://schemas.openxmlformats.org/officeDocument/2006/relationships/image" Target="media/image426.png"/><Relationship Id="rId486" Type="http://schemas.openxmlformats.org/officeDocument/2006/relationships/image" Target="media/image427.png"/><Relationship Id="rId487" Type="http://schemas.openxmlformats.org/officeDocument/2006/relationships/image" Target="media/image428.png"/><Relationship Id="rId488" Type="http://schemas.openxmlformats.org/officeDocument/2006/relationships/image" Target="media/image429.png"/><Relationship Id="rId489" Type="http://schemas.openxmlformats.org/officeDocument/2006/relationships/image" Target="media/image430.png"/><Relationship Id="rId490" Type="http://schemas.openxmlformats.org/officeDocument/2006/relationships/image" Target="media/image431.png"/><Relationship Id="rId491" Type="http://schemas.openxmlformats.org/officeDocument/2006/relationships/image" Target="media/image432.png"/><Relationship Id="rId492" Type="http://schemas.openxmlformats.org/officeDocument/2006/relationships/image" Target="media/image433.png"/><Relationship Id="rId493" Type="http://schemas.openxmlformats.org/officeDocument/2006/relationships/image" Target="media/image434.png"/><Relationship Id="rId494" Type="http://schemas.openxmlformats.org/officeDocument/2006/relationships/image" Target="media/image435.png"/><Relationship Id="rId495" Type="http://schemas.openxmlformats.org/officeDocument/2006/relationships/image" Target="media/image436.png"/><Relationship Id="rId496" Type="http://schemas.openxmlformats.org/officeDocument/2006/relationships/image" Target="media/image437.png"/><Relationship Id="rId497" Type="http://schemas.openxmlformats.org/officeDocument/2006/relationships/image" Target="media/image438.png"/><Relationship Id="rId498" Type="http://schemas.openxmlformats.org/officeDocument/2006/relationships/image" Target="media/image439.png"/><Relationship Id="rId499" Type="http://schemas.openxmlformats.org/officeDocument/2006/relationships/image" Target="media/image440.png"/><Relationship Id="rId500" Type="http://schemas.openxmlformats.org/officeDocument/2006/relationships/image" Target="media/image441.png"/><Relationship Id="rId501" Type="http://schemas.openxmlformats.org/officeDocument/2006/relationships/image" Target="media/image442.png"/><Relationship Id="rId502" Type="http://schemas.openxmlformats.org/officeDocument/2006/relationships/image" Target="media/image443.png"/><Relationship Id="rId503" Type="http://schemas.openxmlformats.org/officeDocument/2006/relationships/image" Target="media/image444.png"/><Relationship Id="rId504" Type="http://schemas.openxmlformats.org/officeDocument/2006/relationships/image" Target="media/image445.png"/><Relationship Id="rId505" Type="http://schemas.openxmlformats.org/officeDocument/2006/relationships/image" Target="media/image446.png"/><Relationship Id="rId506" Type="http://schemas.openxmlformats.org/officeDocument/2006/relationships/image" Target="media/image447.png"/><Relationship Id="rId507" Type="http://schemas.openxmlformats.org/officeDocument/2006/relationships/image" Target="media/image448.png"/><Relationship Id="rId508" Type="http://schemas.openxmlformats.org/officeDocument/2006/relationships/image" Target="media/image449.png"/><Relationship Id="rId509" Type="http://schemas.openxmlformats.org/officeDocument/2006/relationships/image" Target="media/image450.png"/><Relationship Id="rId510" Type="http://schemas.openxmlformats.org/officeDocument/2006/relationships/image" Target="media/image451.png"/><Relationship Id="rId511" Type="http://schemas.openxmlformats.org/officeDocument/2006/relationships/image" Target="media/image452.png"/><Relationship Id="rId512" Type="http://schemas.openxmlformats.org/officeDocument/2006/relationships/image" Target="media/image453.png"/><Relationship Id="rId513" Type="http://schemas.openxmlformats.org/officeDocument/2006/relationships/image" Target="media/image454.png"/><Relationship Id="rId514" Type="http://schemas.openxmlformats.org/officeDocument/2006/relationships/image" Target="media/image455.png"/><Relationship Id="rId431" Type="http://schemas.openxmlformats.org/officeDocument/2006/relationships/hyperlink" Target="https://www.sec.gov/Archives/edgar/data/1434316/000119312513351036/d590580dex32.htm" TargetMode="External"/><Relationship Id="rId432" Type="http://schemas.openxmlformats.org/officeDocument/2006/relationships/hyperlink" Target="https://www.sec.gov/Archives/edgar/data/1434316/000119312521184402/d191657dex31.htm" TargetMode="External"/><Relationship Id="rId433" Type="http://schemas.openxmlformats.org/officeDocument/2006/relationships/hyperlink" Target="https://www.sec.gov/Archives/edgar/data/1434316/000119312516778378/d301639dex31.htm" TargetMode="External"/><Relationship Id="rId434" Type="http://schemas.openxmlformats.org/officeDocument/2006/relationships/hyperlink" Target="https://www.sec.gov/Archives/edgar/data/1434316/000156459021008086/fate-ex33_493.htm" TargetMode="External"/><Relationship Id="rId435" Type="http://schemas.openxmlformats.org/officeDocument/2006/relationships/hyperlink" Target="https://www.sec.gov/Archives/edgar/data/1434316/000119312513351036/d590580dex41.htm" TargetMode="External"/><Relationship Id="rId436" Type="http://schemas.openxmlformats.org/officeDocument/2006/relationships/hyperlink" Target="https://www.sec.gov/Archives/edgar/data/1434316/000156459021008086/fate-ex45_659.htm" TargetMode="External"/><Relationship Id="rId437" Type="http://schemas.openxmlformats.org/officeDocument/2006/relationships/hyperlink" Target="https://www.sec.gov/Archives/edgar/data/1434316/000119312521005180/d95890dex41.htm" TargetMode="External"/><Relationship Id="rId438" Type="http://schemas.openxmlformats.org/officeDocument/2006/relationships/hyperlink" Target="https://www.sec.gov/Archives/edgar/data/1434316/000119312513351036/d590580dex101.htm" TargetMode="External"/><Relationship Id="rId439" Type="http://schemas.openxmlformats.org/officeDocument/2006/relationships/hyperlink" Target="https://www.sec.gov/Archives/edgar/data/1434316/000156459021008086/fate-ex102_726.htm" TargetMode="External"/><Relationship Id="rId440" Type="http://schemas.openxmlformats.org/officeDocument/2006/relationships/hyperlink" Target="https://www.sec.gov/Archives/edgar/data/1434316/000110465915000991/a15-1355_1ex10d2.htm" TargetMode="External"/><Relationship Id="rId441" Type="http://schemas.openxmlformats.org/officeDocument/2006/relationships/hyperlink" Target="https://www.sec.gov/Archives/edgar/data/1434316/000119312513367071/d552384dex1024.htm" TargetMode="External"/><Relationship Id="rId442" Type="http://schemas.openxmlformats.org/officeDocument/2006/relationships/hyperlink" Target="https://www.sec.gov/Archives/edgar/data/1434316/000156459018004394/fate-ex105_89.htm" TargetMode="External"/><Relationship Id="rId443" Type="http://schemas.openxmlformats.org/officeDocument/2006/relationships/hyperlink" Target="https://www.sec.gov/Archives/edgar/data/1434316/000110465915000991/a15-1355_1ex10d1.htm" TargetMode="External"/><Relationship Id="rId444" Type="http://schemas.openxmlformats.org/officeDocument/2006/relationships/hyperlink" Target="https://www.sec.gov/Archives/edgar/data/1434316/000156459021040821/fate-ex101_195.htm" TargetMode="External"/><Relationship Id="rId445" Type="http://schemas.openxmlformats.org/officeDocument/2006/relationships/hyperlink" Target="https://www.sec.gov/Archives/edgar/data/1434316/000156459021008086/fate-ex108_663.htm" TargetMode="External"/><Relationship Id="rId446" Type="http://schemas.openxmlformats.org/officeDocument/2006/relationships/hyperlink" Target="https://www.sec.gov/Archives/edgar/data/1434316/000156459021008086/fate-ex109_727.htm" TargetMode="External"/><Relationship Id="rId447" Type="http://schemas.openxmlformats.org/officeDocument/2006/relationships/hyperlink" Target="https://www.sec.gov/Archives/edgar/data/1434316/000156459021008086/fate-ex1010_728.htm" TargetMode="External"/><Relationship Id="rId448" Type="http://schemas.openxmlformats.org/officeDocument/2006/relationships/hyperlink" Target="https://www.sec.gov/Archives/edgar/data/1434316/000119312513333316/d552384dex1014.htm" TargetMode="External"/><Relationship Id="rId449" Type="http://schemas.openxmlformats.org/officeDocument/2006/relationships/hyperlink" Target="https://www.sec.gov/Archives/edgar/data/1434316/000119312513333316/d552384dex1015.htm" TargetMode="External"/><Relationship Id="rId450" Type="http://schemas.openxmlformats.org/officeDocument/2006/relationships/hyperlink" Target="https://www.sec.gov/Archives/edgar/data/1434316/000119312513383888/d552384dex1025.htm" TargetMode="External"/><Relationship Id="rId451" Type="http://schemas.openxmlformats.org/officeDocument/2006/relationships/hyperlink" Target="https://www.sec.gov/Archives/edgar/data/1434316/000156459016013981/fate-ex1015_610.htm" TargetMode="External"/><Relationship Id="rId453" Type="http://schemas.openxmlformats.org/officeDocument/2006/relationships/hyperlink" Target="https://www.sec.gov/Archives/edgar/data/1434316/000156459016013981/fate-ex1016_611.htm" TargetMode="External"/><Relationship Id="rId454" Type="http://schemas.openxmlformats.org/officeDocument/2006/relationships/hyperlink" Target="https://www.sec.gov/Archives/edgar/data/1434316/000156459016023312/fate-ex102_105.htm" TargetMode="External"/><Relationship Id="rId455" Type="http://schemas.openxmlformats.org/officeDocument/2006/relationships/hyperlink" Target="https://www.sec.gov/Archives/edgar/data/1434316/000119312513351036/d590580dex1020.htm" TargetMode="External"/><Relationship Id="rId456" Type="http://schemas.openxmlformats.org/officeDocument/2006/relationships/hyperlink" Target="https://www.sec.gov/Archives/edgar/data/1434316/000156459021008086/fate-ex1019_494.htm" TargetMode="External"/><Relationship Id="rId457" Type="http://schemas.openxmlformats.org/officeDocument/2006/relationships/hyperlink" Target="https://www.sec.gov/Archives/edgar/data/1434316/000156459021008086/fate-ex1020_495.htm" TargetMode="External"/><Relationship Id="rId458" Type="http://schemas.openxmlformats.org/officeDocument/2006/relationships/hyperlink" Target="https://www.sec.gov/Archives/edgar/data/1434316/000156459021008086/fate-ex1021_496.htm" TargetMode="External"/><Relationship Id="rId459" Type="http://schemas.openxmlformats.org/officeDocument/2006/relationships/hyperlink" Target="https://www.sec.gov/Archives/edgar/data/1434316/000156459021008086/fate-ex1022_497.htm" TargetMode="External"/><Relationship Id="rId460" Type="http://schemas.openxmlformats.org/officeDocument/2006/relationships/hyperlink" Target="https://www.sec.gov/Archives/edgar/data/1434316/000156459016023139/fate-ex101_9.htm" TargetMode="External"/><Relationship Id="rId461" Type="http://schemas.openxmlformats.org/officeDocument/2006/relationships/hyperlink" Target="https://www.sec.gov/Archives/edgar/data/1434316/000156459016023139/fate-ex102_8.htm" TargetMode="External"/><Relationship Id="rId462" Type="http://schemas.openxmlformats.org/officeDocument/2006/relationships/hyperlink" Target="https://www.sec.gov/Archives/edgar/data/1434316/000156459016029569/fate-ex101_68.htm" TargetMode="External"/><Relationship Id="rId463" Type="http://schemas.openxmlformats.org/officeDocument/2006/relationships/hyperlink" Target="https://www.sec.gov/Archives/edgar/data/1434316/000156459016029569/fate-ex102_69.htm" TargetMode="External"/><Relationship Id="rId464" Type="http://schemas.openxmlformats.org/officeDocument/2006/relationships/hyperlink" Target="https://www.sec.gov/Archives/edgar/data/1434316/000156459018004394/fate-ex1032_90.htm" TargetMode="External"/><Relationship Id="rId465" Type="http://schemas.openxmlformats.org/officeDocument/2006/relationships/hyperlink" Target="https://www.sec.gov/Archives/edgar/data/1434316/000156459019006258/fate-ex1033_244.htm" TargetMode="External"/><Relationship Id="rId468" Type="http://schemas.openxmlformats.org/officeDocument/2006/relationships/hyperlink" Target="https://www.sec.gov/Archives/edgar/data/1434316/000156459018019456/fate-ex101_80.htm" TargetMode="External"/><Relationship Id="rId469" Type="http://schemas.openxmlformats.org/officeDocument/2006/relationships/hyperlink" Target="https://www.sec.gov/Archives/edgar/data/1434316/000156459018019456/fate-ex102_223.htm" TargetMode="External"/><Relationship Id="rId470" Type="http://schemas.openxmlformats.org/officeDocument/2006/relationships/hyperlink" Target="https://www.sec.gov/Archives/edgar/data/1434316/000156459018026214/fate-ex101_83.htm" TargetMode="External"/><Relationship Id="rId471" Type="http://schemas.openxmlformats.org/officeDocument/2006/relationships/hyperlink" Target="https://www.sec.gov/Archives/edgar/data/1434316/000119312519032261/d699031dex102.htm" TargetMode="External"/><Relationship Id="rId472" Type="http://schemas.openxmlformats.org/officeDocument/2006/relationships/hyperlink" Target="https://www.sec.gov/Archives/edgar/data/1434316/000156459019006258/fate-ex1038_245.htm" TargetMode="External"/><Relationship Id="rId473" Type="http://schemas.openxmlformats.org/officeDocument/2006/relationships/hyperlink" Target="https://www.sec.gov/Archives/edgar/data/1434316/000156459020008141/fate-ex1034_359.htm" TargetMode="External"/><Relationship Id="rId474" Type="http://schemas.openxmlformats.org/officeDocument/2006/relationships/hyperlink" Target="https://www.sec.gov/Archives/edgar/data/1434316/000156459020036806/fate-ex101_201.htm" TargetMode="External"/><Relationship Id="rId475" Type="http://schemas.openxmlformats.org/officeDocument/2006/relationships/hyperlink" Target="https://www.sec.gov/Archives/edgar/data/1434316/000156459020036806/fate-ex102_199.htm" TargetMode="External"/><Relationship Id="rId476" Type="http://schemas.openxmlformats.org/officeDocument/2006/relationships/hyperlink" Target="https://www.sec.gov/Archives/edgar/data/1434316/000156459020036806/fate-ex103_200.htm" TargetMode="External"/><Relationship Id="rId477" Type="http://schemas.openxmlformats.org/officeDocument/2006/relationships/hyperlink" Target="https://www.sec.gov/Archives/edgar/data/1434316/000156459020040672/fate-ex101_24.htm" TargetMode="External"/><Relationship Id="rId478" Type="http://schemas.openxmlformats.org/officeDocument/2006/relationships/hyperlink" Target="https://www.sec.gov/Archives/edgar/data/1434316/000156459021008086/fate-ex1039_662.htm" TargetMode="External"/><Relationship Id="rId479" Type="http://schemas.openxmlformats.org/officeDocument/2006/relationships/hyperlink" Target="https://www.sec.gov/Archives/edgar/data/1434316/000156459021008086/fate-ex1040_664.htm" TargetMode="External"/><Relationship Id="rId480" Type="http://schemas.openxmlformats.org/officeDocument/2006/relationships/hyperlink" Target="https://www.sec.gov/Archives/edgar/data/1434316/000119312521320325/d212515dex11.htm" TargetMode="External"/><Relationship Id="rId481" Type="http://schemas.openxmlformats.org/officeDocument/2006/relationships/hyperlink" Target="https://www.sec.gov/Archives/edgar/data/1434316/000095017022002293/fate-ex10_40.htm" TargetMode="External"/><Relationship Id="rId482" Type="http://schemas.openxmlformats.org/officeDocument/2006/relationships/hyperlink" Target="https://www.sec.gov/Archives/edgar/data/1434316/000119312522171100/d231890dex991.htm" TargetMode="External"/><Relationship Id="rId483" Type="http://schemas.openxmlformats.org/officeDocument/2006/relationships/hyperlink" Target="https://www.sec.gov/Archives/edgar/data/1434316/000095017022014236/fate-ex10_2.htm" TargetMode="External"/><Relationship Id="rId484" Type="http://schemas.openxmlformats.org/officeDocument/2006/relationships/hyperlink" Target="https://www.sec.gov/Archives/edgar/data/1434316/000095017022022488/fate-ex10_1.htm" TargetMode="External"/><Relationship Id="rId485" Type="http://schemas.openxmlformats.org/officeDocument/2006/relationships/hyperlink" Target="https://www.sec.gov/Archives/edgar/data/1434316/000156459019006258/fate-ex141_1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2023-02-28T20:17:23Z</dcterms:created>
  <dcterms:modified xsi:type="dcterms:W3CDTF">2023-02-28T20:17:23Z</dcterms:modified>
</cp:coreProperties>
</file>