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rFonts w:ascii="Times New Roman" w:hAnsi="Times New Roman"/>
          <w:b/>
          <w:sz w:val="20"/>
        </w:rPr>
      </w:pPr>
      <w:bookmarkStart w:id="0" w:name="d112070ds8.htm"/>
      <w:bookmarkStart w:id="1" w:name="ksd112070ds8"/>
      <w:bookmarkEnd w:id="0"/>
      <w:bookmarkEnd w:id="1"/>
      <w:r>
        <w:rPr>
          <w:rFonts w:ascii="Times New Roman" w:hAnsi="Times New Roman"/>
          <w:b/>
          <w:sz w:val="20"/>
        </w:rPr>
        <w:t xml:space="preserve">As filed with the Securities and Exchange Commission on August 13, 2026 </w:t>
      </w:r>
    </w:p>
    <w:p>
      <w:pPr>
        <w:pStyle w:val="TextBody"/>
        <w:bidi w:val="0"/>
        <w:spacing w:before="0" w:after="0"/>
        <w:jc w:val="right"/>
        <w:rPr>
          <w:rFonts w:ascii="Times New Roman" w:hAnsi="Times New Roman"/>
          <w:b/>
          <w:sz w:val="20"/>
        </w:rPr>
      </w:pPr>
      <w:r>
        <w:rPr>
          <w:rFonts w:ascii="Times New Roman" w:hAnsi="Times New Roman"/>
          <w:b/>
          <w:sz w:val="20"/>
        </w:rPr>
        <w:t xml:space="preserve">Registration No. 333-   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FORM S-8 </w:t>
      </w:r>
    </w:p>
    <w:p>
      <w:pPr>
        <w:pStyle w:val="TextBody"/>
        <w:bidi w:val="0"/>
        <w:spacing w:before="0" w:after="0"/>
        <w:jc w:val="center"/>
        <w:rPr>
          <w:rFonts w:ascii="Times New Roman" w:hAnsi="Times New Roman"/>
          <w:b/>
          <w:sz w:val="36"/>
        </w:rPr>
      </w:pPr>
      <w:r>
        <w:rPr>
          <w:rFonts w:ascii="Times New Roman" w:hAnsi="Times New Roman"/>
          <w:b/>
          <w:sz w:val="36"/>
        </w:rPr>
        <w:t xml:space="preserve">REGISTRATION STATEMENT </w:t>
      </w:r>
    </w:p>
    <w:p>
      <w:pPr>
        <w:pStyle w:val="TextBody"/>
        <w:bidi w:val="0"/>
        <w:spacing w:before="0" w:after="0"/>
        <w:jc w:val="center"/>
        <w:rPr>
          <w:rFonts w:ascii="Times New Roman" w:hAnsi="Times New Roman"/>
          <w:b/>
          <w:i/>
          <w:sz w:val="24"/>
        </w:rPr>
      </w:pPr>
      <w:r>
        <w:rPr>
          <w:rFonts w:ascii="Times New Roman" w:hAnsi="Times New Roman"/>
          <w:b/>
          <w:i/>
          <w:sz w:val="24"/>
        </w:rPr>
        <w:t xml:space="preserve">UNDER </w:t>
      </w:r>
    </w:p>
    <w:p>
      <w:pPr>
        <w:pStyle w:val="TextBody"/>
        <w:bidi w:val="0"/>
        <w:spacing w:before="0" w:after="0"/>
        <w:jc w:val="center"/>
        <w:rPr>
          <w:rFonts w:ascii="Times New Roman" w:hAnsi="Times New Roman"/>
          <w:b/>
          <w:i/>
          <w:sz w:val="24"/>
        </w:rPr>
      </w:pPr>
      <w:r>
        <w:rPr>
          <w:rFonts w:ascii="Times New Roman" w:hAnsi="Times New Roman"/>
          <w:b/>
          <w:i/>
          <w:sz w:val="24"/>
        </w:rPr>
        <w:t xml:space="preserve">THE SECURITIES ACT OF 1933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FATE THERAPEUTICS, INC. </w:t>
      </w:r>
    </w:p>
    <w:p>
      <w:pPr>
        <w:pStyle w:val="TextBody"/>
        <w:bidi w:val="0"/>
        <w:spacing w:before="0" w:after="0"/>
        <w:jc w:val="center"/>
        <w:rPr>
          <w:rFonts w:ascii="Times New Roman" w:hAnsi="Times New Roman"/>
          <w:b/>
          <w:sz w:val="20"/>
        </w:rPr>
      </w:pPr>
      <w:r>
        <w:rPr>
          <w:rFonts w:ascii="Times New Roman" w:hAnsi="Times New Roman"/>
          <w:b/>
          <w:sz w:val="20"/>
        </w:rPr>
        <w:t xml:space="preserve">(Exact name of registrant as specified in its charter)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3"/>
        <w:gridCol w:w="103"/>
        <w:gridCol w:w="4949"/>
      </w:tblGrid>
      <w:tr>
        <w:trPr/>
        <w:tc>
          <w:tcPr>
            <w:tcW w:w="5153"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4949" w:type="dxa"/>
            <w:tcBorders/>
            <w:vAlign w:val="center"/>
          </w:tcPr>
          <w:p>
            <w:pPr>
              <w:pStyle w:val="TableContents"/>
              <w:bidi w:val="0"/>
              <w:spacing w:before="0" w:after="283"/>
              <w:jc w:val="left"/>
              <w:rPr>
                <w:sz w:val="4"/>
                <w:szCs w:val="4"/>
              </w:rPr>
            </w:pPr>
            <w:r>
              <w:rPr>
                <w:sz w:val="4"/>
                <w:szCs w:val="4"/>
              </w:rPr>
            </w:r>
          </w:p>
        </w:tc>
      </w:tr>
      <w:tr>
        <w:trPr/>
        <w:tc>
          <w:tcPr>
            <w:tcW w:w="5153" w:type="dxa"/>
            <w:tcBorders/>
          </w:tcPr>
          <w:p>
            <w:pPr>
              <w:pStyle w:val="TableContents"/>
              <w:bidi w:val="0"/>
              <w:spacing w:before="0" w:after="283"/>
              <w:jc w:val="center"/>
              <w:rPr>
                <w:b/>
              </w:rPr>
            </w:pPr>
            <w:r>
              <w:rPr>
                <w:b/>
              </w:rPr>
              <w:t>Delaware</w:t>
            </w:r>
          </w:p>
        </w:tc>
        <w:tc>
          <w:tcPr>
            <w:tcW w:w="103"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283"/>
              <w:jc w:val="center"/>
              <w:rPr>
                <w:b/>
              </w:rPr>
            </w:pPr>
            <w:r>
              <w:rPr>
                <w:b/>
              </w:rPr>
              <w:t>65-1311552</w:t>
            </w:r>
          </w:p>
        </w:tc>
      </w:tr>
      <w:tr>
        <w:trPr/>
        <w:tc>
          <w:tcPr>
            <w:tcW w:w="5153" w:type="dxa"/>
            <w:tcBorders/>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 of</w:t>
            </w:r>
          </w:p>
          <w:p>
            <w:pPr>
              <w:pStyle w:val="TableContents"/>
              <w:bidi w:val="0"/>
              <w:spacing w:before="0" w:after="20"/>
              <w:jc w:val="center"/>
              <w:rPr>
                <w:rFonts w:ascii="Times New Roman" w:hAnsi="Times New Roman"/>
                <w:b/>
                <w:sz w:val="16"/>
              </w:rPr>
            </w:pPr>
            <w:r>
              <w:rPr>
                <w:rFonts w:ascii="Times New Roman" w:hAnsi="Times New Roman"/>
                <w:b/>
                <w:sz w:val="16"/>
              </w:rPr>
              <w:t>incorporation or organization)</w:t>
            </w:r>
          </w:p>
        </w:tc>
        <w:tc>
          <w:tcPr>
            <w:tcW w:w="103"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r>
        <w:trPr>
          <w:trHeight w:val="240" w:hRule="atLeast"/>
        </w:trPr>
        <w:tc>
          <w:tcPr>
            <w:tcW w:w="5153" w:type="dxa"/>
            <w:tcBorders/>
            <w:vAlign w:val="center"/>
          </w:tcPr>
          <w:p>
            <w:pPr>
              <w:pStyle w:val="TableContents"/>
              <w:bidi w:val="0"/>
              <w:spacing w:before="0" w:after="283"/>
              <w:jc w:val="left"/>
              <w:rPr>
                <w:sz w:val="4"/>
                <w:szCs w:val="4"/>
              </w:rPr>
            </w:pPr>
            <w:r>
              <w:rPr>
                <w:sz w:val="4"/>
                <w:szCs w:val="4"/>
              </w:rPr>
            </w:r>
          </w:p>
        </w:tc>
        <w:tc>
          <w:tcPr>
            <w:tcW w:w="5052" w:type="dxa"/>
            <w:gridSpan w:val="2"/>
            <w:tcBorders/>
            <w:vAlign w:val="center"/>
          </w:tcPr>
          <w:p>
            <w:pPr>
              <w:pStyle w:val="TableContents"/>
              <w:bidi w:val="0"/>
              <w:spacing w:before="0" w:after="283"/>
              <w:jc w:val="left"/>
              <w:rPr>
                <w:sz w:val="4"/>
                <w:szCs w:val="4"/>
              </w:rPr>
            </w:pPr>
            <w:r>
              <w:rPr>
                <w:sz w:val="4"/>
                <w:szCs w:val="4"/>
              </w:rPr>
            </w:r>
          </w:p>
        </w:tc>
      </w:tr>
      <w:tr>
        <w:trPr/>
        <w:tc>
          <w:tcPr>
            <w:tcW w:w="5153" w:type="dxa"/>
            <w:tcBorders/>
          </w:tcPr>
          <w:p>
            <w:pPr>
              <w:pStyle w:val="TableContents"/>
              <w:bidi w:val="0"/>
              <w:spacing w:before="0" w:after="0"/>
              <w:jc w:val="center"/>
              <w:rPr>
                <w:rFonts w:ascii="Times New Roman" w:hAnsi="Times New Roman"/>
                <w:b/>
                <w:sz w:val="20"/>
              </w:rPr>
            </w:pPr>
            <w:r>
              <w:rPr>
                <w:rFonts w:ascii="Times New Roman" w:hAnsi="Times New Roman"/>
                <w:b/>
                <w:sz w:val="20"/>
              </w:rPr>
              <w:t>12278 Scripps Summit Drive</w:t>
            </w:r>
          </w:p>
          <w:p>
            <w:pPr>
              <w:pStyle w:val="TableContents"/>
              <w:bidi w:val="0"/>
              <w:spacing w:before="0" w:after="20"/>
              <w:jc w:val="center"/>
              <w:rPr>
                <w:rFonts w:ascii="Times New Roman" w:hAnsi="Times New Roman"/>
                <w:b/>
                <w:sz w:val="20"/>
              </w:rPr>
            </w:pPr>
            <w:r>
              <w:rPr>
                <w:rFonts w:ascii="Times New Roman" w:hAnsi="Times New Roman"/>
                <w:b/>
                <w:sz w:val="20"/>
              </w:rPr>
              <w:t>San Diego, CA</w:t>
            </w:r>
          </w:p>
        </w:tc>
        <w:tc>
          <w:tcPr>
            <w:tcW w:w="103" w:type="dxa"/>
            <w:tcBorders/>
            <w:vAlign w:val="bottom"/>
          </w:tcPr>
          <w:p>
            <w:pPr>
              <w:pStyle w:val="TableContents"/>
              <w:bidi w:val="0"/>
              <w:spacing w:before="0" w:after="283"/>
              <w:jc w:val="left"/>
              <w:rPr/>
            </w:pPr>
            <w:r>
              <w:rPr/>
              <w:t> </w:t>
            </w:r>
          </w:p>
        </w:tc>
        <w:tc>
          <w:tcPr>
            <w:tcW w:w="4949" w:type="dxa"/>
            <w:tcBorders/>
            <w:vAlign w:val="bottom"/>
          </w:tcPr>
          <w:p>
            <w:pPr>
              <w:pStyle w:val="TableContents"/>
              <w:bidi w:val="0"/>
              <w:spacing w:before="0" w:after="283"/>
              <w:jc w:val="center"/>
              <w:rPr>
                <w:b/>
              </w:rPr>
            </w:pPr>
            <w:r>
              <w:rPr>
                <w:b/>
              </w:rPr>
              <w:t>92131</w:t>
            </w:r>
          </w:p>
        </w:tc>
      </w:tr>
      <w:tr>
        <w:trPr/>
        <w:tc>
          <w:tcPr>
            <w:tcW w:w="5153" w:type="dxa"/>
            <w:tcBorders/>
          </w:tcPr>
          <w:p>
            <w:pPr>
              <w:pStyle w:val="TableContents"/>
              <w:bidi w:val="0"/>
              <w:spacing w:before="0" w:after="283"/>
              <w:jc w:val="center"/>
              <w:rPr>
                <w:b/>
              </w:rPr>
            </w:pPr>
            <w:r>
              <w:rPr>
                <w:b/>
              </w:rPr>
              <w:t>(Address of Principal Executive Offices)</w:t>
            </w:r>
          </w:p>
        </w:tc>
        <w:tc>
          <w:tcPr>
            <w:tcW w:w="103"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283"/>
              <w:jc w:val="center"/>
              <w:rPr>
                <w:b/>
              </w:rPr>
            </w:pPr>
            <w:r>
              <w:rPr>
                <w:b/>
              </w:rPr>
              <w:t>(Zip Code)</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FATE THERAPEUTICS, INC. THIRD AMENDED AND RESTATED 2022 STOCK OPTION AND INCENTIVE PLAN </w:t>
      </w:r>
    </w:p>
    <w:p>
      <w:pPr>
        <w:pStyle w:val="TextBody"/>
        <w:bidi w:val="0"/>
        <w:spacing w:before="0" w:after="0"/>
        <w:jc w:val="center"/>
        <w:rPr>
          <w:rFonts w:ascii="Times New Roman" w:hAnsi="Times New Roman"/>
          <w:b/>
          <w:sz w:val="16"/>
        </w:rPr>
      </w:pPr>
      <w:r>
        <w:rPr>
          <w:rFonts w:ascii="Times New Roman" w:hAnsi="Times New Roman"/>
          <w:b/>
          <w:sz w:val="16"/>
        </w:rPr>
        <w:t xml:space="preserve">(Full title of the plan) </w:t>
      </w:r>
    </w:p>
    <w:p>
      <w:pPr>
        <w:pStyle w:val="TextBody"/>
        <w:bidi w:val="0"/>
        <w:spacing w:before="240" w:after="0"/>
        <w:jc w:val="center"/>
        <w:rPr>
          <w:rFonts w:ascii="Times New Roman" w:hAnsi="Times New Roman"/>
          <w:b/>
          <w:sz w:val="20"/>
        </w:rPr>
      </w:pPr>
      <w:r>
        <w:rPr>
          <w:rFonts w:ascii="Times New Roman" w:hAnsi="Times New Roman"/>
          <w:b/>
          <w:sz w:val="20"/>
        </w:rPr>
        <w:t xml:space="preserve">Bahram Valamehr, Ph.D., MBA </w:t>
      </w:r>
    </w:p>
    <w:p>
      <w:pPr>
        <w:pStyle w:val="TextBody"/>
        <w:bidi w:val="0"/>
        <w:spacing w:before="0" w:after="0"/>
        <w:jc w:val="center"/>
        <w:rPr>
          <w:rFonts w:ascii="Times New Roman" w:hAnsi="Times New Roman"/>
          <w:b/>
          <w:sz w:val="20"/>
        </w:rPr>
      </w:pPr>
      <w:r>
        <w:rPr>
          <w:rFonts w:ascii="Times New Roman" w:hAnsi="Times New Roman"/>
          <w:b/>
          <w:sz w:val="20"/>
        </w:rPr>
        <w:t xml:space="preserve">President and Chief Executive Officer </w:t>
      </w:r>
    </w:p>
    <w:p>
      <w:pPr>
        <w:pStyle w:val="TextBody"/>
        <w:bidi w:val="0"/>
        <w:spacing w:before="0" w:after="0"/>
        <w:jc w:val="center"/>
        <w:rPr>
          <w:rFonts w:ascii="Times New Roman" w:hAnsi="Times New Roman"/>
          <w:b/>
          <w:sz w:val="20"/>
        </w:rPr>
      </w:pPr>
      <w:r>
        <w:rPr>
          <w:rFonts w:ascii="Times New Roman" w:hAnsi="Times New Roman"/>
          <w:b/>
          <w:sz w:val="20"/>
        </w:rPr>
        <w:t xml:space="preserve">Fate Therapeutics, Inc. </w:t>
      </w:r>
    </w:p>
    <w:p>
      <w:pPr>
        <w:pStyle w:val="TextBody"/>
        <w:bidi w:val="0"/>
        <w:spacing w:before="0" w:after="0"/>
        <w:jc w:val="center"/>
        <w:rPr>
          <w:rFonts w:ascii="Times New Roman" w:hAnsi="Times New Roman"/>
          <w:b/>
          <w:sz w:val="20"/>
        </w:rPr>
      </w:pPr>
      <w:r>
        <w:rPr>
          <w:rFonts w:ascii="Times New Roman" w:hAnsi="Times New Roman"/>
          <w:b/>
          <w:sz w:val="20"/>
        </w:rPr>
        <w:t xml:space="preserve">12278 Scripps Summit Drive </w:t>
      </w:r>
    </w:p>
    <w:p>
      <w:pPr>
        <w:pStyle w:val="TextBody"/>
        <w:bidi w:val="0"/>
        <w:spacing w:before="0" w:after="0"/>
        <w:jc w:val="center"/>
        <w:rPr>
          <w:rFonts w:ascii="Times New Roman" w:hAnsi="Times New Roman"/>
          <w:b/>
          <w:sz w:val="20"/>
        </w:rPr>
      </w:pPr>
      <w:r>
        <w:rPr>
          <w:rFonts w:ascii="Times New Roman" w:hAnsi="Times New Roman"/>
          <w:b/>
          <w:sz w:val="20"/>
        </w:rPr>
        <w:t xml:space="preserve">San Diego, CA 92131 </w:t>
      </w:r>
    </w:p>
    <w:p>
      <w:pPr>
        <w:pStyle w:val="TextBody"/>
        <w:bidi w:val="0"/>
        <w:spacing w:before="0" w:after="0"/>
        <w:jc w:val="center"/>
        <w:rPr>
          <w:rFonts w:ascii="Times New Roman" w:hAnsi="Times New Roman"/>
          <w:b/>
          <w:sz w:val="16"/>
        </w:rPr>
      </w:pPr>
      <w:r>
        <w:rPr>
          <w:rFonts w:ascii="Times New Roman" w:hAnsi="Times New Roman"/>
          <w:b/>
          <w:sz w:val="16"/>
        </w:rPr>
        <w:t xml:space="preserve">(Name and address of agent for service) </w:t>
      </w:r>
    </w:p>
    <w:p>
      <w:pPr>
        <w:pStyle w:val="TextBody"/>
        <w:bidi w:val="0"/>
        <w:spacing w:before="240" w:after="0"/>
        <w:jc w:val="center"/>
        <w:rPr>
          <w:rFonts w:ascii="Times New Roman" w:hAnsi="Times New Roman"/>
          <w:b/>
          <w:sz w:val="20"/>
        </w:rPr>
      </w:pPr>
      <w:r>
        <w:rPr>
          <w:rFonts w:ascii="Times New Roman" w:hAnsi="Times New Roman"/>
          <w:b/>
          <w:sz w:val="20"/>
        </w:rPr>
        <w:t xml:space="preserve">(858) 875-1800 </w:t>
      </w:r>
    </w:p>
    <w:p>
      <w:pPr>
        <w:pStyle w:val="TextBody"/>
        <w:bidi w:val="0"/>
        <w:spacing w:before="0" w:after="0"/>
        <w:jc w:val="center"/>
        <w:rPr>
          <w:rFonts w:ascii="Times New Roman" w:hAnsi="Times New Roman"/>
          <w:b/>
          <w:sz w:val="16"/>
        </w:rPr>
      </w:pPr>
      <w:r>
        <w:rPr>
          <w:rFonts w:ascii="Times New Roman" w:hAnsi="Times New Roman"/>
          <w:b/>
          <w:sz w:val="16"/>
        </w:rPr>
        <w:t xml:space="preserve">(Telephone number, including area code, of agent for service)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i/>
          <w:sz w:val="20"/>
        </w:rPr>
      </w:pPr>
      <w:r>
        <w:rPr>
          <w:rFonts w:ascii="Times New Roman" w:hAnsi="Times New Roman"/>
          <w:b/>
          <w:i/>
          <w:sz w:val="20"/>
        </w:rPr>
        <w:t xml:space="preserve">Copies to: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3"/>
        <w:gridCol w:w="103"/>
        <w:gridCol w:w="4949"/>
      </w:tblGrid>
      <w:tr>
        <w:trPr/>
        <w:tc>
          <w:tcPr>
            <w:tcW w:w="5153"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4949" w:type="dxa"/>
            <w:tcBorders/>
            <w:vAlign w:val="center"/>
          </w:tcPr>
          <w:p>
            <w:pPr>
              <w:pStyle w:val="TableContents"/>
              <w:bidi w:val="0"/>
              <w:spacing w:before="0" w:after="283"/>
              <w:jc w:val="left"/>
              <w:rPr>
                <w:sz w:val="4"/>
                <w:szCs w:val="4"/>
              </w:rPr>
            </w:pPr>
            <w:r>
              <w:rPr>
                <w:sz w:val="4"/>
                <w:szCs w:val="4"/>
              </w:rPr>
            </w:r>
          </w:p>
        </w:tc>
      </w:tr>
      <w:tr>
        <w:trPr/>
        <w:tc>
          <w:tcPr>
            <w:tcW w:w="5153" w:type="dxa"/>
            <w:tcBorders/>
          </w:tcPr>
          <w:p>
            <w:pPr>
              <w:pStyle w:val="TableContents"/>
              <w:bidi w:val="0"/>
              <w:spacing w:before="0" w:after="0"/>
              <w:jc w:val="center"/>
              <w:rPr>
                <w:rFonts w:ascii="Times New Roman" w:hAnsi="Times New Roman"/>
                <w:b/>
                <w:sz w:val="20"/>
              </w:rPr>
            </w:pPr>
            <w:r>
              <w:rPr>
                <w:rFonts w:ascii="Times New Roman" w:hAnsi="Times New Roman"/>
                <w:b/>
                <w:sz w:val="20"/>
              </w:rPr>
              <w:t>Kingsley L. Taft, Esq.</w:t>
            </w:r>
          </w:p>
          <w:p>
            <w:pPr>
              <w:pStyle w:val="TableContents"/>
              <w:bidi w:val="0"/>
              <w:spacing w:before="0" w:after="0"/>
              <w:jc w:val="center"/>
              <w:rPr>
                <w:rFonts w:ascii="Times New Roman" w:hAnsi="Times New Roman"/>
                <w:b/>
                <w:sz w:val="20"/>
              </w:rPr>
            </w:pPr>
            <w:r>
              <w:rPr>
                <w:rFonts w:ascii="Times New Roman" w:hAnsi="Times New Roman"/>
                <w:b/>
                <w:sz w:val="20"/>
              </w:rPr>
              <w:t>Maggie L. Wong, Esq.</w:t>
            </w:r>
          </w:p>
          <w:p>
            <w:pPr>
              <w:pStyle w:val="TableContents"/>
              <w:bidi w:val="0"/>
              <w:spacing w:before="0" w:after="0"/>
              <w:jc w:val="center"/>
              <w:rPr>
                <w:rFonts w:ascii="Times New Roman" w:hAnsi="Times New Roman"/>
                <w:b/>
                <w:sz w:val="20"/>
              </w:rPr>
            </w:pPr>
            <w:r>
              <w:rPr>
                <w:rFonts w:ascii="Times New Roman" w:hAnsi="Times New Roman"/>
                <w:b/>
                <w:sz w:val="20"/>
              </w:rPr>
              <w:t>Marianne Sarrazin, Esq.</w:t>
            </w:r>
          </w:p>
          <w:p>
            <w:pPr>
              <w:pStyle w:val="TableContents"/>
              <w:bidi w:val="0"/>
              <w:spacing w:before="0" w:after="0"/>
              <w:jc w:val="center"/>
              <w:rPr>
                <w:rFonts w:ascii="Times New Roman" w:hAnsi="Times New Roman"/>
                <w:b/>
                <w:sz w:val="20"/>
              </w:rPr>
            </w:pPr>
            <w:r>
              <w:rPr>
                <w:rFonts w:ascii="Times New Roman" w:hAnsi="Times New Roman"/>
                <w:b/>
                <w:sz w:val="20"/>
              </w:rPr>
              <w:t>Goodwin Procter LLP</w:t>
            </w:r>
          </w:p>
          <w:p>
            <w:pPr>
              <w:pStyle w:val="TableContents"/>
              <w:bidi w:val="0"/>
              <w:spacing w:before="0" w:after="0"/>
              <w:jc w:val="center"/>
              <w:rPr>
                <w:rFonts w:ascii="Times New Roman" w:hAnsi="Times New Roman"/>
                <w:b/>
                <w:sz w:val="20"/>
              </w:rPr>
            </w:pPr>
            <w:r>
              <w:rPr>
                <w:rFonts w:ascii="Times New Roman" w:hAnsi="Times New Roman"/>
                <w:b/>
                <w:sz w:val="20"/>
              </w:rPr>
              <w:t>525 Market Street</w:t>
            </w:r>
          </w:p>
          <w:p>
            <w:pPr>
              <w:pStyle w:val="TableContents"/>
              <w:bidi w:val="0"/>
              <w:spacing w:before="0" w:after="0"/>
              <w:jc w:val="center"/>
              <w:rPr>
                <w:rFonts w:ascii="Times New Roman" w:hAnsi="Times New Roman"/>
                <w:b/>
                <w:sz w:val="20"/>
              </w:rPr>
            </w:pPr>
            <w:r>
              <w:rPr>
                <w:rFonts w:ascii="Times New Roman" w:hAnsi="Times New Roman"/>
                <w:b/>
                <w:sz w:val="20"/>
              </w:rPr>
              <w:t>San Francisco, CA 94105</w:t>
            </w:r>
          </w:p>
          <w:p>
            <w:pPr>
              <w:pStyle w:val="TableContents"/>
              <w:bidi w:val="0"/>
              <w:spacing w:before="0" w:after="20"/>
              <w:jc w:val="center"/>
              <w:rPr>
                <w:rFonts w:ascii="Times New Roman" w:hAnsi="Times New Roman"/>
                <w:b/>
                <w:sz w:val="20"/>
              </w:rPr>
            </w:pPr>
            <w:r>
              <w:rPr>
                <w:rFonts w:ascii="Times New Roman" w:hAnsi="Times New Roman"/>
                <w:b/>
                <w:sz w:val="20"/>
              </w:rPr>
              <w:t>Telephone: (415) 733-6000</w:t>
            </w:r>
          </w:p>
        </w:tc>
        <w:tc>
          <w:tcPr>
            <w:tcW w:w="103"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0"/>
              <w:jc w:val="center"/>
              <w:rPr>
                <w:rFonts w:ascii="Times New Roman" w:hAnsi="Times New Roman"/>
                <w:b/>
                <w:sz w:val="20"/>
              </w:rPr>
            </w:pPr>
            <w:r>
              <w:rPr>
                <w:rFonts w:ascii="Times New Roman" w:hAnsi="Times New Roman"/>
                <w:b/>
                <w:sz w:val="20"/>
              </w:rPr>
              <w:t>Cindy R. Tahl, Esq.</w:t>
            </w:r>
          </w:p>
          <w:p>
            <w:pPr>
              <w:pStyle w:val="TableContents"/>
              <w:bidi w:val="0"/>
              <w:spacing w:before="0" w:after="0"/>
              <w:jc w:val="center"/>
              <w:rPr>
                <w:rFonts w:ascii="Times New Roman" w:hAnsi="Times New Roman"/>
                <w:b/>
                <w:sz w:val="20"/>
              </w:rPr>
            </w:pPr>
            <w:r>
              <w:rPr>
                <w:rFonts w:ascii="Times New Roman" w:hAnsi="Times New Roman"/>
                <w:b/>
                <w:sz w:val="20"/>
              </w:rPr>
              <w:t>Chief Legal and Compliance Officer, and Corporate Secretary</w:t>
            </w:r>
          </w:p>
          <w:p>
            <w:pPr>
              <w:pStyle w:val="TableContents"/>
              <w:bidi w:val="0"/>
              <w:spacing w:before="0" w:after="0"/>
              <w:jc w:val="center"/>
              <w:rPr>
                <w:rFonts w:ascii="Times New Roman" w:hAnsi="Times New Roman"/>
                <w:b/>
                <w:sz w:val="20"/>
              </w:rPr>
            </w:pPr>
            <w:r>
              <w:rPr>
                <w:rFonts w:ascii="Times New Roman" w:hAnsi="Times New Roman"/>
                <w:b/>
                <w:sz w:val="20"/>
              </w:rPr>
              <w:t>Fate Therapeutics, Inc.</w:t>
            </w:r>
          </w:p>
          <w:p>
            <w:pPr>
              <w:pStyle w:val="TableContents"/>
              <w:bidi w:val="0"/>
              <w:spacing w:before="0" w:after="0"/>
              <w:jc w:val="center"/>
              <w:rPr>
                <w:rFonts w:ascii="Times New Roman" w:hAnsi="Times New Roman"/>
                <w:b/>
                <w:sz w:val="20"/>
              </w:rPr>
            </w:pPr>
            <w:r>
              <w:rPr>
                <w:rFonts w:ascii="Times New Roman" w:hAnsi="Times New Roman"/>
                <w:b/>
                <w:sz w:val="20"/>
              </w:rPr>
              <w:t>12278 Scripps Summit Drive</w:t>
            </w:r>
          </w:p>
          <w:p>
            <w:pPr>
              <w:pStyle w:val="TableContents"/>
              <w:bidi w:val="0"/>
              <w:spacing w:before="0" w:after="0"/>
              <w:jc w:val="center"/>
              <w:rPr>
                <w:rFonts w:ascii="Times New Roman" w:hAnsi="Times New Roman"/>
                <w:b/>
                <w:sz w:val="20"/>
              </w:rPr>
            </w:pPr>
            <w:r>
              <w:rPr>
                <w:rFonts w:ascii="Times New Roman" w:hAnsi="Times New Roman"/>
                <w:b/>
                <w:sz w:val="20"/>
              </w:rPr>
              <w:t>San Diego, CA 92131</w:t>
            </w:r>
          </w:p>
          <w:p>
            <w:pPr>
              <w:pStyle w:val="TableContents"/>
              <w:bidi w:val="0"/>
              <w:spacing w:before="0" w:after="20"/>
              <w:jc w:val="center"/>
              <w:rPr>
                <w:rFonts w:ascii="Times New Roman" w:hAnsi="Times New Roman"/>
                <w:b/>
                <w:sz w:val="20"/>
              </w:rPr>
            </w:pPr>
            <w:r>
              <w:rPr>
                <w:rFonts w:ascii="Times New Roman" w:hAnsi="Times New Roman"/>
                <w:b/>
                <w:sz w:val="20"/>
              </w:rPr>
              <w:t>Telephone: (858) 875-1800</w:t>
            </w:r>
          </w:p>
        </w:tc>
      </w:tr>
    </w:tbl>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200"/>
        <w:gridCol w:w="103"/>
        <w:gridCol w:w="4780"/>
        <w:gridCol w:w="127"/>
        <w:gridCol w:w="2636"/>
        <w:gridCol w:w="103"/>
        <w:gridCol w:w="256"/>
      </w:tblGrid>
      <w:tr>
        <w:trPr/>
        <w:tc>
          <w:tcPr>
            <w:tcW w:w="2200"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4780"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2636"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2200" w:type="dxa"/>
            <w:tcBorders/>
            <w:vAlign w:val="bottom"/>
          </w:tcPr>
          <w:p>
            <w:pPr>
              <w:pStyle w:val="TableContents"/>
              <w:bidi w:val="0"/>
              <w:spacing w:before="0" w:after="283"/>
              <w:jc w:val="left"/>
              <w:rPr/>
            </w:pPr>
            <w:r>
              <w:rPr/>
              <w:t>Large accelerated filer</w:t>
            </w:r>
          </w:p>
        </w:tc>
        <w:tc>
          <w:tcPr>
            <w:tcW w:w="103" w:type="dxa"/>
            <w:tcBorders/>
            <w:vAlign w:val="bottom"/>
          </w:tcPr>
          <w:p>
            <w:pPr>
              <w:pStyle w:val="TableContents"/>
              <w:bidi w:val="0"/>
              <w:spacing w:before="0" w:after="283"/>
              <w:jc w:val="left"/>
              <w:rPr/>
            </w:pPr>
            <w:r>
              <w:rPr/>
              <w:t> </w:t>
            </w:r>
          </w:p>
        </w:tc>
        <w:tc>
          <w:tcPr>
            <w:tcW w:w="4780" w:type="dxa"/>
            <w:tcBorders/>
            <w:vAlign w:val="bottom"/>
          </w:tcPr>
          <w:p>
            <w:pPr>
              <w:pStyle w:val="TableContents"/>
              <w:bidi w:val="0"/>
              <w:spacing w:before="0" w:after="283"/>
              <w:jc w:val="left"/>
              <w:rPr/>
            </w:pPr>
            <w:r>
              <w:rPr/>
              <w:t>☐</w:t>
            </w:r>
          </w:p>
        </w:tc>
        <w:tc>
          <w:tcPr>
            <w:tcW w:w="127" w:type="dxa"/>
            <w:tcBorders/>
            <w:vAlign w:val="bottom"/>
          </w:tcPr>
          <w:p>
            <w:pPr>
              <w:pStyle w:val="TableContents"/>
              <w:bidi w:val="0"/>
              <w:spacing w:before="0" w:after="283"/>
              <w:jc w:val="left"/>
              <w:rPr/>
            </w:pPr>
            <w:r>
              <w:rPr/>
              <w:t>  </w:t>
            </w:r>
          </w:p>
        </w:tc>
        <w:tc>
          <w:tcPr>
            <w:tcW w:w="2636" w:type="dxa"/>
            <w:tcBorders/>
            <w:vAlign w:val="bottom"/>
          </w:tcPr>
          <w:p>
            <w:pPr>
              <w:pStyle w:val="TableContents"/>
              <w:bidi w:val="0"/>
              <w:spacing w:before="0" w:after="283"/>
              <w:jc w:val="left"/>
              <w:rPr/>
            </w:pPr>
            <w:r>
              <w:rPr/>
              <w:t>Accelerated filer</w:t>
            </w:r>
          </w:p>
        </w:tc>
        <w:tc>
          <w:tcPr>
            <w:tcW w:w="103"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w:t>
            </w:r>
          </w:p>
        </w:tc>
      </w:tr>
      <w:tr>
        <w:trPr>
          <w:trHeight w:val="120" w:hRule="atLeast"/>
        </w:trPr>
        <w:tc>
          <w:tcPr>
            <w:tcW w:w="2200" w:type="dxa"/>
            <w:tcBorders/>
            <w:vAlign w:val="center"/>
          </w:tcPr>
          <w:p>
            <w:pPr>
              <w:pStyle w:val="TableContents"/>
              <w:bidi w:val="0"/>
              <w:spacing w:before="0" w:after="283"/>
              <w:jc w:val="left"/>
              <w:rPr>
                <w:sz w:val="4"/>
                <w:szCs w:val="4"/>
              </w:rPr>
            </w:pPr>
            <w:r>
              <w:rPr>
                <w:sz w:val="4"/>
                <w:szCs w:val="4"/>
              </w:rPr>
            </w:r>
          </w:p>
        </w:tc>
        <w:tc>
          <w:tcPr>
            <w:tcW w:w="4883" w:type="dxa"/>
            <w:gridSpan w:val="2"/>
            <w:tcBorders/>
            <w:vAlign w:val="center"/>
          </w:tcPr>
          <w:p>
            <w:pPr>
              <w:pStyle w:val="TableContents"/>
              <w:bidi w:val="0"/>
              <w:spacing w:before="0" w:after="283"/>
              <w:jc w:val="left"/>
              <w:rPr>
                <w:sz w:val="4"/>
                <w:szCs w:val="4"/>
              </w:rPr>
            </w:pPr>
            <w:r>
              <w:rPr>
                <w:sz w:val="4"/>
                <w:szCs w:val="4"/>
              </w:rPr>
            </w:r>
          </w:p>
        </w:tc>
        <w:tc>
          <w:tcPr>
            <w:tcW w:w="2763" w:type="dxa"/>
            <w:gridSpan w:val="2"/>
            <w:tcBorders/>
            <w:vAlign w:val="center"/>
          </w:tcPr>
          <w:p>
            <w:pPr>
              <w:pStyle w:val="TableContents"/>
              <w:bidi w:val="0"/>
              <w:spacing w:before="0" w:after="283"/>
              <w:jc w:val="left"/>
              <w:rPr>
                <w:sz w:val="4"/>
                <w:szCs w:val="4"/>
              </w:rPr>
            </w:pPr>
            <w:r>
              <w:rPr>
                <w:sz w:val="4"/>
                <w:szCs w:val="4"/>
              </w:rPr>
            </w:r>
          </w:p>
        </w:tc>
        <w:tc>
          <w:tcPr>
            <w:tcW w:w="359" w:type="dxa"/>
            <w:gridSpan w:val="2"/>
            <w:tcBorders/>
            <w:vAlign w:val="center"/>
          </w:tcPr>
          <w:p>
            <w:pPr>
              <w:pStyle w:val="TableContents"/>
              <w:bidi w:val="0"/>
              <w:spacing w:before="0" w:after="283"/>
              <w:jc w:val="left"/>
              <w:rPr>
                <w:sz w:val="4"/>
                <w:szCs w:val="4"/>
              </w:rPr>
            </w:pPr>
            <w:r>
              <w:rPr>
                <w:sz w:val="4"/>
                <w:szCs w:val="4"/>
              </w:rPr>
            </w:r>
          </w:p>
        </w:tc>
      </w:tr>
      <w:tr>
        <w:trPr/>
        <w:tc>
          <w:tcPr>
            <w:tcW w:w="2200" w:type="dxa"/>
            <w:tcBorders/>
            <w:vAlign w:val="bottom"/>
          </w:tcPr>
          <w:p>
            <w:pPr>
              <w:pStyle w:val="TableContents"/>
              <w:bidi w:val="0"/>
              <w:spacing w:before="0" w:after="283"/>
              <w:jc w:val="left"/>
              <w:rPr/>
            </w:pPr>
            <w:r>
              <w:rPr/>
              <w:t>Non-accelerated filer</w:t>
            </w:r>
          </w:p>
        </w:tc>
        <w:tc>
          <w:tcPr>
            <w:tcW w:w="103" w:type="dxa"/>
            <w:tcBorders/>
            <w:vAlign w:val="bottom"/>
          </w:tcPr>
          <w:p>
            <w:pPr>
              <w:pStyle w:val="TableContents"/>
              <w:bidi w:val="0"/>
              <w:spacing w:before="0" w:after="283"/>
              <w:jc w:val="left"/>
              <w:rPr/>
            </w:pPr>
            <w:r>
              <w:rPr/>
              <w:t> </w:t>
            </w:r>
          </w:p>
        </w:tc>
        <w:tc>
          <w:tcPr>
            <w:tcW w:w="4780" w:type="dxa"/>
            <w:tcBorders/>
            <w:vAlign w:val="bottom"/>
          </w:tcPr>
          <w:p>
            <w:pPr>
              <w:pStyle w:val="TableContents"/>
              <w:bidi w:val="0"/>
              <w:spacing w:before="0" w:after="283"/>
              <w:jc w:val="left"/>
              <w:rPr/>
            </w:pPr>
            <w:r>
              <w:rPr/>
              <w:t>☒</w:t>
            </w:r>
          </w:p>
        </w:tc>
        <w:tc>
          <w:tcPr>
            <w:tcW w:w="127" w:type="dxa"/>
            <w:tcBorders/>
            <w:vAlign w:val="bottom"/>
          </w:tcPr>
          <w:p>
            <w:pPr>
              <w:pStyle w:val="TableContents"/>
              <w:bidi w:val="0"/>
              <w:spacing w:before="0" w:after="283"/>
              <w:jc w:val="left"/>
              <w:rPr/>
            </w:pPr>
            <w:r>
              <w:rPr/>
              <w:t>  </w:t>
            </w:r>
          </w:p>
        </w:tc>
        <w:tc>
          <w:tcPr>
            <w:tcW w:w="2636" w:type="dxa"/>
            <w:tcBorders/>
            <w:vAlign w:val="bottom"/>
          </w:tcPr>
          <w:p>
            <w:pPr>
              <w:pStyle w:val="TableContents"/>
              <w:bidi w:val="0"/>
              <w:spacing w:before="0" w:after="283"/>
              <w:jc w:val="left"/>
              <w:rPr/>
            </w:pPr>
            <w:r>
              <w:rPr/>
              <w:t>Smaller reporting company</w:t>
            </w:r>
          </w:p>
        </w:tc>
        <w:tc>
          <w:tcPr>
            <w:tcW w:w="103"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w:t>
            </w:r>
          </w:p>
        </w:tc>
      </w:tr>
      <w:tr>
        <w:trPr>
          <w:trHeight w:val="120" w:hRule="atLeast"/>
        </w:trPr>
        <w:tc>
          <w:tcPr>
            <w:tcW w:w="2200" w:type="dxa"/>
            <w:tcBorders/>
            <w:vAlign w:val="center"/>
          </w:tcPr>
          <w:p>
            <w:pPr>
              <w:pStyle w:val="TableContents"/>
              <w:bidi w:val="0"/>
              <w:spacing w:before="0" w:after="283"/>
              <w:jc w:val="left"/>
              <w:rPr>
                <w:sz w:val="4"/>
                <w:szCs w:val="4"/>
              </w:rPr>
            </w:pPr>
            <w:r>
              <w:rPr>
                <w:sz w:val="4"/>
                <w:szCs w:val="4"/>
              </w:rPr>
            </w:r>
          </w:p>
        </w:tc>
        <w:tc>
          <w:tcPr>
            <w:tcW w:w="4883" w:type="dxa"/>
            <w:gridSpan w:val="2"/>
            <w:tcBorders/>
            <w:vAlign w:val="center"/>
          </w:tcPr>
          <w:p>
            <w:pPr>
              <w:pStyle w:val="TableContents"/>
              <w:bidi w:val="0"/>
              <w:spacing w:before="0" w:after="283"/>
              <w:jc w:val="left"/>
              <w:rPr>
                <w:sz w:val="4"/>
                <w:szCs w:val="4"/>
              </w:rPr>
            </w:pPr>
            <w:r>
              <w:rPr>
                <w:sz w:val="4"/>
                <w:szCs w:val="4"/>
              </w:rPr>
            </w:r>
          </w:p>
        </w:tc>
        <w:tc>
          <w:tcPr>
            <w:tcW w:w="2763" w:type="dxa"/>
            <w:gridSpan w:val="2"/>
            <w:tcBorders/>
            <w:vAlign w:val="center"/>
          </w:tcPr>
          <w:p>
            <w:pPr>
              <w:pStyle w:val="TableContents"/>
              <w:bidi w:val="0"/>
              <w:spacing w:before="0" w:after="283"/>
              <w:jc w:val="left"/>
              <w:rPr>
                <w:sz w:val="4"/>
                <w:szCs w:val="4"/>
              </w:rPr>
            </w:pPr>
            <w:r>
              <w:rPr>
                <w:sz w:val="4"/>
                <w:szCs w:val="4"/>
              </w:rPr>
            </w:r>
          </w:p>
        </w:tc>
        <w:tc>
          <w:tcPr>
            <w:tcW w:w="359" w:type="dxa"/>
            <w:gridSpan w:val="2"/>
            <w:tcBorders/>
            <w:vAlign w:val="center"/>
          </w:tcPr>
          <w:p>
            <w:pPr>
              <w:pStyle w:val="TableContents"/>
              <w:bidi w:val="0"/>
              <w:spacing w:before="0" w:after="283"/>
              <w:jc w:val="left"/>
              <w:rPr>
                <w:sz w:val="4"/>
                <w:szCs w:val="4"/>
              </w:rPr>
            </w:pPr>
            <w:r>
              <w:rPr>
                <w:sz w:val="4"/>
                <w:szCs w:val="4"/>
              </w:rPr>
            </w:r>
          </w:p>
        </w:tc>
      </w:tr>
      <w:tr>
        <w:trPr/>
        <w:tc>
          <w:tcPr>
            <w:tcW w:w="2200" w:type="dxa"/>
            <w:tcBorders/>
            <w:vAlign w:val="bottom"/>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4780" w:type="dxa"/>
            <w:tcBorders/>
            <w:vAlign w:val="bottom"/>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2636" w:type="dxa"/>
            <w:tcBorders/>
            <w:vAlign w:val="bottom"/>
          </w:tcPr>
          <w:p>
            <w:pPr>
              <w:pStyle w:val="TableContents"/>
              <w:bidi w:val="0"/>
              <w:spacing w:before="0" w:after="283"/>
              <w:jc w:val="left"/>
              <w:rPr/>
            </w:pPr>
            <w:r>
              <w:rPr/>
              <w:t>Emerging growth company</w:t>
            </w:r>
          </w:p>
        </w:tc>
        <w:tc>
          <w:tcPr>
            <w:tcW w:w="103"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an emerging growth company, indicate by check mark if the registrant has elected not to use the extended transition period for complying with any new or revised financial accounting standards provided pursuant to Section 7(a)(2)(B) of the Securities Act. ☐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EXPLANATORY NOTE </w:t>
      </w:r>
    </w:p>
    <w:p>
      <w:pPr>
        <w:pStyle w:val="TextBody"/>
        <w:bidi w:val="0"/>
        <w:spacing w:before="240" w:after="0"/>
        <w:jc w:val="left"/>
        <w:rPr>
          <w:rFonts w:ascii="Times New Roman" w:hAnsi="Times New Roman"/>
          <w:sz w:val="20"/>
        </w:rPr>
      </w:pPr>
      <w:r>
        <w:rPr>
          <w:rFonts w:ascii="Times New Roman" w:hAnsi="Times New Roman"/>
          <w:sz w:val="20"/>
        </w:rPr>
        <w:t>On March 31, 2026, the Board of Directors of Fate Therapeutics, Inc. (the “</w:t>
      </w:r>
      <w:r>
        <w:rPr>
          <w:rFonts w:ascii="Times New Roman" w:hAnsi="Times New Roman"/>
          <w:b/>
          <w:sz w:val="20"/>
        </w:rPr>
        <w:t>Company</w:t>
      </w:r>
      <w:r>
        <w:rPr>
          <w:rFonts w:ascii="Times New Roman" w:hAnsi="Times New Roman"/>
          <w:sz w:val="20"/>
        </w:rPr>
        <w:t>”) adopted, subject to approval by stockholders, the Fate Therapeutics, Inc. Third Amended and Restated 2022 Stock Option and Incentive Plan (the “</w:t>
      </w:r>
      <w:r>
        <w:rPr>
          <w:rFonts w:ascii="Times New Roman" w:hAnsi="Times New Roman"/>
          <w:b/>
          <w:sz w:val="20"/>
        </w:rPr>
        <w:t>A&amp;R 2022 Plan</w:t>
      </w:r>
      <w:r>
        <w:rPr>
          <w:rFonts w:ascii="Times New Roman" w:hAnsi="Times New Roman"/>
          <w:sz w:val="20"/>
        </w:rPr>
        <w:t>”), which the stockholders of the Company approved at the Company’s 2026 Annual Meeting of Stockholders held on June 12, 2026. The A&amp;R 2022 Plan increased the number of shares of common stock, par value $0.001 per share, of the Company (“</w:t>
      </w:r>
      <w:r>
        <w:rPr>
          <w:rFonts w:ascii="Times New Roman" w:hAnsi="Times New Roman"/>
          <w:b/>
          <w:sz w:val="20"/>
        </w:rPr>
        <w:t>Common Stock</w:t>
      </w:r>
      <w:r>
        <w:rPr>
          <w:rFonts w:ascii="Times New Roman" w:hAnsi="Times New Roman"/>
          <w:sz w:val="20"/>
        </w:rPr>
        <w:t xml:space="preserve">”), authorized for issuance thereunder by 7,000,000 shares to a new total of 31,500,000 shares of Common Stock. The A&amp;R 2022 Plan will otherwise continue in effect through its current term (June 2032), unless terminated earlier by the Company’s Board of Directors. </w:t>
      </w:r>
    </w:p>
    <w:p>
      <w:pPr>
        <w:pStyle w:val="TextBody"/>
        <w:bidi w:val="0"/>
        <w:spacing w:before="240" w:after="0"/>
        <w:jc w:val="left"/>
        <w:rPr>
          <w:rFonts w:ascii="Times New Roman" w:hAnsi="Times New Roman"/>
          <w:sz w:val="20"/>
        </w:rPr>
      </w:pPr>
      <w:r>
        <w:rPr>
          <w:rFonts w:ascii="Times New Roman" w:hAnsi="Times New Roman"/>
          <w:sz w:val="20"/>
        </w:rPr>
        <w:t>The Company is filing this registration statement on Form S-8 (this “</w:t>
      </w:r>
      <w:r>
        <w:rPr>
          <w:rFonts w:ascii="Times New Roman" w:hAnsi="Times New Roman"/>
          <w:b/>
          <w:sz w:val="20"/>
        </w:rPr>
        <w:t>Registration Statement</w:t>
      </w:r>
      <w:r>
        <w:rPr>
          <w:rFonts w:ascii="Times New Roman" w:hAnsi="Times New Roman"/>
          <w:sz w:val="20"/>
        </w:rPr>
        <w:t>”) solely for the purpose of registering the 7,000,000 additional shares of Common Stock authorized for issuance under the A&amp;R 2022 Plan. Pursuant to Rule 416(a) under the Securities Act of 1933, as amended (the “</w:t>
      </w:r>
      <w:r>
        <w:rPr>
          <w:rFonts w:ascii="Times New Roman" w:hAnsi="Times New Roman"/>
          <w:b/>
          <w:sz w:val="20"/>
        </w:rPr>
        <w:t>Securities Act</w:t>
      </w:r>
      <w:r>
        <w:rPr>
          <w:rFonts w:ascii="Times New Roman" w:hAnsi="Times New Roman"/>
          <w:sz w:val="20"/>
        </w:rPr>
        <w:t xml:space="preserve">”), this Registration Statement also includes an indeterminate number of additional shares of Common Stock that may become issuable under the A&amp;R 2022 Plan by reason of anti-dilution and other adjustments. </w:t>
      </w:r>
    </w:p>
    <w:p>
      <w:pPr>
        <w:pStyle w:val="TextBody"/>
        <w:bidi w:val="0"/>
        <w:spacing w:before="360" w:after="0"/>
        <w:jc w:val="left"/>
        <w:rPr>
          <w:rFonts w:ascii="Times New Roman" w:hAnsi="Times New Roman"/>
          <w:b/>
          <w:sz w:val="20"/>
        </w:rPr>
      </w:pPr>
      <w:r>
        <w:rPr>
          <w:rFonts w:ascii="Times New Roman" w:hAnsi="Times New Roman"/>
          <w:b/>
          <w:sz w:val="20"/>
        </w:rPr>
        <w:t xml:space="preserve">REGISTRATION OF ADDITIONAL SHARES PURSUANT TO GENERAL INSTRUCTION E </w:t>
      </w:r>
    </w:p>
    <w:p>
      <w:pPr>
        <w:pStyle w:val="TextBody"/>
        <w:bidi w:val="0"/>
        <w:spacing w:before="120" w:after="0"/>
        <w:jc w:val="left"/>
        <w:rPr>
          <w:rFonts w:ascii="Times New Roman" w:hAnsi="Times New Roman"/>
          <w:sz w:val="20"/>
        </w:rPr>
      </w:pPr>
      <w:r>
        <w:rPr>
          <w:rFonts w:ascii="Times New Roman" w:hAnsi="Times New Roman"/>
          <w:sz w:val="20"/>
        </w:rPr>
        <w:t>Pursuant to General Instruction E of Form S-8, the Company is filing this Registration Statement with the Securities and Exchange Commission (the “</w:t>
      </w:r>
      <w:r>
        <w:rPr>
          <w:rFonts w:ascii="Times New Roman" w:hAnsi="Times New Roman"/>
          <w:b/>
          <w:sz w:val="20"/>
        </w:rPr>
        <w:t>Commission</w:t>
      </w:r>
      <w:r>
        <w:rPr>
          <w:rFonts w:ascii="Times New Roman" w:hAnsi="Times New Roman"/>
          <w:sz w:val="20"/>
        </w:rPr>
        <w:t xml:space="preserve">”) to register an additional 7,000,000 shares of its Common Stock under the A&amp;R 2022 Plan. Such additional shares are of the same class as other securities for which a registration statement relating to the A&amp;R 2022 Plan has previously been filed and is effective. Pursuant to General Instruction E of Form S-8 regarding Registration of Additional Securities, the contents of the Company’s Registration Statement on Form S-8 (File No. 333-265502), filed with the Commission on June 9, 2022, the Company’s Registration Statement on Form S-8 (File No. 333-280097), filed with the Commission on June 10, 2024, and the Company’s Registration Statement on Form S-8 (File No. 333-287765), filed with the Commission on June 4, 2025, are hereby incorporated by reference.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PART II </w:t>
      </w:r>
    </w:p>
    <w:p>
      <w:pPr>
        <w:pStyle w:val="TextBody"/>
        <w:bidi w:val="0"/>
        <w:spacing w:before="120" w:after="0"/>
        <w:jc w:val="center"/>
        <w:rPr>
          <w:rFonts w:ascii="Times New Roman" w:hAnsi="Times New Roman"/>
          <w:b/>
          <w:sz w:val="20"/>
        </w:rPr>
      </w:pPr>
      <w:r>
        <w:rPr>
          <w:rFonts w:ascii="Times New Roman" w:hAnsi="Times New Roman"/>
          <w:b/>
          <w:sz w:val="20"/>
        </w:rPr>
        <w:t xml:space="preserve">INFORMATION REQUIRED IN THE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Item 8. </w:t>
      </w:r>
      <w:r>
        <w:rPr>
          <w:rFonts w:ascii="Times New Roman" w:hAnsi="Times New Roman"/>
          <w:sz w:val="20"/>
          <w:u w:val="single"/>
        </w:rPr>
        <w:t>Exhibits</w:t>
      </w:r>
      <w:r>
        <w:rPr>
          <w:rFonts w:ascii="Times New Roman" w:hAnsi="Times New Roman"/>
          <w:sz w:val="20"/>
        </w:rPr>
        <w:t xml:space="preserv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190"/>
        <w:gridCol w:w="581"/>
        <w:gridCol w:w="8434"/>
      </w:tblGrid>
      <w:tr>
        <w:trPr/>
        <w:tc>
          <w:tcPr>
            <w:tcW w:w="1190" w:type="dxa"/>
            <w:tcBorders/>
            <w:vAlign w:val="center"/>
          </w:tcPr>
          <w:p>
            <w:pPr>
              <w:pStyle w:val="TableContents"/>
              <w:bidi w:val="0"/>
              <w:spacing w:before="0" w:after="283"/>
              <w:jc w:val="left"/>
              <w:rPr>
                <w:sz w:val="4"/>
                <w:szCs w:val="4"/>
              </w:rPr>
            </w:pPr>
            <w:r>
              <w:rPr>
                <w:sz w:val="4"/>
                <w:szCs w:val="4"/>
              </w:rPr>
            </w:r>
          </w:p>
        </w:tc>
        <w:tc>
          <w:tcPr>
            <w:tcW w:w="581" w:type="dxa"/>
            <w:tcBorders/>
            <w:vAlign w:val="bottom"/>
          </w:tcPr>
          <w:p>
            <w:pPr>
              <w:pStyle w:val="TableContents"/>
              <w:bidi w:val="0"/>
              <w:spacing w:before="0" w:after="283"/>
              <w:jc w:val="left"/>
              <w:rPr>
                <w:sz w:val="4"/>
                <w:szCs w:val="4"/>
              </w:rPr>
            </w:pPr>
            <w:r>
              <w:rPr>
                <w:sz w:val="4"/>
                <w:szCs w:val="4"/>
              </w:rPr>
            </w:r>
          </w:p>
        </w:tc>
        <w:tc>
          <w:tcPr>
            <w:tcW w:w="8434" w:type="dxa"/>
            <w:tcBorders/>
            <w:vAlign w:val="center"/>
          </w:tcPr>
          <w:p>
            <w:pPr>
              <w:pStyle w:val="TableContents"/>
              <w:bidi w:val="0"/>
              <w:spacing w:before="0" w:after="283"/>
              <w:jc w:val="left"/>
              <w:rPr>
                <w:sz w:val="4"/>
                <w:szCs w:val="4"/>
              </w:rPr>
            </w:pPr>
            <w:r>
              <w:rPr>
                <w:sz w:val="4"/>
                <w:szCs w:val="4"/>
              </w:rPr>
            </w:r>
          </w:p>
        </w:tc>
      </w:tr>
      <w:tr>
        <w:trPr/>
        <w:tc>
          <w:tcPr>
            <w:tcW w:w="1190" w:type="dxa"/>
            <w:tcBorders/>
            <w:vAlign w:val="bottom"/>
          </w:tcPr>
          <w:p>
            <w:pPr>
              <w:pStyle w:val="TableContents"/>
              <w:bidi w:val="0"/>
              <w:spacing w:before="0" w:after="283"/>
              <w:jc w:val="center"/>
              <w:rPr>
                <w:b/>
              </w:rPr>
            </w:pPr>
            <w:r>
              <w:rPr>
                <w:b/>
              </w:rPr>
              <w:t>Exhibit No.</w:t>
            </w:r>
          </w:p>
        </w:tc>
        <w:tc>
          <w:tcPr>
            <w:tcW w:w="581" w:type="dxa"/>
            <w:tcBorders/>
            <w:vAlign w:val="bottom"/>
          </w:tcPr>
          <w:p>
            <w:pPr>
              <w:pStyle w:val="TableContents"/>
              <w:bidi w:val="0"/>
              <w:spacing w:before="0" w:after="283"/>
              <w:jc w:val="left"/>
              <w:rPr/>
            </w:pPr>
            <w:r>
              <w:rPr/>
              <w:t>  </w:t>
            </w:r>
          </w:p>
        </w:tc>
        <w:tc>
          <w:tcPr>
            <w:tcW w:w="8434"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Description</w:t>
            </w:r>
          </w:p>
        </w:tc>
      </w:tr>
      <w:tr>
        <w:trPr>
          <w:trHeight w:val="120" w:hRule="atLeast"/>
        </w:trPr>
        <w:tc>
          <w:tcPr>
            <w:tcW w:w="1190" w:type="dxa"/>
            <w:tcBorders/>
            <w:vAlign w:val="center"/>
          </w:tcPr>
          <w:p>
            <w:pPr>
              <w:pStyle w:val="TableContents"/>
              <w:bidi w:val="0"/>
              <w:spacing w:before="0" w:after="283"/>
              <w:jc w:val="left"/>
              <w:rPr>
                <w:sz w:val="4"/>
                <w:szCs w:val="4"/>
              </w:rPr>
            </w:pPr>
            <w:r>
              <w:rPr>
                <w:sz w:val="4"/>
                <w:szCs w:val="4"/>
              </w:rPr>
            </w:r>
          </w:p>
        </w:tc>
        <w:tc>
          <w:tcPr>
            <w:tcW w:w="9015" w:type="dxa"/>
            <w:gridSpan w:val="2"/>
            <w:tcBorders/>
            <w:vAlign w:val="center"/>
          </w:tcPr>
          <w:p>
            <w:pPr>
              <w:pStyle w:val="TableContents"/>
              <w:bidi w:val="0"/>
              <w:spacing w:before="0" w:after="283"/>
              <w:jc w:val="left"/>
              <w:rPr>
                <w:sz w:val="4"/>
                <w:szCs w:val="4"/>
              </w:rPr>
            </w:pPr>
            <w:r>
              <w:rPr>
                <w:sz w:val="4"/>
                <w:szCs w:val="4"/>
              </w:rPr>
            </w:r>
          </w:p>
        </w:tc>
      </w:tr>
      <w:tr>
        <w:trPr/>
        <w:tc>
          <w:tcPr>
            <w:tcW w:w="1190" w:type="dxa"/>
            <w:tcBorders/>
          </w:tcPr>
          <w:p>
            <w:pPr>
              <w:pStyle w:val="TableContents"/>
              <w:bidi w:val="0"/>
              <w:spacing w:before="0" w:after="283"/>
              <w:jc w:val="left"/>
              <w:rPr/>
            </w:pPr>
            <w:r>
              <w:rPr/>
              <w:t>  </w:t>
            </w:r>
            <w:r>
              <w:rPr/>
              <w:t>4.1</w:t>
            </w:r>
          </w:p>
        </w:tc>
        <w:tc>
          <w:tcPr>
            <w:tcW w:w="581" w:type="dxa"/>
            <w:tcBorders/>
            <w:vAlign w:val="bottom"/>
          </w:tcPr>
          <w:p>
            <w:pPr>
              <w:pStyle w:val="TableContents"/>
              <w:bidi w:val="0"/>
              <w:spacing w:before="0" w:after="283"/>
              <w:jc w:val="left"/>
              <w:rPr/>
            </w:pPr>
            <w:r>
              <w:rPr/>
              <w:t>  </w:t>
            </w:r>
          </w:p>
        </w:tc>
        <w:tc>
          <w:tcPr>
            <w:tcW w:w="8434" w:type="dxa"/>
            <w:tcBorders/>
          </w:tcPr>
          <w:p>
            <w:pPr>
              <w:pStyle w:val="TableContents"/>
              <w:bidi w:val="0"/>
              <w:spacing w:before="0" w:after="283"/>
              <w:jc w:val="left"/>
              <w:rPr/>
            </w:pPr>
            <w:hyperlink r:id="rId2">
              <w:r>
                <w:rPr>
                  <w:rStyle w:val="InternetLink"/>
                </w:rPr>
                <w:t xml:space="preserve">Amended and Restated Certificate of Incorporation of the Registrant (incorporated by reference from Exhibit 3.2 to the Registrant’s Amendment No. 1 to Registration Statement on Form S-1, filed on August 29, 2013, File No. 333-190608) </w:t>
              </w:r>
            </w:hyperlink>
          </w:p>
        </w:tc>
      </w:tr>
      <w:tr>
        <w:trPr>
          <w:trHeight w:val="120" w:hRule="atLeast"/>
        </w:trPr>
        <w:tc>
          <w:tcPr>
            <w:tcW w:w="1190" w:type="dxa"/>
            <w:tcBorders/>
            <w:vAlign w:val="center"/>
          </w:tcPr>
          <w:p>
            <w:pPr>
              <w:pStyle w:val="TableContents"/>
              <w:bidi w:val="0"/>
              <w:spacing w:before="0" w:after="283"/>
              <w:jc w:val="left"/>
              <w:rPr>
                <w:sz w:val="4"/>
                <w:szCs w:val="4"/>
              </w:rPr>
            </w:pPr>
            <w:r>
              <w:rPr>
                <w:sz w:val="4"/>
                <w:szCs w:val="4"/>
              </w:rPr>
            </w:r>
          </w:p>
        </w:tc>
        <w:tc>
          <w:tcPr>
            <w:tcW w:w="9015" w:type="dxa"/>
            <w:gridSpan w:val="2"/>
            <w:tcBorders/>
            <w:vAlign w:val="center"/>
          </w:tcPr>
          <w:p>
            <w:pPr>
              <w:pStyle w:val="TableContents"/>
              <w:bidi w:val="0"/>
              <w:spacing w:before="0" w:after="283"/>
              <w:jc w:val="left"/>
              <w:rPr>
                <w:sz w:val="4"/>
                <w:szCs w:val="4"/>
              </w:rPr>
            </w:pPr>
            <w:r>
              <w:rPr>
                <w:sz w:val="4"/>
                <w:szCs w:val="4"/>
              </w:rPr>
            </w:r>
          </w:p>
        </w:tc>
      </w:tr>
      <w:tr>
        <w:trPr/>
        <w:tc>
          <w:tcPr>
            <w:tcW w:w="1190" w:type="dxa"/>
            <w:tcBorders/>
          </w:tcPr>
          <w:p>
            <w:pPr>
              <w:pStyle w:val="TableContents"/>
              <w:bidi w:val="0"/>
              <w:spacing w:before="0" w:after="283"/>
              <w:jc w:val="left"/>
              <w:rPr/>
            </w:pPr>
            <w:r>
              <w:rPr/>
              <w:t>  </w:t>
            </w:r>
            <w:r>
              <w:rPr/>
              <w:t>4.2</w:t>
            </w:r>
          </w:p>
        </w:tc>
        <w:tc>
          <w:tcPr>
            <w:tcW w:w="581" w:type="dxa"/>
            <w:tcBorders/>
            <w:vAlign w:val="bottom"/>
          </w:tcPr>
          <w:p>
            <w:pPr>
              <w:pStyle w:val="TableContents"/>
              <w:bidi w:val="0"/>
              <w:spacing w:before="0" w:after="283"/>
              <w:jc w:val="left"/>
              <w:rPr/>
            </w:pPr>
            <w:r>
              <w:rPr/>
              <w:t>  </w:t>
            </w:r>
          </w:p>
        </w:tc>
        <w:tc>
          <w:tcPr>
            <w:tcW w:w="8434" w:type="dxa"/>
            <w:tcBorders/>
          </w:tcPr>
          <w:p>
            <w:pPr>
              <w:pStyle w:val="TableContents"/>
              <w:bidi w:val="0"/>
              <w:spacing w:before="0" w:after="283"/>
              <w:jc w:val="left"/>
              <w:rPr/>
            </w:pPr>
            <w:hyperlink r:id="rId3">
              <w:r>
                <w:rPr>
                  <w:rStyle w:val="InternetLink"/>
                </w:rPr>
                <w:t xml:space="preserve">Certificate of Amendment to Amended and Restated Certificate of Incorporation of the Registrant, as currently in effect (incorporated by reference from Exhibit 3.1 to the Registrant’s Current Report on Form 8-K, filed on June 7, 2021) </w:t>
              </w:r>
            </w:hyperlink>
          </w:p>
        </w:tc>
      </w:tr>
      <w:tr>
        <w:trPr>
          <w:trHeight w:val="120" w:hRule="atLeast"/>
        </w:trPr>
        <w:tc>
          <w:tcPr>
            <w:tcW w:w="1190" w:type="dxa"/>
            <w:tcBorders/>
            <w:vAlign w:val="center"/>
          </w:tcPr>
          <w:p>
            <w:pPr>
              <w:pStyle w:val="TableContents"/>
              <w:bidi w:val="0"/>
              <w:spacing w:before="0" w:after="283"/>
              <w:jc w:val="left"/>
              <w:rPr>
                <w:sz w:val="4"/>
                <w:szCs w:val="4"/>
              </w:rPr>
            </w:pPr>
            <w:r>
              <w:rPr>
                <w:sz w:val="4"/>
                <w:szCs w:val="4"/>
              </w:rPr>
            </w:r>
          </w:p>
        </w:tc>
        <w:tc>
          <w:tcPr>
            <w:tcW w:w="9015" w:type="dxa"/>
            <w:gridSpan w:val="2"/>
            <w:tcBorders/>
            <w:vAlign w:val="center"/>
          </w:tcPr>
          <w:p>
            <w:pPr>
              <w:pStyle w:val="TableContents"/>
              <w:bidi w:val="0"/>
              <w:spacing w:before="0" w:after="283"/>
              <w:jc w:val="left"/>
              <w:rPr>
                <w:sz w:val="4"/>
                <w:szCs w:val="4"/>
              </w:rPr>
            </w:pPr>
            <w:r>
              <w:rPr>
                <w:sz w:val="4"/>
                <w:szCs w:val="4"/>
              </w:rPr>
            </w:r>
          </w:p>
        </w:tc>
      </w:tr>
      <w:tr>
        <w:trPr/>
        <w:tc>
          <w:tcPr>
            <w:tcW w:w="1190" w:type="dxa"/>
            <w:tcBorders/>
          </w:tcPr>
          <w:p>
            <w:pPr>
              <w:pStyle w:val="TableContents"/>
              <w:bidi w:val="0"/>
              <w:spacing w:before="0" w:after="283"/>
              <w:jc w:val="left"/>
              <w:rPr/>
            </w:pPr>
            <w:r>
              <w:rPr/>
              <w:t>  </w:t>
            </w:r>
            <w:r>
              <w:rPr/>
              <w:t>4.3</w:t>
            </w:r>
          </w:p>
        </w:tc>
        <w:tc>
          <w:tcPr>
            <w:tcW w:w="581" w:type="dxa"/>
            <w:tcBorders/>
            <w:vAlign w:val="bottom"/>
          </w:tcPr>
          <w:p>
            <w:pPr>
              <w:pStyle w:val="TableContents"/>
              <w:bidi w:val="0"/>
              <w:spacing w:before="0" w:after="283"/>
              <w:jc w:val="left"/>
              <w:rPr/>
            </w:pPr>
            <w:r>
              <w:rPr/>
              <w:t>  </w:t>
            </w:r>
          </w:p>
        </w:tc>
        <w:tc>
          <w:tcPr>
            <w:tcW w:w="8434" w:type="dxa"/>
            <w:tcBorders/>
          </w:tcPr>
          <w:p>
            <w:pPr>
              <w:pStyle w:val="TableContents"/>
              <w:bidi w:val="0"/>
              <w:spacing w:before="0" w:after="283"/>
              <w:jc w:val="left"/>
              <w:rPr/>
            </w:pPr>
            <w:hyperlink r:id="rId4">
              <w:r>
                <w:rPr>
                  <w:rStyle w:val="InternetLink"/>
                </w:rPr>
                <w:t xml:space="preserve">Certificate of Amendment to Amended and Restated Certificate of Incorporation of the Registrant (incorporated by reference from Exhibit 3.1 to the Registrant’s Current Report on Form 8-K, filed on June 10, 2024) </w:t>
              </w:r>
            </w:hyperlink>
          </w:p>
        </w:tc>
      </w:tr>
      <w:tr>
        <w:trPr>
          <w:trHeight w:val="120" w:hRule="atLeast"/>
        </w:trPr>
        <w:tc>
          <w:tcPr>
            <w:tcW w:w="1190" w:type="dxa"/>
            <w:tcBorders/>
            <w:vAlign w:val="center"/>
          </w:tcPr>
          <w:p>
            <w:pPr>
              <w:pStyle w:val="TableContents"/>
              <w:bidi w:val="0"/>
              <w:spacing w:before="0" w:after="283"/>
              <w:jc w:val="left"/>
              <w:rPr>
                <w:sz w:val="4"/>
                <w:szCs w:val="4"/>
              </w:rPr>
            </w:pPr>
            <w:r>
              <w:rPr>
                <w:sz w:val="4"/>
                <w:szCs w:val="4"/>
              </w:rPr>
            </w:r>
          </w:p>
        </w:tc>
        <w:tc>
          <w:tcPr>
            <w:tcW w:w="9015" w:type="dxa"/>
            <w:gridSpan w:val="2"/>
            <w:tcBorders/>
            <w:vAlign w:val="center"/>
          </w:tcPr>
          <w:p>
            <w:pPr>
              <w:pStyle w:val="TableContents"/>
              <w:bidi w:val="0"/>
              <w:spacing w:before="0" w:after="283"/>
              <w:jc w:val="left"/>
              <w:rPr>
                <w:sz w:val="4"/>
                <w:szCs w:val="4"/>
              </w:rPr>
            </w:pPr>
            <w:r>
              <w:rPr>
                <w:sz w:val="4"/>
                <w:szCs w:val="4"/>
              </w:rPr>
            </w:r>
          </w:p>
        </w:tc>
      </w:tr>
      <w:tr>
        <w:trPr/>
        <w:tc>
          <w:tcPr>
            <w:tcW w:w="1190" w:type="dxa"/>
            <w:tcBorders/>
          </w:tcPr>
          <w:p>
            <w:pPr>
              <w:pStyle w:val="TableContents"/>
              <w:bidi w:val="0"/>
              <w:spacing w:before="0" w:after="283"/>
              <w:jc w:val="left"/>
              <w:rPr/>
            </w:pPr>
            <w:r>
              <w:rPr/>
              <w:t>  </w:t>
            </w:r>
            <w:r>
              <w:rPr/>
              <w:t>4.4</w:t>
            </w:r>
          </w:p>
        </w:tc>
        <w:tc>
          <w:tcPr>
            <w:tcW w:w="581" w:type="dxa"/>
            <w:tcBorders/>
            <w:vAlign w:val="bottom"/>
          </w:tcPr>
          <w:p>
            <w:pPr>
              <w:pStyle w:val="TableContents"/>
              <w:bidi w:val="0"/>
              <w:spacing w:before="0" w:after="283"/>
              <w:jc w:val="left"/>
              <w:rPr/>
            </w:pPr>
            <w:r>
              <w:rPr/>
              <w:t>  </w:t>
            </w:r>
          </w:p>
        </w:tc>
        <w:tc>
          <w:tcPr>
            <w:tcW w:w="8434" w:type="dxa"/>
            <w:tcBorders/>
          </w:tcPr>
          <w:p>
            <w:pPr>
              <w:pStyle w:val="TableContents"/>
              <w:bidi w:val="0"/>
              <w:spacing w:before="0" w:after="283"/>
              <w:jc w:val="left"/>
              <w:rPr/>
            </w:pPr>
            <w:hyperlink r:id="rId5">
              <w:r>
                <w:rPr>
                  <w:rStyle w:val="InternetLink"/>
                </w:rPr>
                <w:t xml:space="preserve">Certificate of Amendment to Amended and Restated Certificate of Incorporation of the Registrant (incorporated by reference from Exhibit 3.1 to the Registrant’s Current Report on Form 8-K, filed on May 30, 2025) </w:t>
              </w:r>
            </w:hyperlink>
          </w:p>
        </w:tc>
      </w:tr>
      <w:tr>
        <w:trPr>
          <w:trHeight w:val="120" w:hRule="atLeast"/>
        </w:trPr>
        <w:tc>
          <w:tcPr>
            <w:tcW w:w="1190" w:type="dxa"/>
            <w:tcBorders/>
            <w:vAlign w:val="center"/>
          </w:tcPr>
          <w:p>
            <w:pPr>
              <w:pStyle w:val="TableContents"/>
              <w:bidi w:val="0"/>
              <w:spacing w:before="0" w:after="283"/>
              <w:jc w:val="left"/>
              <w:rPr>
                <w:sz w:val="4"/>
                <w:szCs w:val="4"/>
              </w:rPr>
            </w:pPr>
            <w:r>
              <w:rPr>
                <w:sz w:val="4"/>
                <w:szCs w:val="4"/>
              </w:rPr>
            </w:r>
          </w:p>
        </w:tc>
        <w:tc>
          <w:tcPr>
            <w:tcW w:w="9015" w:type="dxa"/>
            <w:gridSpan w:val="2"/>
            <w:tcBorders/>
            <w:vAlign w:val="center"/>
          </w:tcPr>
          <w:p>
            <w:pPr>
              <w:pStyle w:val="TableContents"/>
              <w:bidi w:val="0"/>
              <w:spacing w:before="0" w:after="283"/>
              <w:jc w:val="left"/>
              <w:rPr>
                <w:sz w:val="4"/>
                <w:szCs w:val="4"/>
              </w:rPr>
            </w:pPr>
            <w:r>
              <w:rPr>
                <w:sz w:val="4"/>
                <w:szCs w:val="4"/>
              </w:rPr>
            </w:r>
          </w:p>
        </w:tc>
      </w:tr>
      <w:tr>
        <w:trPr/>
        <w:tc>
          <w:tcPr>
            <w:tcW w:w="1190" w:type="dxa"/>
            <w:tcBorders/>
          </w:tcPr>
          <w:p>
            <w:pPr>
              <w:pStyle w:val="TableContents"/>
              <w:bidi w:val="0"/>
              <w:spacing w:before="0" w:after="283"/>
              <w:jc w:val="left"/>
              <w:rPr/>
            </w:pPr>
            <w:r>
              <w:rPr/>
              <w:t>  </w:t>
            </w:r>
            <w:r>
              <w:rPr/>
              <w:t>4.5</w:t>
            </w:r>
          </w:p>
        </w:tc>
        <w:tc>
          <w:tcPr>
            <w:tcW w:w="581" w:type="dxa"/>
            <w:tcBorders/>
            <w:vAlign w:val="bottom"/>
          </w:tcPr>
          <w:p>
            <w:pPr>
              <w:pStyle w:val="TableContents"/>
              <w:bidi w:val="0"/>
              <w:spacing w:before="0" w:after="283"/>
              <w:jc w:val="left"/>
              <w:rPr/>
            </w:pPr>
            <w:r>
              <w:rPr/>
              <w:t>  </w:t>
            </w:r>
          </w:p>
        </w:tc>
        <w:tc>
          <w:tcPr>
            <w:tcW w:w="8434" w:type="dxa"/>
            <w:tcBorders/>
          </w:tcPr>
          <w:p>
            <w:pPr>
              <w:pStyle w:val="TableContents"/>
              <w:bidi w:val="0"/>
              <w:spacing w:before="0" w:after="283"/>
              <w:jc w:val="left"/>
              <w:rPr/>
            </w:pPr>
            <w:hyperlink r:id="rId6">
              <w:r>
                <w:rPr>
                  <w:rStyle w:val="InternetLink"/>
                </w:rPr>
                <w:t xml:space="preserve">Certificate of Designation of Preferences, Rights and Limitations of Class  A Convertible Preferred Stock of the Registrant (incorporated by reference from Exhibit 3.1 to the Registrant’s Current Report on Form 8-K, filed on November 29, 2016) </w:t>
              </w:r>
            </w:hyperlink>
          </w:p>
        </w:tc>
      </w:tr>
      <w:tr>
        <w:trPr>
          <w:trHeight w:val="120" w:hRule="atLeast"/>
        </w:trPr>
        <w:tc>
          <w:tcPr>
            <w:tcW w:w="1190" w:type="dxa"/>
            <w:tcBorders/>
            <w:vAlign w:val="center"/>
          </w:tcPr>
          <w:p>
            <w:pPr>
              <w:pStyle w:val="TableContents"/>
              <w:bidi w:val="0"/>
              <w:spacing w:before="0" w:after="283"/>
              <w:jc w:val="left"/>
              <w:rPr>
                <w:sz w:val="4"/>
                <w:szCs w:val="4"/>
              </w:rPr>
            </w:pPr>
            <w:r>
              <w:rPr>
                <w:sz w:val="4"/>
                <w:szCs w:val="4"/>
              </w:rPr>
            </w:r>
          </w:p>
        </w:tc>
        <w:tc>
          <w:tcPr>
            <w:tcW w:w="9015" w:type="dxa"/>
            <w:gridSpan w:val="2"/>
            <w:tcBorders/>
            <w:vAlign w:val="center"/>
          </w:tcPr>
          <w:p>
            <w:pPr>
              <w:pStyle w:val="TableContents"/>
              <w:bidi w:val="0"/>
              <w:spacing w:before="0" w:after="283"/>
              <w:jc w:val="left"/>
              <w:rPr>
                <w:sz w:val="4"/>
                <w:szCs w:val="4"/>
              </w:rPr>
            </w:pPr>
            <w:r>
              <w:rPr>
                <w:sz w:val="4"/>
                <w:szCs w:val="4"/>
              </w:rPr>
            </w:r>
          </w:p>
        </w:tc>
      </w:tr>
      <w:tr>
        <w:trPr/>
        <w:tc>
          <w:tcPr>
            <w:tcW w:w="1190" w:type="dxa"/>
            <w:tcBorders/>
          </w:tcPr>
          <w:p>
            <w:pPr>
              <w:pStyle w:val="TableContents"/>
              <w:bidi w:val="0"/>
              <w:spacing w:before="0" w:after="283"/>
              <w:jc w:val="left"/>
              <w:rPr/>
            </w:pPr>
            <w:r>
              <w:rPr/>
              <w:t>  </w:t>
            </w:r>
            <w:r>
              <w:rPr/>
              <w:t>4.6</w:t>
            </w:r>
          </w:p>
        </w:tc>
        <w:tc>
          <w:tcPr>
            <w:tcW w:w="581" w:type="dxa"/>
            <w:tcBorders/>
            <w:vAlign w:val="bottom"/>
          </w:tcPr>
          <w:p>
            <w:pPr>
              <w:pStyle w:val="TableContents"/>
              <w:bidi w:val="0"/>
              <w:spacing w:before="0" w:after="283"/>
              <w:jc w:val="left"/>
              <w:rPr/>
            </w:pPr>
            <w:r>
              <w:rPr/>
              <w:t>  </w:t>
            </w:r>
          </w:p>
        </w:tc>
        <w:tc>
          <w:tcPr>
            <w:tcW w:w="8434" w:type="dxa"/>
            <w:tcBorders/>
          </w:tcPr>
          <w:p>
            <w:pPr>
              <w:pStyle w:val="TableContents"/>
              <w:bidi w:val="0"/>
              <w:spacing w:before="0" w:after="283"/>
              <w:jc w:val="left"/>
              <w:rPr/>
            </w:pPr>
            <w:hyperlink r:id="rId7">
              <w:r>
                <w:rPr>
                  <w:rStyle w:val="InternetLink"/>
                </w:rPr>
                <w:t xml:space="preserve">Amended and Restated Bylaws of the Registrant (incorporated by reference from Exhibit 3.3 to the Registrant’s Annual Report on Form 10-K, filed on February 24, 2021) </w:t>
              </w:r>
            </w:hyperlink>
          </w:p>
        </w:tc>
      </w:tr>
      <w:tr>
        <w:trPr>
          <w:trHeight w:val="120" w:hRule="atLeast"/>
        </w:trPr>
        <w:tc>
          <w:tcPr>
            <w:tcW w:w="1190" w:type="dxa"/>
            <w:tcBorders/>
            <w:vAlign w:val="center"/>
          </w:tcPr>
          <w:p>
            <w:pPr>
              <w:pStyle w:val="TableContents"/>
              <w:bidi w:val="0"/>
              <w:spacing w:before="0" w:after="283"/>
              <w:jc w:val="left"/>
              <w:rPr>
                <w:sz w:val="4"/>
                <w:szCs w:val="4"/>
              </w:rPr>
            </w:pPr>
            <w:r>
              <w:rPr>
                <w:sz w:val="4"/>
                <w:szCs w:val="4"/>
              </w:rPr>
            </w:r>
          </w:p>
        </w:tc>
        <w:tc>
          <w:tcPr>
            <w:tcW w:w="9015" w:type="dxa"/>
            <w:gridSpan w:val="2"/>
            <w:tcBorders/>
            <w:vAlign w:val="center"/>
          </w:tcPr>
          <w:p>
            <w:pPr>
              <w:pStyle w:val="TableContents"/>
              <w:bidi w:val="0"/>
              <w:spacing w:before="0" w:after="283"/>
              <w:jc w:val="left"/>
              <w:rPr>
                <w:sz w:val="4"/>
                <w:szCs w:val="4"/>
              </w:rPr>
            </w:pPr>
            <w:r>
              <w:rPr>
                <w:sz w:val="4"/>
                <w:szCs w:val="4"/>
              </w:rPr>
            </w:r>
          </w:p>
        </w:tc>
      </w:tr>
      <w:tr>
        <w:trPr/>
        <w:tc>
          <w:tcPr>
            <w:tcW w:w="1190" w:type="dxa"/>
            <w:tcBorders/>
          </w:tcPr>
          <w:p>
            <w:pPr>
              <w:pStyle w:val="TableContents"/>
              <w:bidi w:val="0"/>
              <w:spacing w:before="0" w:after="283"/>
              <w:jc w:val="left"/>
              <w:rPr/>
            </w:pPr>
            <w:r>
              <w:rPr/>
              <w:t>  </w:t>
            </w:r>
            <w:r>
              <w:rPr/>
              <w:t>4.7</w:t>
            </w:r>
          </w:p>
        </w:tc>
        <w:tc>
          <w:tcPr>
            <w:tcW w:w="581" w:type="dxa"/>
            <w:tcBorders/>
            <w:vAlign w:val="bottom"/>
          </w:tcPr>
          <w:p>
            <w:pPr>
              <w:pStyle w:val="TableContents"/>
              <w:bidi w:val="0"/>
              <w:spacing w:before="0" w:after="283"/>
              <w:jc w:val="left"/>
              <w:rPr/>
            </w:pPr>
            <w:r>
              <w:rPr/>
              <w:t>  </w:t>
            </w:r>
          </w:p>
        </w:tc>
        <w:tc>
          <w:tcPr>
            <w:tcW w:w="8434" w:type="dxa"/>
            <w:tcBorders/>
          </w:tcPr>
          <w:p>
            <w:pPr>
              <w:pStyle w:val="TableContents"/>
              <w:bidi w:val="0"/>
              <w:spacing w:before="0" w:after="283"/>
              <w:jc w:val="left"/>
              <w:rPr/>
            </w:pPr>
            <w:hyperlink r:id="rId8">
              <w:r>
                <w:rPr>
                  <w:rStyle w:val="InternetLink"/>
                </w:rPr>
                <w:t xml:space="preserve">Certificate of Amendment to Certificate of Designation of Preferences, Rights and Limitations of Class  A Convertible Preferred Stock of the Registrant (incorporated by reference from Exhibit 3.1 to the Registrant’s Current Report on Form 8-K, filed on April 19, 2023) </w:t>
              </w:r>
            </w:hyperlink>
          </w:p>
        </w:tc>
      </w:tr>
      <w:tr>
        <w:trPr>
          <w:trHeight w:val="120" w:hRule="atLeast"/>
        </w:trPr>
        <w:tc>
          <w:tcPr>
            <w:tcW w:w="1190" w:type="dxa"/>
            <w:tcBorders/>
            <w:vAlign w:val="center"/>
          </w:tcPr>
          <w:p>
            <w:pPr>
              <w:pStyle w:val="TableContents"/>
              <w:bidi w:val="0"/>
              <w:spacing w:before="0" w:after="283"/>
              <w:jc w:val="left"/>
              <w:rPr>
                <w:sz w:val="4"/>
                <w:szCs w:val="4"/>
              </w:rPr>
            </w:pPr>
            <w:r>
              <w:rPr>
                <w:sz w:val="4"/>
                <w:szCs w:val="4"/>
              </w:rPr>
            </w:r>
          </w:p>
        </w:tc>
        <w:tc>
          <w:tcPr>
            <w:tcW w:w="9015" w:type="dxa"/>
            <w:gridSpan w:val="2"/>
            <w:tcBorders/>
            <w:vAlign w:val="center"/>
          </w:tcPr>
          <w:p>
            <w:pPr>
              <w:pStyle w:val="TableContents"/>
              <w:bidi w:val="0"/>
              <w:spacing w:before="0" w:after="283"/>
              <w:jc w:val="left"/>
              <w:rPr>
                <w:sz w:val="4"/>
                <w:szCs w:val="4"/>
              </w:rPr>
            </w:pPr>
            <w:r>
              <w:rPr>
                <w:sz w:val="4"/>
                <w:szCs w:val="4"/>
              </w:rPr>
            </w:r>
          </w:p>
        </w:tc>
      </w:tr>
      <w:tr>
        <w:trPr/>
        <w:tc>
          <w:tcPr>
            <w:tcW w:w="1190" w:type="dxa"/>
            <w:tcBorders/>
          </w:tcPr>
          <w:p>
            <w:pPr>
              <w:pStyle w:val="TableContents"/>
              <w:bidi w:val="0"/>
              <w:spacing w:before="0" w:after="283"/>
              <w:jc w:val="left"/>
              <w:rPr/>
            </w:pPr>
            <w:r>
              <w:rPr/>
              <w:t>  </w:t>
            </w:r>
            <w:r>
              <w:rPr/>
              <w:t>4.8</w:t>
            </w:r>
          </w:p>
        </w:tc>
        <w:tc>
          <w:tcPr>
            <w:tcW w:w="581" w:type="dxa"/>
            <w:tcBorders/>
            <w:vAlign w:val="bottom"/>
          </w:tcPr>
          <w:p>
            <w:pPr>
              <w:pStyle w:val="TableContents"/>
              <w:bidi w:val="0"/>
              <w:spacing w:before="0" w:after="283"/>
              <w:jc w:val="left"/>
              <w:rPr/>
            </w:pPr>
            <w:r>
              <w:rPr/>
              <w:t>  </w:t>
            </w:r>
          </w:p>
        </w:tc>
        <w:tc>
          <w:tcPr>
            <w:tcW w:w="8434" w:type="dxa"/>
            <w:tcBorders/>
          </w:tcPr>
          <w:p>
            <w:pPr>
              <w:pStyle w:val="TableContents"/>
              <w:bidi w:val="0"/>
              <w:spacing w:before="0" w:after="283"/>
              <w:jc w:val="left"/>
              <w:rPr/>
            </w:pPr>
            <w:hyperlink r:id="rId9">
              <w:r>
                <w:rPr>
                  <w:rStyle w:val="InternetLink"/>
                </w:rPr>
                <w:t xml:space="preserve">Specimen Common Stock Certificate (incorporated by reference from Exhibit 4.1 to the Registrant’s Amendment No.  1 to Registration Statement on Form S-1, filed on August 29, 2013, File No. 333-190608) </w:t>
              </w:r>
            </w:hyperlink>
          </w:p>
        </w:tc>
      </w:tr>
      <w:tr>
        <w:trPr>
          <w:trHeight w:val="120" w:hRule="atLeast"/>
        </w:trPr>
        <w:tc>
          <w:tcPr>
            <w:tcW w:w="1190" w:type="dxa"/>
            <w:tcBorders/>
            <w:vAlign w:val="center"/>
          </w:tcPr>
          <w:p>
            <w:pPr>
              <w:pStyle w:val="TableContents"/>
              <w:bidi w:val="0"/>
              <w:spacing w:before="0" w:after="283"/>
              <w:jc w:val="left"/>
              <w:rPr>
                <w:sz w:val="4"/>
                <w:szCs w:val="4"/>
              </w:rPr>
            </w:pPr>
            <w:r>
              <w:rPr>
                <w:sz w:val="4"/>
                <w:szCs w:val="4"/>
              </w:rPr>
            </w:r>
          </w:p>
        </w:tc>
        <w:tc>
          <w:tcPr>
            <w:tcW w:w="9015" w:type="dxa"/>
            <w:gridSpan w:val="2"/>
            <w:tcBorders/>
            <w:vAlign w:val="center"/>
          </w:tcPr>
          <w:p>
            <w:pPr>
              <w:pStyle w:val="TableContents"/>
              <w:bidi w:val="0"/>
              <w:spacing w:before="0" w:after="283"/>
              <w:jc w:val="left"/>
              <w:rPr>
                <w:sz w:val="4"/>
                <w:szCs w:val="4"/>
              </w:rPr>
            </w:pPr>
            <w:r>
              <w:rPr>
                <w:sz w:val="4"/>
                <w:szCs w:val="4"/>
              </w:rPr>
            </w:r>
          </w:p>
        </w:tc>
      </w:tr>
      <w:tr>
        <w:trPr/>
        <w:tc>
          <w:tcPr>
            <w:tcW w:w="1190" w:type="dxa"/>
            <w:tcBorders/>
          </w:tcPr>
          <w:p>
            <w:pPr>
              <w:pStyle w:val="TableContents"/>
              <w:bidi w:val="0"/>
              <w:spacing w:before="0" w:after="283"/>
              <w:jc w:val="left"/>
              <w:rPr/>
            </w:pPr>
            <w:r>
              <w:rPr/>
              <w:t>  </w:t>
            </w:r>
            <w:r>
              <w:rPr/>
              <w:t>5.1*</w:t>
            </w:r>
          </w:p>
        </w:tc>
        <w:tc>
          <w:tcPr>
            <w:tcW w:w="581" w:type="dxa"/>
            <w:tcBorders/>
            <w:vAlign w:val="bottom"/>
          </w:tcPr>
          <w:p>
            <w:pPr>
              <w:pStyle w:val="TableContents"/>
              <w:bidi w:val="0"/>
              <w:spacing w:before="0" w:after="283"/>
              <w:jc w:val="left"/>
              <w:rPr/>
            </w:pPr>
            <w:r>
              <w:rPr/>
              <w:t>  </w:t>
            </w:r>
          </w:p>
        </w:tc>
        <w:tc>
          <w:tcPr>
            <w:tcW w:w="8434" w:type="dxa"/>
            <w:tcBorders/>
          </w:tcPr>
          <w:p>
            <w:pPr>
              <w:pStyle w:val="TableContents"/>
              <w:bidi w:val="0"/>
              <w:spacing w:before="0" w:after="283"/>
              <w:jc w:val="left"/>
              <w:rPr/>
            </w:pPr>
            <w:hyperlink w:anchor="d112070dex51.htm">
              <w:r>
                <w:rPr>
                  <w:rStyle w:val="InternetLink"/>
                </w:rPr>
                <w:t xml:space="preserve">Opinion of Goodwin Procter LLP </w:t>
              </w:r>
            </w:hyperlink>
          </w:p>
        </w:tc>
      </w:tr>
      <w:tr>
        <w:trPr>
          <w:trHeight w:val="120" w:hRule="atLeast"/>
        </w:trPr>
        <w:tc>
          <w:tcPr>
            <w:tcW w:w="1190" w:type="dxa"/>
            <w:tcBorders/>
            <w:vAlign w:val="center"/>
          </w:tcPr>
          <w:p>
            <w:pPr>
              <w:pStyle w:val="TableContents"/>
              <w:bidi w:val="0"/>
              <w:spacing w:before="0" w:after="283"/>
              <w:jc w:val="left"/>
              <w:rPr>
                <w:sz w:val="4"/>
                <w:szCs w:val="4"/>
              </w:rPr>
            </w:pPr>
            <w:r>
              <w:rPr>
                <w:sz w:val="4"/>
                <w:szCs w:val="4"/>
              </w:rPr>
            </w:r>
          </w:p>
        </w:tc>
        <w:tc>
          <w:tcPr>
            <w:tcW w:w="9015" w:type="dxa"/>
            <w:gridSpan w:val="2"/>
            <w:tcBorders/>
            <w:vAlign w:val="center"/>
          </w:tcPr>
          <w:p>
            <w:pPr>
              <w:pStyle w:val="TableContents"/>
              <w:bidi w:val="0"/>
              <w:spacing w:before="0" w:after="283"/>
              <w:jc w:val="left"/>
              <w:rPr>
                <w:sz w:val="4"/>
                <w:szCs w:val="4"/>
              </w:rPr>
            </w:pPr>
            <w:r>
              <w:rPr>
                <w:sz w:val="4"/>
                <w:szCs w:val="4"/>
              </w:rPr>
            </w:r>
          </w:p>
        </w:tc>
      </w:tr>
      <w:tr>
        <w:trPr/>
        <w:tc>
          <w:tcPr>
            <w:tcW w:w="1190" w:type="dxa"/>
            <w:tcBorders/>
          </w:tcPr>
          <w:p>
            <w:pPr>
              <w:pStyle w:val="TableContents"/>
              <w:bidi w:val="0"/>
              <w:spacing w:before="0" w:after="283"/>
              <w:jc w:val="left"/>
              <w:rPr/>
            </w:pPr>
            <w:r>
              <w:rPr/>
              <w:t> </w:t>
            </w:r>
            <w:r>
              <w:rPr/>
              <w:t>23.1*</w:t>
            </w:r>
          </w:p>
        </w:tc>
        <w:tc>
          <w:tcPr>
            <w:tcW w:w="581" w:type="dxa"/>
            <w:tcBorders/>
            <w:vAlign w:val="bottom"/>
          </w:tcPr>
          <w:p>
            <w:pPr>
              <w:pStyle w:val="TableContents"/>
              <w:bidi w:val="0"/>
              <w:spacing w:before="0" w:after="283"/>
              <w:jc w:val="left"/>
              <w:rPr/>
            </w:pPr>
            <w:r>
              <w:rPr/>
              <w:t>  </w:t>
            </w:r>
          </w:p>
        </w:tc>
        <w:tc>
          <w:tcPr>
            <w:tcW w:w="8434" w:type="dxa"/>
            <w:tcBorders/>
          </w:tcPr>
          <w:p>
            <w:pPr>
              <w:pStyle w:val="TableContents"/>
              <w:bidi w:val="0"/>
              <w:spacing w:before="0" w:after="283"/>
              <w:jc w:val="left"/>
              <w:rPr/>
            </w:pPr>
            <w:hyperlink w:anchor="d112070dex231.htm">
              <w:r>
                <w:rPr>
                  <w:rStyle w:val="InternetLink"/>
                </w:rPr>
                <w:t xml:space="preserve">Consent of Independent Registered Public Accounting Firm </w:t>
              </w:r>
            </w:hyperlink>
          </w:p>
        </w:tc>
      </w:tr>
      <w:tr>
        <w:trPr>
          <w:trHeight w:val="120" w:hRule="atLeast"/>
        </w:trPr>
        <w:tc>
          <w:tcPr>
            <w:tcW w:w="1190" w:type="dxa"/>
            <w:tcBorders/>
            <w:vAlign w:val="center"/>
          </w:tcPr>
          <w:p>
            <w:pPr>
              <w:pStyle w:val="TableContents"/>
              <w:bidi w:val="0"/>
              <w:spacing w:before="0" w:after="283"/>
              <w:jc w:val="left"/>
              <w:rPr>
                <w:sz w:val="4"/>
                <w:szCs w:val="4"/>
              </w:rPr>
            </w:pPr>
            <w:r>
              <w:rPr>
                <w:sz w:val="4"/>
                <w:szCs w:val="4"/>
              </w:rPr>
            </w:r>
          </w:p>
        </w:tc>
        <w:tc>
          <w:tcPr>
            <w:tcW w:w="9015" w:type="dxa"/>
            <w:gridSpan w:val="2"/>
            <w:tcBorders/>
            <w:vAlign w:val="center"/>
          </w:tcPr>
          <w:p>
            <w:pPr>
              <w:pStyle w:val="TableContents"/>
              <w:bidi w:val="0"/>
              <w:spacing w:before="0" w:after="283"/>
              <w:jc w:val="left"/>
              <w:rPr>
                <w:sz w:val="4"/>
                <w:szCs w:val="4"/>
              </w:rPr>
            </w:pPr>
            <w:r>
              <w:rPr>
                <w:sz w:val="4"/>
                <w:szCs w:val="4"/>
              </w:rPr>
            </w:r>
          </w:p>
        </w:tc>
      </w:tr>
      <w:tr>
        <w:trPr/>
        <w:tc>
          <w:tcPr>
            <w:tcW w:w="1190" w:type="dxa"/>
            <w:tcBorders/>
          </w:tcPr>
          <w:p>
            <w:pPr>
              <w:pStyle w:val="TableContents"/>
              <w:bidi w:val="0"/>
              <w:spacing w:before="0" w:after="283"/>
              <w:jc w:val="left"/>
              <w:rPr/>
            </w:pPr>
            <w:r>
              <w:rPr/>
              <w:t> </w:t>
            </w:r>
            <w:r>
              <w:rPr/>
              <w:t>23.2*</w:t>
            </w:r>
          </w:p>
        </w:tc>
        <w:tc>
          <w:tcPr>
            <w:tcW w:w="581" w:type="dxa"/>
            <w:tcBorders/>
            <w:vAlign w:val="bottom"/>
          </w:tcPr>
          <w:p>
            <w:pPr>
              <w:pStyle w:val="TableContents"/>
              <w:bidi w:val="0"/>
              <w:spacing w:before="0" w:after="283"/>
              <w:jc w:val="left"/>
              <w:rPr/>
            </w:pPr>
            <w:r>
              <w:rPr/>
              <w:t>  </w:t>
            </w:r>
          </w:p>
        </w:tc>
        <w:tc>
          <w:tcPr>
            <w:tcW w:w="8434" w:type="dxa"/>
            <w:tcBorders/>
          </w:tcPr>
          <w:p>
            <w:pPr>
              <w:pStyle w:val="TableContents"/>
              <w:bidi w:val="0"/>
              <w:spacing w:before="0" w:after="283"/>
              <w:jc w:val="left"/>
              <w:rPr/>
            </w:pPr>
            <w:hyperlink w:anchor="d112070dex51.htm">
              <w:r>
                <w:rPr>
                  <w:rStyle w:val="InternetLink"/>
                </w:rPr>
                <w:t xml:space="preserve">Consent of Goodwin Procter LLP (included in Exhibit 5.1) </w:t>
              </w:r>
            </w:hyperlink>
          </w:p>
        </w:tc>
      </w:tr>
      <w:tr>
        <w:trPr>
          <w:trHeight w:val="120" w:hRule="atLeast"/>
        </w:trPr>
        <w:tc>
          <w:tcPr>
            <w:tcW w:w="1190" w:type="dxa"/>
            <w:tcBorders/>
            <w:vAlign w:val="center"/>
          </w:tcPr>
          <w:p>
            <w:pPr>
              <w:pStyle w:val="TableContents"/>
              <w:bidi w:val="0"/>
              <w:spacing w:before="0" w:after="283"/>
              <w:jc w:val="left"/>
              <w:rPr>
                <w:sz w:val="4"/>
                <w:szCs w:val="4"/>
              </w:rPr>
            </w:pPr>
            <w:r>
              <w:rPr>
                <w:sz w:val="4"/>
                <w:szCs w:val="4"/>
              </w:rPr>
            </w:r>
          </w:p>
        </w:tc>
        <w:tc>
          <w:tcPr>
            <w:tcW w:w="9015" w:type="dxa"/>
            <w:gridSpan w:val="2"/>
            <w:tcBorders/>
            <w:vAlign w:val="center"/>
          </w:tcPr>
          <w:p>
            <w:pPr>
              <w:pStyle w:val="TableContents"/>
              <w:bidi w:val="0"/>
              <w:spacing w:before="0" w:after="283"/>
              <w:jc w:val="left"/>
              <w:rPr>
                <w:sz w:val="4"/>
                <w:szCs w:val="4"/>
              </w:rPr>
            </w:pPr>
            <w:r>
              <w:rPr>
                <w:sz w:val="4"/>
                <w:szCs w:val="4"/>
              </w:rPr>
            </w:r>
          </w:p>
        </w:tc>
      </w:tr>
      <w:tr>
        <w:trPr/>
        <w:tc>
          <w:tcPr>
            <w:tcW w:w="1190" w:type="dxa"/>
            <w:tcBorders/>
          </w:tcPr>
          <w:p>
            <w:pPr>
              <w:pStyle w:val="TableContents"/>
              <w:bidi w:val="0"/>
              <w:spacing w:before="0" w:after="283"/>
              <w:jc w:val="left"/>
              <w:rPr/>
            </w:pPr>
            <w:r>
              <w:rPr/>
              <w:t> </w:t>
            </w:r>
            <w:r>
              <w:rPr/>
              <w:t>24.1*</w:t>
            </w:r>
          </w:p>
        </w:tc>
        <w:tc>
          <w:tcPr>
            <w:tcW w:w="581" w:type="dxa"/>
            <w:tcBorders/>
            <w:vAlign w:val="bottom"/>
          </w:tcPr>
          <w:p>
            <w:pPr>
              <w:pStyle w:val="TableContents"/>
              <w:bidi w:val="0"/>
              <w:spacing w:before="0" w:after="283"/>
              <w:jc w:val="left"/>
              <w:rPr/>
            </w:pPr>
            <w:r>
              <w:rPr/>
              <w:t>  </w:t>
            </w:r>
          </w:p>
        </w:tc>
        <w:tc>
          <w:tcPr>
            <w:tcW w:w="8434" w:type="dxa"/>
            <w:tcBorders/>
          </w:tcPr>
          <w:p>
            <w:pPr>
              <w:pStyle w:val="TableContents"/>
              <w:bidi w:val="0"/>
              <w:spacing w:before="0" w:after="283"/>
              <w:jc w:val="left"/>
              <w:rPr/>
            </w:pPr>
            <w:hyperlink w:anchor="tx112070_sig">
              <w:r>
                <w:rPr>
                  <w:rStyle w:val="InternetLink"/>
                </w:rPr>
                <w:t xml:space="preserve">Power of Attorney (included on signature page) </w:t>
              </w:r>
            </w:hyperlink>
          </w:p>
        </w:tc>
      </w:tr>
      <w:tr>
        <w:trPr>
          <w:trHeight w:val="120" w:hRule="atLeast"/>
        </w:trPr>
        <w:tc>
          <w:tcPr>
            <w:tcW w:w="1190" w:type="dxa"/>
            <w:tcBorders/>
            <w:vAlign w:val="center"/>
          </w:tcPr>
          <w:p>
            <w:pPr>
              <w:pStyle w:val="TableContents"/>
              <w:bidi w:val="0"/>
              <w:spacing w:before="0" w:after="283"/>
              <w:jc w:val="left"/>
              <w:rPr>
                <w:sz w:val="4"/>
                <w:szCs w:val="4"/>
              </w:rPr>
            </w:pPr>
            <w:r>
              <w:rPr>
                <w:sz w:val="4"/>
                <w:szCs w:val="4"/>
              </w:rPr>
            </w:r>
          </w:p>
        </w:tc>
        <w:tc>
          <w:tcPr>
            <w:tcW w:w="9015" w:type="dxa"/>
            <w:gridSpan w:val="2"/>
            <w:tcBorders/>
            <w:vAlign w:val="center"/>
          </w:tcPr>
          <w:p>
            <w:pPr>
              <w:pStyle w:val="TableContents"/>
              <w:bidi w:val="0"/>
              <w:spacing w:before="0" w:after="283"/>
              <w:jc w:val="left"/>
              <w:rPr>
                <w:sz w:val="4"/>
                <w:szCs w:val="4"/>
              </w:rPr>
            </w:pPr>
            <w:r>
              <w:rPr>
                <w:sz w:val="4"/>
                <w:szCs w:val="4"/>
              </w:rPr>
            </w:r>
          </w:p>
        </w:tc>
      </w:tr>
      <w:tr>
        <w:trPr/>
        <w:tc>
          <w:tcPr>
            <w:tcW w:w="1190" w:type="dxa"/>
            <w:tcBorders/>
          </w:tcPr>
          <w:p>
            <w:pPr>
              <w:pStyle w:val="TableContents"/>
              <w:bidi w:val="0"/>
              <w:spacing w:before="0" w:after="283"/>
              <w:jc w:val="left"/>
              <w:rPr/>
            </w:pPr>
            <w:r>
              <w:rPr/>
              <w:t> </w:t>
            </w:r>
            <w:r>
              <w:rPr/>
              <w:t>99.1</w:t>
            </w:r>
          </w:p>
        </w:tc>
        <w:tc>
          <w:tcPr>
            <w:tcW w:w="581" w:type="dxa"/>
            <w:tcBorders/>
            <w:vAlign w:val="bottom"/>
          </w:tcPr>
          <w:p>
            <w:pPr>
              <w:pStyle w:val="TableContents"/>
              <w:bidi w:val="0"/>
              <w:spacing w:before="0" w:after="283"/>
              <w:jc w:val="left"/>
              <w:rPr/>
            </w:pPr>
            <w:r>
              <w:rPr/>
              <w:t>  </w:t>
            </w:r>
          </w:p>
        </w:tc>
        <w:tc>
          <w:tcPr>
            <w:tcW w:w="8434" w:type="dxa"/>
            <w:tcBorders/>
          </w:tcPr>
          <w:p>
            <w:pPr>
              <w:pStyle w:val="TableContents"/>
              <w:bidi w:val="0"/>
              <w:spacing w:before="0" w:after="283"/>
              <w:jc w:val="left"/>
              <w:rPr/>
            </w:pPr>
            <w:hyperlink r:id="rId10">
              <w:r>
                <w:rPr>
                  <w:rStyle w:val="InternetLink"/>
                </w:rPr>
                <w:t>Third Amended and Restated 2022 Stock Option and Incentive Plan and form agreements thereunder (incorporated by reference from Exhibit 10.1 to the Registrant’s Current Report on Form 8-K, filed on June 15, 2026, File No. 001-36076) </w:t>
              </w:r>
            </w:hyperlink>
          </w:p>
        </w:tc>
      </w:tr>
      <w:tr>
        <w:trPr>
          <w:trHeight w:val="120" w:hRule="atLeast"/>
        </w:trPr>
        <w:tc>
          <w:tcPr>
            <w:tcW w:w="1190" w:type="dxa"/>
            <w:tcBorders/>
            <w:vAlign w:val="center"/>
          </w:tcPr>
          <w:p>
            <w:pPr>
              <w:pStyle w:val="TableContents"/>
              <w:bidi w:val="0"/>
              <w:spacing w:before="0" w:after="283"/>
              <w:jc w:val="left"/>
              <w:rPr>
                <w:sz w:val="4"/>
                <w:szCs w:val="4"/>
              </w:rPr>
            </w:pPr>
            <w:r>
              <w:rPr>
                <w:sz w:val="4"/>
                <w:szCs w:val="4"/>
              </w:rPr>
            </w:r>
          </w:p>
        </w:tc>
        <w:tc>
          <w:tcPr>
            <w:tcW w:w="9015" w:type="dxa"/>
            <w:gridSpan w:val="2"/>
            <w:tcBorders/>
            <w:vAlign w:val="center"/>
          </w:tcPr>
          <w:p>
            <w:pPr>
              <w:pStyle w:val="TableContents"/>
              <w:bidi w:val="0"/>
              <w:spacing w:before="0" w:after="283"/>
              <w:jc w:val="left"/>
              <w:rPr>
                <w:sz w:val="4"/>
                <w:szCs w:val="4"/>
              </w:rPr>
            </w:pPr>
            <w:r>
              <w:rPr>
                <w:sz w:val="4"/>
                <w:szCs w:val="4"/>
              </w:rPr>
            </w:r>
          </w:p>
        </w:tc>
      </w:tr>
      <w:tr>
        <w:trPr/>
        <w:tc>
          <w:tcPr>
            <w:tcW w:w="1190" w:type="dxa"/>
            <w:tcBorders/>
          </w:tcPr>
          <w:p>
            <w:pPr>
              <w:pStyle w:val="TableContents"/>
              <w:bidi w:val="0"/>
              <w:spacing w:before="0" w:after="283"/>
              <w:jc w:val="left"/>
              <w:rPr/>
            </w:pPr>
            <w:r>
              <w:rPr/>
              <w:t>107*</w:t>
            </w:r>
          </w:p>
        </w:tc>
        <w:tc>
          <w:tcPr>
            <w:tcW w:w="581" w:type="dxa"/>
            <w:tcBorders/>
            <w:vAlign w:val="bottom"/>
          </w:tcPr>
          <w:p>
            <w:pPr>
              <w:pStyle w:val="TableContents"/>
              <w:bidi w:val="0"/>
              <w:spacing w:before="0" w:after="283"/>
              <w:jc w:val="left"/>
              <w:rPr/>
            </w:pPr>
            <w:r>
              <w:rPr/>
              <w:t>  </w:t>
            </w:r>
          </w:p>
        </w:tc>
        <w:tc>
          <w:tcPr>
            <w:tcW w:w="8434" w:type="dxa"/>
            <w:tcBorders/>
          </w:tcPr>
          <w:p>
            <w:pPr>
              <w:pStyle w:val="TableContents"/>
              <w:bidi w:val="0"/>
              <w:spacing w:before="0" w:after="283"/>
              <w:jc w:val="left"/>
              <w:rPr/>
            </w:pPr>
            <w:hyperlink w:anchor="d112070dexfilingfees.htm">
              <w:r>
                <w:rPr>
                  <w:rStyle w:val="InternetLink"/>
                </w:rPr>
                <w:t xml:space="preserve">Filing Fee Table </w:t>
              </w:r>
            </w:hyperlink>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3"/>
        <w:gridCol w:w="10002"/>
      </w:tblGrid>
      <w:tr>
        <w:trPr/>
        <w:tc>
          <w:tcPr>
            <w:tcW w:w="203" w:type="dxa"/>
            <w:tcBorders/>
          </w:tcPr>
          <w:p>
            <w:pPr>
              <w:pStyle w:val="TableContents"/>
              <w:bidi w:val="0"/>
              <w:spacing w:before="0" w:after="283"/>
              <w:jc w:val="left"/>
              <w:rPr/>
            </w:pPr>
            <w:r>
              <w:rPr/>
              <w:t>*</w:t>
            </w:r>
          </w:p>
        </w:tc>
        <w:tc>
          <w:tcPr>
            <w:tcW w:w="100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Filed herewith.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bookmarkStart w:id="2" w:name="tx112070_sig"/>
      <w:bookmarkEnd w:id="2"/>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San Diego, State of California, on this 13th day of August, 2026.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395"/>
        <w:gridCol w:w="60"/>
        <w:gridCol w:w="3627"/>
      </w:tblGrid>
      <w:tr>
        <w:trPr/>
        <w:tc>
          <w:tcPr>
            <w:tcW w:w="39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FATE THERAPEUTICS, INC.</w:t>
            </w:r>
          </w:p>
        </w:tc>
      </w:tr>
      <w:tr>
        <w:trPr>
          <w:trHeight w:val="240" w:hRule="atLeast"/>
        </w:trPr>
        <w:tc>
          <w:tcPr>
            <w:tcW w:w="395" w:type="dxa"/>
            <w:tcBorders/>
            <w:vAlign w:val="center"/>
          </w:tcPr>
          <w:p>
            <w:pPr>
              <w:pStyle w:val="TableContents"/>
              <w:bidi w:val="0"/>
              <w:spacing w:before="0" w:after="283"/>
              <w:jc w:val="left"/>
              <w:rPr>
                <w:sz w:val="4"/>
                <w:szCs w:val="4"/>
              </w:rPr>
            </w:pPr>
            <w:r>
              <w:rPr>
                <w:sz w:val="4"/>
                <w:szCs w:val="4"/>
              </w:rPr>
            </w:r>
          </w:p>
        </w:tc>
        <w:tc>
          <w:tcPr>
            <w:tcW w:w="3687" w:type="dxa"/>
            <w:gridSpan w:val="2"/>
            <w:tcBorders/>
            <w:vAlign w:val="center"/>
          </w:tcPr>
          <w:p>
            <w:pPr>
              <w:pStyle w:val="TableContents"/>
              <w:bidi w:val="0"/>
              <w:spacing w:before="0" w:after="283"/>
              <w:jc w:val="left"/>
              <w:rPr>
                <w:sz w:val="4"/>
                <w:szCs w:val="4"/>
              </w:rPr>
            </w:pPr>
            <w:r>
              <w:rPr>
                <w:sz w:val="4"/>
                <w:szCs w:val="4"/>
              </w:rPr>
            </w:r>
          </w:p>
        </w:tc>
      </w:tr>
      <w:tr>
        <w:trPr/>
        <w:tc>
          <w:tcPr>
            <w:tcW w:w="395"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27" w:type="dxa"/>
            <w:tcBorders>
              <w:bottom w:val="single" w:sz="2" w:space="0" w:color="000000"/>
            </w:tcBorders>
            <w:tcMar>
              <w:bottom w:w="28" w:type="dxa"/>
            </w:tcMar>
          </w:tcPr>
          <w:p>
            <w:pPr>
              <w:pStyle w:val="TableContents"/>
              <w:bidi w:val="0"/>
              <w:spacing w:before="0" w:after="283"/>
              <w:jc w:val="left"/>
              <w:rPr/>
            </w:pPr>
            <w:r>
              <w:rPr/>
              <w:t>/s/ Bahram Valamehr</w:t>
            </w:r>
          </w:p>
        </w:tc>
      </w:tr>
      <w:tr>
        <w:trPr/>
        <w:tc>
          <w:tcPr>
            <w:tcW w:w="3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7" w:type="dxa"/>
            <w:tcBorders/>
            <w:vAlign w:val="bottom"/>
          </w:tcPr>
          <w:p>
            <w:pPr>
              <w:pStyle w:val="TableContents"/>
              <w:bidi w:val="0"/>
              <w:spacing w:before="0" w:after="283"/>
              <w:jc w:val="left"/>
              <w:rPr/>
            </w:pPr>
            <w:r>
              <w:rPr/>
              <w:t>Bahram Valamehr, Ph.D., MBA</w:t>
            </w:r>
          </w:p>
        </w:tc>
      </w:tr>
      <w:tr>
        <w:trPr/>
        <w:tc>
          <w:tcPr>
            <w:tcW w:w="3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President, Chief Executive Officer and Director</w:t>
            </w:r>
          </w:p>
          <w:p>
            <w:pPr>
              <w:pStyle w:val="TableContents"/>
              <w:bidi w:val="0"/>
              <w:spacing w:before="0" w:after="20"/>
              <w:jc w:val="left"/>
              <w:rPr>
                <w:rFonts w:ascii="Times New Roman" w:hAnsi="Times New Roman"/>
                <w:i/>
                <w:sz w:val="20"/>
              </w:rPr>
            </w:pPr>
            <w:r>
              <w:rPr>
                <w:rFonts w:ascii="Times New Roman" w:hAnsi="Times New Roman"/>
                <w:i/>
                <w:sz w:val="20"/>
              </w:rPr>
              <w:t>(Principal Executive Officer)</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POWER OF ATTORNEY AND SIGNATURES </w:t>
      </w:r>
    </w:p>
    <w:p>
      <w:pPr>
        <w:pStyle w:val="TextBody"/>
        <w:bidi w:val="0"/>
        <w:spacing w:before="240" w:after="0"/>
        <w:jc w:val="left"/>
        <w:rPr>
          <w:rFonts w:ascii="Times New Roman" w:hAnsi="Times New Roman"/>
          <w:sz w:val="20"/>
        </w:rPr>
      </w:pPr>
      <w:r>
        <w:rPr>
          <w:rFonts w:ascii="Times New Roman" w:hAnsi="Times New Roman"/>
          <w:sz w:val="20"/>
        </w:rPr>
        <w:t xml:space="preserve">KNOW ALL BY THESE PRESENTS, that each person whose signature appears below hereby severally constitutes and appoints each of Bahram Valamehr, Ph.D., MBA, Kamal Adawi, M.S., MBA, and Cindy R. Tahl, and each of them singly, as such person’s true and lawful attorneys-in-fact and agents, with full power of substitution and resubstitution, for such person and in such person’s name, place and stead, in any and all capacities, to sign any or all amendments (including, without limitation, post-effective amendments) to this registration statement (or any registration statement for the same offering that is to be effective upon filing pursuant to Rule 462(b) under the Securities Act of 1933), and to file the same, with all exhibits thereto, and all documents in connection therewith, with the Securities and Exchange Commission, granting unto each said attorney-in-fact and agent full power and authority to do and perform each and every act and thing requisite and necessary to be done in and about the premises, as fully to all intents and purposes as such person might or could do in person, hereby ratifying and confirming all that any said attorney-in-fact and agent, or any substitute or substitutes of any of them, may lawfully do or cause to be done by virtue hereof.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this registration statement has been signed by the following persons in the capacities and on the dates indicated.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59"/>
        <w:gridCol w:w="122"/>
        <w:gridCol w:w="4333"/>
        <w:gridCol w:w="107"/>
        <w:gridCol w:w="1884"/>
      </w:tblGrid>
      <w:tr>
        <w:trPr/>
        <w:tc>
          <w:tcPr>
            <w:tcW w:w="3759"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4333" w:type="dxa"/>
            <w:tcBorders/>
            <w:vAlign w:val="center"/>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1884" w:type="dxa"/>
            <w:tcBorders/>
            <w:vAlign w:val="center"/>
          </w:tcPr>
          <w:p>
            <w:pPr>
              <w:pStyle w:val="TableContents"/>
              <w:bidi w:val="0"/>
              <w:spacing w:before="0" w:after="283"/>
              <w:jc w:val="left"/>
              <w:rPr>
                <w:sz w:val="4"/>
                <w:szCs w:val="4"/>
              </w:rPr>
            </w:pPr>
            <w:r>
              <w:rPr>
                <w:sz w:val="4"/>
                <w:szCs w:val="4"/>
              </w:rPr>
            </w:r>
          </w:p>
        </w:tc>
      </w:tr>
      <w:tr>
        <w:trPr/>
        <w:tc>
          <w:tcPr>
            <w:tcW w:w="3759"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Signature</w:t>
            </w:r>
          </w:p>
        </w:tc>
        <w:tc>
          <w:tcPr>
            <w:tcW w:w="122" w:type="dxa"/>
            <w:tcBorders/>
            <w:vAlign w:val="bottom"/>
          </w:tcPr>
          <w:p>
            <w:pPr>
              <w:pStyle w:val="TableContents"/>
              <w:bidi w:val="0"/>
              <w:spacing w:before="0" w:after="283"/>
              <w:jc w:val="left"/>
              <w:rPr/>
            </w:pPr>
            <w:r>
              <w:rPr/>
              <w:t>  </w:t>
            </w:r>
          </w:p>
        </w:tc>
        <w:tc>
          <w:tcPr>
            <w:tcW w:w="4333"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Title</w:t>
            </w:r>
          </w:p>
        </w:tc>
        <w:tc>
          <w:tcPr>
            <w:tcW w:w="107" w:type="dxa"/>
            <w:tcBorders/>
            <w:vAlign w:val="bottom"/>
          </w:tcPr>
          <w:p>
            <w:pPr>
              <w:pStyle w:val="TableContents"/>
              <w:bidi w:val="0"/>
              <w:spacing w:before="0" w:after="283"/>
              <w:jc w:val="left"/>
              <w:rPr/>
            </w:pPr>
            <w:r>
              <w:rPr/>
              <w:t> </w:t>
            </w:r>
          </w:p>
        </w:tc>
        <w:tc>
          <w:tcPr>
            <w:tcW w:w="1884"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Date</w:t>
            </w:r>
          </w:p>
        </w:tc>
      </w:tr>
      <w:tr>
        <w:trPr>
          <w:trHeight w:val="240" w:hRule="atLeast"/>
        </w:trPr>
        <w:tc>
          <w:tcPr>
            <w:tcW w:w="3759" w:type="dxa"/>
            <w:tcBorders/>
            <w:vAlign w:val="center"/>
          </w:tcPr>
          <w:p>
            <w:pPr>
              <w:pStyle w:val="TableContents"/>
              <w:bidi w:val="0"/>
              <w:spacing w:before="0" w:after="283"/>
              <w:jc w:val="left"/>
              <w:rPr>
                <w:sz w:val="4"/>
                <w:szCs w:val="4"/>
              </w:rPr>
            </w:pPr>
            <w:r>
              <w:rPr>
                <w:sz w:val="4"/>
                <w:szCs w:val="4"/>
              </w:rPr>
            </w:r>
          </w:p>
        </w:tc>
        <w:tc>
          <w:tcPr>
            <w:tcW w:w="4455" w:type="dxa"/>
            <w:gridSpan w:val="2"/>
            <w:tcBorders/>
            <w:vAlign w:val="center"/>
          </w:tcPr>
          <w:p>
            <w:pPr>
              <w:pStyle w:val="TableContents"/>
              <w:bidi w:val="0"/>
              <w:spacing w:before="0" w:after="283"/>
              <w:jc w:val="left"/>
              <w:rPr>
                <w:sz w:val="4"/>
                <w:szCs w:val="4"/>
              </w:rPr>
            </w:pPr>
            <w:r>
              <w:rPr>
                <w:sz w:val="4"/>
                <w:szCs w:val="4"/>
              </w:rPr>
            </w:r>
          </w:p>
        </w:tc>
        <w:tc>
          <w:tcPr>
            <w:tcW w:w="1991" w:type="dxa"/>
            <w:gridSpan w:val="2"/>
            <w:tcBorders/>
            <w:vAlign w:val="center"/>
          </w:tcPr>
          <w:p>
            <w:pPr>
              <w:pStyle w:val="TableContents"/>
              <w:bidi w:val="0"/>
              <w:spacing w:before="0" w:after="283"/>
              <w:jc w:val="left"/>
              <w:rPr>
                <w:sz w:val="4"/>
                <w:szCs w:val="4"/>
              </w:rPr>
            </w:pPr>
            <w:r>
              <w:rPr>
                <w:sz w:val="4"/>
                <w:szCs w:val="4"/>
              </w:rPr>
            </w:r>
          </w:p>
        </w:tc>
      </w:tr>
      <w:tr>
        <w:trPr/>
        <w:tc>
          <w:tcPr>
            <w:tcW w:w="3759"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Bahram Valamehr</w:t>
            </w:r>
          </w:p>
          <w:p>
            <w:pPr>
              <w:pStyle w:val="TableContents"/>
              <w:bidi w:val="0"/>
              <w:spacing w:before="0" w:after="20"/>
              <w:jc w:val="center"/>
              <w:rPr>
                <w:rFonts w:ascii="Times New Roman" w:hAnsi="Times New Roman"/>
                <w:sz w:val="20"/>
              </w:rPr>
            </w:pPr>
            <w:r>
              <w:rPr>
                <w:rFonts w:ascii="Times New Roman" w:hAnsi="Times New Roman"/>
                <w:sz w:val="20"/>
              </w:rPr>
              <w:t>Bahram Valamehr, Ph.D., MBA</w:t>
            </w:r>
          </w:p>
        </w:tc>
        <w:tc>
          <w:tcPr>
            <w:tcW w:w="122" w:type="dxa"/>
            <w:tcBorders/>
            <w:vAlign w:val="bottom"/>
          </w:tcPr>
          <w:p>
            <w:pPr>
              <w:pStyle w:val="TableContents"/>
              <w:bidi w:val="0"/>
              <w:spacing w:before="0" w:after="283"/>
              <w:jc w:val="left"/>
              <w:rPr/>
            </w:pPr>
            <w:r>
              <w:rPr/>
              <w:t>  </w:t>
            </w:r>
          </w:p>
        </w:tc>
        <w:tc>
          <w:tcPr>
            <w:tcW w:w="4333" w:type="dxa"/>
            <w:tcBorders/>
          </w:tcPr>
          <w:p>
            <w:pPr>
              <w:pStyle w:val="TableContents"/>
              <w:bidi w:val="0"/>
              <w:spacing w:before="0" w:after="0"/>
              <w:jc w:val="left"/>
              <w:rPr>
                <w:rFonts w:ascii="Times New Roman" w:hAnsi="Times New Roman"/>
                <w:sz w:val="20"/>
              </w:rPr>
            </w:pPr>
            <w:r>
              <w:rPr>
                <w:rFonts w:ascii="Times New Roman" w:hAnsi="Times New Roman"/>
                <w:sz w:val="20"/>
              </w:rPr>
              <w:t>President, Chief Executive Officer and Director</w:t>
            </w:r>
          </w:p>
          <w:p>
            <w:pPr>
              <w:pStyle w:val="TableContents"/>
              <w:bidi w:val="0"/>
              <w:spacing w:before="0" w:after="20"/>
              <w:jc w:val="left"/>
              <w:rPr>
                <w:rFonts w:ascii="Times New Roman" w:hAnsi="Times New Roman"/>
                <w:sz w:val="20"/>
              </w:rPr>
            </w:pPr>
            <w:r>
              <w:rPr>
                <w:rFonts w:ascii="Times New Roman" w:hAnsi="Times New Roman"/>
                <w:sz w:val="20"/>
              </w:rPr>
              <w:t>(Principal Executive Officer)</w:t>
            </w:r>
          </w:p>
        </w:tc>
        <w:tc>
          <w:tcPr>
            <w:tcW w:w="107" w:type="dxa"/>
            <w:tcBorders/>
            <w:vAlign w:val="bottom"/>
          </w:tcPr>
          <w:p>
            <w:pPr>
              <w:pStyle w:val="TableContents"/>
              <w:bidi w:val="0"/>
              <w:spacing w:before="0" w:after="283"/>
              <w:jc w:val="left"/>
              <w:rPr/>
            </w:pPr>
            <w:r>
              <w:rPr/>
              <w:t> </w:t>
            </w:r>
          </w:p>
        </w:tc>
        <w:tc>
          <w:tcPr>
            <w:tcW w:w="1884" w:type="dxa"/>
            <w:tcBorders/>
          </w:tcPr>
          <w:p>
            <w:pPr>
              <w:pStyle w:val="TableContents"/>
              <w:bidi w:val="0"/>
              <w:spacing w:before="0" w:after="283"/>
              <w:jc w:val="center"/>
              <w:rPr/>
            </w:pPr>
            <w:r>
              <w:rPr/>
              <w:t>August 13, 2026</w:t>
            </w:r>
          </w:p>
        </w:tc>
      </w:tr>
      <w:tr>
        <w:trPr>
          <w:trHeight w:val="240" w:hRule="atLeast"/>
        </w:trPr>
        <w:tc>
          <w:tcPr>
            <w:tcW w:w="3759" w:type="dxa"/>
            <w:tcBorders/>
            <w:vAlign w:val="center"/>
          </w:tcPr>
          <w:p>
            <w:pPr>
              <w:pStyle w:val="TableContents"/>
              <w:bidi w:val="0"/>
              <w:spacing w:before="0" w:after="283"/>
              <w:jc w:val="left"/>
              <w:rPr>
                <w:sz w:val="4"/>
                <w:szCs w:val="4"/>
              </w:rPr>
            </w:pPr>
            <w:r>
              <w:rPr>
                <w:sz w:val="4"/>
                <w:szCs w:val="4"/>
              </w:rPr>
            </w:r>
          </w:p>
        </w:tc>
        <w:tc>
          <w:tcPr>
            <w:tcW w:w="4455" w:type="dxa"/>
            <w:gridSpan w:val="2"/>
            <w:tcBorders/>
            <w:vAlign w:val="center"/>
          </w:tcPr>
          <w:p>
            <w:pPr>
              <w:pStyle w:val="TableContents"/>
              <w:bidi w:val="0"/>
              <w:spacing w:before="0" w:after="283"/>
              <w:jc w:val="left"/>
              <w:rPr>
                <w:sz w:val="4"/>
                <w:szCs w:val="4"/>
              </w:rPr>
            </w:pPr>
            <w:r>
              <w:rPr>
                <w:sz w:val="4"/>
                <w:szCs w:val="4"/>
              </w:rPr>
            </w:r>
          </w:p>
        </w:tc>
        <w:tc>
          <w:tcPr>
            <w:tcW w:w="1991" w:type="dxa"/>
            <w:gridSpan w:val="2"/>
            <w:tcBorders/>
            <w:vAlign w:val="center"/>
          </w:tcPr>
          <w:p>
            <w:pPr>
              <w:pStyle w:val="TableContents"/>
              <w:bidi w:val="0"/>
              <w:spacing w:before="0" w:after="283"/>
              <w:jc w:val="left"/>
              <w:rPr>
                <w:sz w:val="4"/>
                <w:szCs w:val="4"/>
              </w:rPr>
            </w:pPr>
            <w:r>
              <w:rPr>
                <w:sz w:val="4"/>
                <w:szCs w:val="4"/>
              </w:rPr>
            </w:r>
          </w:p>
        </w:tc>
      </w:tr>
      <w:tr>
        <w:trPr/>
        <w:tc>
          <w:tcPr>
            <w:tcW w:w="3759"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Kamal Adawi</w:t>
            </w:r>
          </w:p>
          <w:p>
            <w:pPr>
              <w:pStyle w:val="TableContents"/>
              <w:bidi w:val="0"/>
              <w:spacing w:before="0" w:after="20"/>
              <w:jc w:val="center"/>
              <w:rPr>
                <w:rFonts w:ascii="Times New Roman" w:hAnsi="Times New Roman"/>
                <w:sz w:val="20"/>
              </w:rPr>
            </w:pPr>
            <w:r>
              <w:rPr>
                <w:rFonts w:ascii="Times New Roman" w:hAnsi="Times New Roman"/>
                <w:sz w:val="20"/>
              </w:rPr>
              <w:t>Kamal Adawi, M.S., MBA</w:t>
            </w:r>
          </w:p>
        </w:tc>
        <w:tc>
          <w:tcPr>
            <w:tcW w:w="122" w:type="dxa"/>
            <w:tcBorders/>
            <w:vAlign w:val="bottom"/>
          </w:tcPr>
          <w:p>
            <w:pPr>
              <w:pStyle w:val="TableContents"/>
              <w:bidi w:val="0"/>
              <w:spacing w:before="0" w:after="283"/>
              <w:jc w:val="left"/>
              <w:rPr/>
            </w:pPr>
            <w:r>
              <w:rPr/>
              <w:t>  </w:t>
            </w:r>
          </w:p>
        </w:tc>
        <w:tc>
          <w:tcPr>
            <w:tcW w:w="4333" w:type="dxa"/>
            <w:tcBorders/>
          </w:tcPr>
          <w:p>
            <w:pPr>
              <w:pStyle w:val="TableContents"/>
              <w:bidi w:val="0"/>
              <w:spacing w:before="0" w:after="0"/>
              <w:jc w:val="left"/>
              <w:rPr>
                <w:rFonts w:ascii="Times New Roman" w:hAnsi="Times New Roman"/>
                <w:sz w:val="20"/>
              </w:rPr>
            </w:pPr>
            <w:r>
              <w:rPr>
                <w:rFonts w:ascii="Times New Roman" w:hAnsi="Times New Roman"/>
                <w:sz w:val="20"/>
              </w:rPr>
              <w:t>Chief Financial Officer and Treasurer</w:t>
            </w:r>
          </w:p>
          <w:p>
            <w:pPr>
              <w:pStyle w:val="TableContents"/>
              <w:bidi w:val="0"/>
              <w:spacing w:before="0" w:after="20"/>
              <w:jc w:val="left"/>
              <w:rPr>
                <w:rFonts w:ascii="Times New Roman" w:hAnsi="Times New Roman"/>
                <w:sz w:val="20"/>
              </w:rPr>
            </w:pPr>
            <w:r>
              <w:rPr>
                <w:rFonts w:ascii="Times New Roman" w:hAnsi="Times New Roman"/>
                <w:sz w:val="20"/>
              </w:rPr>
              <w:t>(Principal Financial and Accounting Officer)</w:t>
            </w:r>
          </w:p>
        </w:tc>
        <w:tc>
          <w:tcPr>
            <w:tcW w:w="107" w:type="dxa"/>
            <w:tcBorders/>
            <w:vAlign w:val="bottom"/>
          </w:tcPr>
          <w:p>
            <w:pPr>
              <w:pStyle w:val="TableContents"/>
              <w:bidi w:val="0"/>
              <w:spacing w:before="0" w:after="283"/>
              <w:jc w:val="left"/>
              <w:rPr/>
            </w:pPr>
            <w:r>
              <w:rPr/>
              <w:t> </w:t>
            </w:r>
          </w:p>
        </w:tc>
        <w:tc>
          <w:tcPr>
            <w:tcW w:w="1884" w:type="dxa"/>
            <w:tcBorders/>
          </w:tcPr>
          <w:p>
            <w:pPr>
              <w:pStyle w:val="TableContents"/>
              <w:bidi w:val="0"/>
              <w:spacing w:before="0" w:after="283"/>
              <w:jc w:val="center"/>
              <w:rPr/>
            </w:pPr>
            <w:r>
              <w:rPr/>
              <w:t>August 13, 2026</w:t>
            </w:r>
          </w:p>
        </w:tc>
      </w:tr>
      <w:tr>
        <w:trPr>
          <w:trHeight w:val="240" w:hRule="atLeast"/>
        </w:trPr>
        <w:tc>
          <w:tcPr>
            <w:tcW w:w="3759" w:type="dxa"/>
            <w:tcBorders/>
            <w:vAlign w:val="center"/>
          </w:tcPr>
          <w:p>
            <w:pPr>
              <w:pStyle w:val="TableContents"/>
              <w:bidi w:val="0"/>
              <w:spacing w:before="0" w:after="283"/>
              <w:jc w:val="left"/>
              <w:rPr>
                <w:sz w:val="4"/>
                <w:szCs w:val="4"/>
              </w:rPr>
            </w:pPr>
            <w:r>
              <w:rPr>
                <w:sz w:val="4"/>
                <w:szCs w:val="4"/>
              </w:rPr>
            </w:r>
          </w:p>
        </w:tc>
        <w:tc>
          <w:tcPr>
            <w:tcW w:w="4455" w:type="dxa"/>
            <w:gridSpan w:val="2"/>
            <w:tcBorders/>
            <w:vAlign w:val="center"/>
          </w:tcPr>
          <w:p>
            <w:pPr>
              <w:pStyle w:val="TableContents"/>
              <w:bidi w:val="0"/>
              <w:spacing w:before="0" w:after="283"/>
              <w:jc w:val="left"/>
              <w:rPr>
                <w:sz w:val="4"/>
                <w:szCs w:val="4"/>
              </w:rPr>
            </w:pPr>
            <w:r>
              <w:rPr>
                <w:sz w:val="4"/>
                <w:szCs w:val="4"/>
              </w:rPr>
            </w:r>
          </w:p>
        </w:tc>
        <w:tc>
          <w:tcPr>
            <w:tcW w:w="1991" w:type="dxa"/>
            <w:gridSpan w:val="2"/>
            <w:tcBorders/>
            <w:vAlign w:val="center"/>
          </w:tcPr>
          <w:p>
            <w:pPr>
              <w:pStyle w:val="TableContents"/>
              <w:bidi w:val="0"/>
              <w:spacing w:before="0" w:after="283"/>
              <w:jc w:val="left"/>
              <w:rPr>
                <w:sz w:val="4"/>
                <w:szCs w:val="4"/>
              </w:rPr>
            </w:pPr>
            <w:r>
              <w:rPr>
                <w:sz w:val="4"/>
                <w:szCs w:val="4"/>
              </w:rPr>
            </w:r>
          </w:p>
        </w:tc>
      </w:tr>
      <w:tr>
        <w:trPr/>
        <w:tc>
          <w:tcPr>
            <w:tcW w:w="3759"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William H. Rastetter</w:t>
            </w:r>
          </w:p>
          <w:p>
            <w:pPr>
              <w:pStyle w:val="TableContents"/>
              <w:bidi w:val="0"/>
              <w:spacing w:before="0" w:after="20"/>
              <w:jc w:val="center"/>
              <w:rPr>
                <w:rFonts w:ascii="Times New Roman" w:hAnsi="Times New Roman"/>
                <w:sz w:val="20"/>
              </w:rPr>
            </w:pPr>
            <w:r>
              <w:rPr>
                <w:rFonts w:ascii="Times New Roman" w:hAnsi="Times New Roman"/>
                <w:sz w:val="20"/>
              </w:rPr>
              <w:t>William H. Rastetter, Ph.D.</w:t>
            </w:r>
          </w:p>
        </w:tc>
        <w:tc>
          <w:tcPr>
            <w:tcW w:w="122" w:type="dxa"/>
            <w:tcBorders/>
            <w:vAlign w:val="bottom"/>
          </w:tcPr>
          <w:p>
            <w:pPr>
              <w:pStyle w:val="TableContents"/>
              <w:bidi w:val="0"/>
              <w:spacing w:before="0" w:after="283"/>
              <w:jc w:val="left"/>
              <w:rPr/>
            </w:pPr>
            <w:r>
              <w:rPr/>
              <w:t>  </w:t>
            </w:r>
          </w:p>
        </w:tc>
        <w:tc>
          <w:tcPr>
            <w:tcW w:w="4333" w:type="dxa"/>
            <w:tcBorders/>
          </w:tcPr>
          <w:p>
            <w:pPr>
              <w:pStyle w:val="TableContents"/>
              <w:bidi w:val="0"/>
              <w:spacing w:before="0" w:after="0"/>
              <w:jc w:val="left"/>
              <w:rPr>
                <w:rFonts w:ascii="Times New Roman" w:hAnsi="Times New Roman"/>
                <w:sz w:val="20"/>
              </w:rPr>
            </w:pPr>
            <w:r>
              <w:rPr>
                <w:rFonts w:ascii="Times New Roman" w:hAnsi="Times New Roman"/>
                <w:sz w:val="20"/>
              </w:rPr>
              <w:t>Chairman of the Board and Director</w:t>
            </w:r>
          </w:p>
        </w:tc>
        <w:tc>
          <w:tcPr>
            <w:tcW w:w="107" w:type="dxa"/>
            <w:tcBorders/>
            <w:vAlign w:val="bottom"/>
          </w:tcPr>
          <w:p>
            <w:pPr>
              <w:pStyle w:val="TableContents"/>
              <w:bidi w:val="0"/>
              <w:spacing w:before="0" w:after="283"/>
              <w:jc w:val="left"/>
              <w:rPr/>
            </w:pPr>
            <w:r>
              <w:rPr/>
              <w:t> </w:t>
            </w:r>
          </w:p>
        </w:tc>
        <w:tc>
          <w:tcPr>
            <w:tcW w:w="1884" w:type="dxa"/>
            <w:tcBorders/>
          </w:tcPr>
          <w:p>
            <w:pPr>
              <w:pStyle w:val="TableContents"/>
              <w:bidi w:val="0"/>
              <w:spacing w:before="0" w:after="283"/>
              <w:jc w:val="center"/>
              <w:rPr/>
            </w:pPr>
            <w:r>
              <w:rPr/>
              <w:t>August 13, 2026</w:t>
            </w:r>
          </w:p>
        </w:tc>
      </w:tr>
      <w:tr>
        <w:trPr>
          <w:trHeight w:val="240" w:hRule="atLeast"/>
        </w:trPr>
        <w:tc>
          <w:tcPr>
            <w:tcW w:w="3759" w:type="dxa"/>
            <w:tcBorders/>
            <w:vAlign w:val="center"/>
          </w:tcPr>
          <w:p>
            <w:pPr>
              <w:pStyle w:val="TableContents"/>
              <w:bidi w:val="0"/>
              <w:spacing w:before="0" w:after="283"/>
              <w:jc w:val="left"/>
              <w:rPr>
                <w:sz w:val="4"/>
                <w:szCs w:val="4"/>
              </w:rPr>
            </w:pPr>
            <w:r>
              <w:rPr>
                <w:sz w:val="4"/>
                <w:szCs w:val="4"/>
              </w:rPr>
            </w:r>
          </w:p>
        </w:tc>
        <w:tc>
          <w:tcPr>
            <w:tcW w:w="4455" w:type="dxa"/>
            <w:gridSpan w:val="2"/>
            <w:tcBorders/>
            <w:vAlign w:val="center"/>
          </w:tcPr>
          <w:p>
            <w:pPr>
              <w:pStyle w:val="TableContents"/>
              <w:bidi w:val="0"/>
              <w:spacing w:before="0" w:after="283"/>
              <w:jc w:val="left"/>
              <w:rPr>
                <w:sz w:val="4"/>
                <w:szCs w:val="4"/>
              </w:rPr>
            </w:pPr>
            <w:r>
              <w:rPr>
                <w:sz w:val="4"/>
                <w:szCs w:val="4"/>
              </w:rPr>
            </w:r>
          </w:p>
        </w:tc>
        <w:tc>
          <w:tcPr>
            <w:tcW w:w="1991" w:type="dxa"/>
            <w:gridSpan w:val="2"/>
            <w:tcBorders/>
            <w:vAlign w:val="center"/>
          </w:tcPr>
          <w:p>
            <w:pPr>
              <w:pStyle w:val="TableContents"/>
              <w:bidi w:val="0"/>
              <w:spacing w:before="0" w:after="283"/>
              <w:jc w:val="left"/>
              <w:rPr>
                <w:sz w:val="4"/>
                <w:szCs w:val="4"/>
              </w:rPr>
            </w:pPr>
            <w:r>
              <w:rPr>
                <w:sz w:val="4"/>
                <w:szCs w:val="4"/>
              </w:rPr>
            </w:r>
          </w:p>
        </w:tc>
      </w:tr>
      <w:tr>
        <w:trPr/>
        <w:tc>
          <w:tcPr>
            <w:tcW w:w="3759"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Matthew C. Abernethy</w:t>
            </w:r>
          </w:p>
          <w:p>
            <w:pPr>
              <w:pStyle w:val="TableContents"/>
              <w:bidi w:val="0"/>
              <w:spacing w:before="0" w:after="20"/>
              <w:jc w:val="center"/>
              <w:rPr>
                <w:rFonts w:ascii="Times New Roman" w:hAnsi="Times New Roman"/>
                <w:sz w:val="20"/>
              </w:rPr>
            </w:pPr>
            <w:r>
              <w:rPr>
                <w:rFonts w:ascii="Times New Roman" w:hAnsi="Times New Roman"/>
                <w:sz w:val="20"/>
              </w:rPr>
              <w:t>Matthew C. Abernethy, MBA</w:t>
            </w:r>
          </w:p>
        </w:tc>
        <w:tc>
          <w:tcPr>
            <w:tcW w:w="122" w:type="dxa"/>
            <w:tcBorders/>
            <w:vAlign w:val="bottom"/>
          </w:tcPr>
          <w:p>
            <w:pPr>
              <w:pStyle w:val="TableContents"/>
              <w:bidi w:val="0"/>
              <w:spacing w:before="0" w:after="283"/>
              <w:jc w:val="left"/>
              <w:rPr/>
            </w:pPr>
            <w:r>
              <w:rPr/>
              <w:t>  </w:t>
            </w:r>
          </w:p>
        </w:tc>
        <w:tc>
          <w:tcPr>
            <w:tcW w:w="4333" w:type="dxa"/>
            <w:tcBorders/>
          </w:tcPr>
          <w:p>
            <w:pPr>
              <w:pStyle w:val="TableContents"/>
              <w:bidi w:val="0"/>
              <w:spacing w:before="0" w:after="0"/>
              <w:jc w:val="left"/>
              <w:rPr>
                <w:rFonts w:ascii="Times New Roman" w:hAnsi="Times New Roman"/>
                <w:sz w:val="20"/>
              </w:rPr>
            </w:pPr>
            <w:r>
              <w:rPr>
                <w:rFonts w:ascii="Times New Roman" w:hAnsi="Times New Roman"/>
                <w:sz w:val="20"/>
              </w:rPr>
              <w:t>Director</w:t>
            </w:r>
          </w:p>
        </w:tc>
        <w:tc>
          <w:tcPr>
            <w:tcW w:w="107" w:type="dxa"/>
            <w:tcBorders/>
            <w:vAlign w:val="bottom"/>
          </w:tcPr>
          <w:p>
            <w:pPr>
              <w:pStyle w:val="TableContents"/>
              <w:bidi w:val="0"/>
              <w:spacing w:before="0" w:after="283"/>
              <w:jc w:val="left"/>
              <w:rPr/>
            </w:pPr>
            <w:r>
              <w:rPr/>
              <w:t> </w:t>
            </w:r>
          </w:p>
        </w:tc>
        <w:tc>
          <w:tcPr>
            <w:tcW w:w="1884" w:type="dxa"/>
            <w:tcBorders/>
          </w:tcPr>
          <w:p>
            <w:pPr>
              <w:pStyle w:val="TableContents"/>
              <w:bidi w:val="0"/>
              <w:spacing w:before="0" w:after="283"/>
              <w:jc w:val="center"/>
              <w:rPr/>
            </w:pPr>
            <w:r>
              <w:rPr/>
              <w:t>August 13, 2026</w:t>
            </w:r>
          </w:p>
        </w:tc>
      </w:tr>
      <w:tr>
        <w:trPr>
          <w:trHeight w:val="240" w:hRule="atLeast"/>
        </w:trPr>
        <w:tc>
          <w:tcPr>
            <w:tcW w:w="3759" w:type="dxa"/>
            <w:tcBorders/>
            <w:vAlign w:val="center"/>
          </w:tcPr>
          <w:p>
            <w:pPr>
              <w:pStyle w:val="TableContents"/>
              <w:bidi w:val="0"/>
              <w:spacing w:before="0" w:after="283"/>
              <w:jc w:val="left"/>
              <w:rPr>
                <w:sz w:val="4"/>
                <w:szCs w:val="4"/>
              </w:rPr>
            </w:pPr>
            <w:r>
              <w:rPr>
                <w:sz w:val="4"/>
                <w:szCs w:val="4"/>
              </w:rPr>
            </w:r>
          </w:p>
        </w:tc>
        <w:tc>
          <w:tcPr>
            <w:tcW w:w="4455" w:type="dxa"/>
            <w:gridSpan w:val="2"/>
            <w:tcBorders/>
            <w:vAlign w:val="center"/>
          </w:tcPr>
          <w:p>
            <w:pPr>
              <w:pStyle w:val="TableContents"/>
              <w:bidi w:val="0"/>
              <w:spacing w:before="0" w:after="283"/>
              <w:jc w:val="left"/>
              <w:rPr>
                <w:sz w:val="4"/>
                <w:szCs w:val="4"/>
              </w:rPr>
            </w:pPr>
            <w:r>
              <w:rPr>
                <w:sz w:val="4"/>
                <w:szCs w:val="4"/>
              </w:rPr>
            </w:r>
          </w:p>
        </w:tc>
        <w:tc>
          <w:tcPr>
            <w:tcW w:w="1991" w:type="dxa"/>
            <w:gridSpan w:val="2"/>
            <w:tcBorders/>
            <w:vAlign w:val="center"/>
          </w:tcPr>
          <w:p>
            <w:pPr>
              <w:pStyle w:val="TableContents"/>
              <w:bidi w:val="0"/>
              <w:spacing w:before="0" w:after="283"/>
              <w:jc w:val="left"/>
              <w:rPr>
                <w:sz w:val="4"/>
                <w:szCs w:val="4"/>
              </w:rPr>
            </w:pPr>
            <w:r>
              <w:rPr>
                <w:sz w:val="4"/>
                <w:szCs w:val="4"/>
              </w:rPr>
            </w:r>
          </w:p>
        </w:tc>
      </w:tr>
      <w:tr>
        <w:trPr/>
        <w:tc>
          <w:tcPr>
            <w:tcW w:w="3759"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Shefali Agarwal</w:t>
            </w:r>
          </w:p>
          <w:p>
            <w:pPr>
              <w:pStyle w:val="TableContents"/>
              <w:bidi w:val="0"/>
              <w:spacing w:before="0" w:after="20"/>
              <w:jc w:val="center"/>
              <w:rPr>
                <w:rFonts w:ascii="Times New Roman" w:hAnsi="Times New Roman"/>
                <w:sz w:val="20"/>
              </w:rPr>
            </w:pPr>
            <w:r>
              <w:rPr>
                <w:rFonts w:ascii="Times New Roman" w:hAnsi="Times New Roman"/>
                <w:sz w:val="20"/>
              </w:rPr>
              <w:t>Shefali Agarwal, M.D.</w:t>
            </w:r>
          </w:p>
        </w:tc>
        <w:tc>
          <w:tcPr>
            <w:tcW w:w="122" w:type="dxa"/>
            <w:tcBorders/>
            <w:vAlign w:val="bottom"/>
          </w:tcPr>
          <w:p>
            <w:pPr>
              <w:pStyle w:val="TableContents"/>
              <w:bidi w:val="0"/>
              <w:spacing w:before="0" w:after="283"/>
              <w:jc w:val="left"/>
              <w:rPr/>
            </w:pPr>
            <w:r>
              <w:rPr/>
              <w:t>  </w:t>
            </w:r>
          </w:p>
        </w:tc>
        <w:tc>
          <w:tcPr>
            <w:tcW w:w="4333" w:type="dxa"/>
            <w:tcBorders/>
          </w:tcPr>
          <w:p>
            <w:pPr>
              <w:pStyle w:val="TableContents"/>
              <w:bidi w:val="0"/>
              <w:spacing w:before="0" w:after="0"/>
              <w:jc w:val="left"/>
              <w:rPr>
                <w:rFonts w:ascii="Times New Roman" w:hAnsi="Times New Roman"/>
                <w:sz w:val="20"/>
              </w:rPr>
            </w:pPr>
            <w:r>
              <w:rPr>
                <w:rFonts w:ascii="Times New Roman" w:hAnsi="Times New Roman"/>
                <w:sz w:val="20"/>
              </w:rPr>
              <w:t>Director</w:t>
            </w:r>
          </w:p>
        </w:tc>
        <w:tc>
          <w:tcPr>
            <w:tcW w:w="107" w:type="dxa"/>
            <w:tcBorders/>
            <w:vAlign w:val="bottom"/>
          </w:tcPr>
          <w:p>
            <w:pPr>
              <w:pStyle w:val="TableContents"/>
              <w:bidi w:val="0"/>
              <w:spacing w:before="0" w:after="283"/>
              <w:jc w:val="left"/>
              <w:rPr/>
            </w:pPr>
            <w:r>
              <w:rPr/>
              <w:t> </w:t>
            </w:r>
          </w:p>
        </w:tc>
        <w:tc>
          <w:tcPr>
            <w:tcW w:w="1884" w:type="dxa"/>
            <w:tcBorders/>
          </w:tcPr>
          <w:p>
            <w:pPr>
              <w:pStyle w:val="TableContents"/>
              <w:bidi w:val="0"/>
              <w:spacing w:before="0" w:after="283"/>
              <w:jc w:val="center"/>
              <w:rPr/>
            </w:pPr>
            <w:r>
              <w:rPr/>
              <w:t>August 13, 2026</w:t>
            </w:r>
          </w:p>
        </w:tc>
      </w:tr>
      <w:tr>
        <w:trPr>
          <w:trHeight w:val="240" w:hRule="atLeast"/>
        </w:trPr>
        <w:tc>
          <w:tcPr>
            <w:tcW w:w="3759" w:type="dxa"/>
            <w:tcBorders/>
            <w:vAlign w:val="center"/>
          </w:tcPr>
          <w:p>
            <w:pPr>
              <w:pStyle w:val="TableContents"/>
              <w:bidi w:val="0"/>
              <w:spacing w:before="0" w:after="283"/>
              <w:jc w:val="left"/>
              <w:rPr>
                <w:sz w:val="4"/>
                <w:szCs w:val="4"/>
              </w:rPr>
            </w:pPr>
            <w:r>
              <w:rPr>
                <w:sz w:val="4"/>
                <w:szCs w:val="4"/>
              </w:rPr>
            </w:r>
          </w:p>
        </w:tc>
        <w:tc>
          <w:tcPr>
            <w:tcW w:w="4455" w:type="dxa"/>
            <w:gridSpan w:val="2"/>
            <w:tcBorders/>
            <w:vAlign w:val="center"/>
          </w:tcPr>
          <w:p>
            <w:pPr>
              <w:pStyle w:val="TableContents"/>
              <w:bidi w:val="0"/>
              <w:spacing w:before="0" w:after="283"/>
              <w:jc w:val="left"/>
              <w:rPr>
                <w:sz w:val="4"/>
                <w:szCs w:val="4"/>
              </w:rPr>
            </w:pPr>
            <w:r>
              <w:rPr>
                <w:sz w:val="4"/>
                <w:szCs w:val="4"/>
              </w:rPr>
            </w:r>
          </w:p>
        </w:tc>
        <w:tc>
          <w:tcPr>
            <w:tcW w:w="1991" w:type="dxa"/>
            <w:gridSpan w:val="2"/>
            <w:tcBorders/>
            <w:vAlign w:val="center"/>
          </w:tcPr>
          <w:p>
            <w:pPr>
              <w:pStyle w:val="TableContents"/>
              <w:bidi w:val="0"/>
              <w:spacing w:before="0" w:after="283"/>
              <w:jc w:val="left"/>
              <w:rPr>
                <w:sz w:val="4"/>
                <w:szCs w:val="4"/>
              </w:rPr>
            </w:pPr>
            <w:r>
              <w:rPr>
                <w:sz w:val="4"/>
                <w:szCs w:val="4"/>
              </w:rPr>
            </w:r>
          </w:p>
        </w:tc>
      </w:tr>
      <w:tr>
        <w:trPr/>
        <w:tc>
          <w:tcPr>
            <w:tcW w:w="3759"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Robert S. Epstein</w:t>
            </w:r>
          </w:p>
          <w:p>
            <w:pPr>
              <w:pStyle w:val="TableContents"/>
              <w:bidi w:val="0"/>
              <w:spacing w:before="0" w:after="20"/>
              <w:jc w:val="center"/>
              <w:rPr>
                <w:rFonts w:ascii="Times New Roman" w:hAnsi="Times New Roman"/>
                <w:sz w:val="20"/>
              </w:rPr>
            </w:pPr>
            <w:r>
              <w:rPr>
                <w:rFonts w:ascii="Times New Roman" w:hAnsi="Times New Roman"/>
                <w:sz w:val="20"/>
              </w:rPr>
              <w:t>Robert S. Epstein, M.D., M.S.</w:t>
            </w:r>
          </w:p>
        </w:tc>
        <w:tc>
          <w:tcPr>
            <w:tcW w:w="122" w:type="dxa"/>
            <w:tcBorders/>
            <w:vAlign w:val="bottom"/>
          </w:tcPr>
          <w:p>
            <w:pPr>
              <w:pStyle w:val="TableContents"/>
              <w:bidi w:val="0"/>
              <w:spacing w:before="0" w:after="283"/>
              <w:jc w:val="left"/>
              <w:rPr/>
            </w:pPr>
            <w:r>
              <w:rPr/>
              <w:t>  </w:t>
            </w:r>
          </w:p>
        </w:tc>
        <w:tc>
          <w:tcPr>
            <w:tcW w:w="4333" w:type="dxa"/>
            <w:tcBorders/>
          </w:tcPr>
          <w:p>
            <w:pPr>
              <w:pStyle w:val="TableContents"/>
              <w:bidi w:val="0"/>
              <w:spacing w:before="0" w:after="0"/>
              <w:jc w:val="left"/>
              <w:rPr>
                <w:rFonts w:ascii="Times New Roman" w:hAnsi="Times New Roman"/>
                <w:sz w:val="20"/>
              </w:rPr>
            </w:pPr>
            <w:r>
              <w:rPr>
                <w:rFonts w:ascii="Times New Roman" w:hAnsi="Times New Roman"/>
                <w:sz w:val="20"/>
              </w:rPr>
              <w:t>Director</w:t>
            </w:r>
          </w:p>
        </w:tc>
        <w:tc>
          <w:tcPr>
            <w:tcW w:w="107" w:type="dxa"/>
            <w:tcBorders/>
            <w:vAlign w:val="bottom"/>
          </w:tcPr>
          <w:p>
            <w:pPr>
              <w:pStyle w:val="TableContents"/>
              <w:bidi w:val="0"/>
              <w:spacing w:before="0" w:after="283"/>
              <w:jc w:val="left"/>
              <w:rPr/>
            </w:pPr>
            <w:r>
              <w:rPr/>
              <w:t> </w:t>
            </w:r>
          </w:p>
        </w:tc>
        <w:tc>
          <w:tcPr>
            <w:tcW w:w="1884" w:type="dxa"/>
            <w:tcBorders/>
          </w:tcPr>
          <w:p>
            <w:pPr>
              <w:pStyle w:val="TableContents"/>
              <w:bidi w:val="0"/>
              <w:spacing w:before="0" w:after="283"/>
              <w:jc w:val="center"/>
              <w:rPr/>
            </w:pPr>
            <w:r>
              <w:rPr/>
              <w:t>August 13, 2026</w:t>
            </w:r>
          </w:p>
        </w:tc>
      </w:tr>
      <w:tr>
        <w:trPr>
          <w:trHeight w:val="240" w:hRule="atLeast"/>
        </w:trPr>
        <w:tc>
          <w:tcPr>
            <w:tcW w:w="3759" w:type="dxa"/>
            <w:tcBorders/>
            <w:vAlign w:val="center"/>
          </w:tcPr>
          <w:p>
            <w:pPr>
              <w:pStyle w:val="TableContents"/>
              <w:bidi w:val="0"/>
              <w:spacing w:before="0" w:after="283"/>
              <w:jc w:val="left"/>
              <w:rPr>
                <w:sz w:val="4"/>
                <w:szCs w:val="4"/>
              </w:rPr>
            </w:pPr>
            <w:r>
              <w:rPr>
                <w:sz w:val="4"/>
                <w:szCs w:val="4"/>
              </w:rPr>
            </w:r>
          </w:p>
        </w:tc>
        <w:tc>
          <w:tcPr>
            <w:tcW w:w="4455" w:type="dxa"/>
            <w:gridSpan w:val="2"/>
            <w:tcBorders/>
            <w:vAlign w:val="center"/>
          </w:tcPr>
          <w:p>
            <w:pPr>
              <w:pStyle w:val="TableContents"/>
              <w:bidi w:val="0"/>
              <w:spacing w:before="0" w:after="283"/>
              <w:jc w:val="left"/>
              <w:rPr>
                <w:sz w:val="4"/>
                <w:szCs w:val="4"/>
              </w:rPr>
            </w:pPr>
            <w:r>
              <w:rPr>
                <w:sz w:val="4"/>
                <w:szCs w:val="4"/>
              </w:rPr>
            </w:r>
          </w:p>
        </w:tc>
        <w:tc>
          <w:tcPr>
            <w:tcW w:w="1991" w:type="dxa"/>
            <w:gridSpan w:val="2"/>
            <w:tcBorders/>
            <w:vAlign w:val="center"/>
          </w:tcPr>
          <w:p>
            <w:pPr>
              <w:pStyle w:val="TableContents"/>
              <w:bidi w:val="0"/>
              <w:spacing w:before="0" w:after="283"/>
              <w:jc w:val="left"/>
              <w:rPr>
                <w:sz w:val="4"/>
                <w:szCs w:val="4"/>
              </w:rPr>
            </w:pPr>
            <w:r>
              <w:rPr>
                <w:sz w:val="4"/>
                <w:szCs w:val="4"/>
              </w:rPr>
            </w:r>
          </w:p>
        </w:tc>
      </w:tr>
      <w:tr>
        <w:trPr/>
        <w:tc>
          <w:tcPr>
            <w:tcW w:w="3759"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Laura J. Hamill</w:t>
            </w:r>
          </w:p>
          <w:p>
            <w:pPr>
              <w:pStyle w:val="TableContents"/>
              <w:bidi w:val="0"/>
              <w:spacing w:before="0" w:after="20"/>
              <w:jc w:val="center"/>
              <w:rPr>
                <w:rFonts w:ascii="Times New Roman" w:hAnsi="Times New Roman"/>
                <w:sz w:val="20"/>
              </w:rPr>
            </w:pPr>
            <w:r>
              <w:rPr>
                <w:rFonts w:ascii="Times New Roman" w:hAnsi="Times New Roman"/>
                <w:sz w:val="20"/>
              </w:rPr>
              <w:t>Laura J. Hamill</w:t>
            </w:r>
          </w:p>
        </w:tc>
        <w:tc>
          <w:tcPr>
            <w:tcW w:w="122" w:type="dxa"/>
            <w:tcBorders/>
            <w:vAlign w:val="bottom"/>
          </w:tcPr>
          <w:p>
            <w:pPr>
              <w:pStyle w:val="TableContents"/>
              <w:bidi w:val="0"/>
              <w:spacing w:before="0" w:after="283"/>
              <w:jc w:val="left"/>
              <w:rPr/>
            </w:pPr>
            <w:r>
              <w:rPr/>
              <w:t>  </w:t>
            </w:r>
          </w:p>
        </w:tc>
        <w:tc>
          <w:tcPr>
            <w:tcW w:w="4333" w:type="dxa"/>
            <w:tcBorders/>
          </w:tcPr>
          <w:p>
            <w:pPr>
              <w:pStyle w:val="TableContents"/>
              <w:bidi w:val="0"/>
              <w:spacing w:before="0" w:after="0"/>
              <w:jc w:val="left"/>
              <w:rPr>
                <w:rFonts w:ascii="Times New Roman" w:hAnsi="Times New Roman"/>
                <w:sz w:val="20"/>
              </w:rPr>
            </w:pPr>
            <w:r>
              <w:rPr>
                <w:rFonts w:ascii="Times New Roman" w:hAnsi="Times New Roman"/>
                <w:sz w:val="20"/>
              </w:rPr>
              <w:t>Director</w:t>
            </w:r>
          </w:p>
        </w:tc>
        <w:tc>
          <w:tcPr>
            <w:tcW w:w="107" w:type="dxa"/>
            <w:tcBorders/>
            <w:vAlign w:val="bottom"/>
          </w:tcPr>
          <w:p>
            <w:pPr>
              <w:pStyle w:val="TableContents"/>
              <w:bidi w:val="0"/>
              <w:spacing w:before="0" w:after="283"/>
              <w:jc w:val="left"/>
              <w:rPr/>
            </w:pPr>
            <w:r>
              <w:rPr/>
              <w:t> </w:t>
            </w:r>
          </w:p>
        </w:tc>
        <w:tc>
          <w:tcPr>
            <w:tcW w:w="1884" w:type="dxa"/>
            <w:tcBorders/>
          </w:tcPr>
          <w:p>
            <w:pPr>
              <w:pStyle w:val="TableContents"/>
              <w:bidi w:val="0"/>
              <w:spacing w:before="0" w:after="283"/>
              <w:jc w:val="center"/>
              <w:rPr/>
            </w:pPr>
            <w:r>
              <w:rPr/>
              <w:t>August 13, 2026</w:t>
            </w:r>
          </w:p>
        </w:tc>
      </w:tr>
      <w:tr>
        <w:trPr>
          <w:trHeight w:val="240" w:hRule="atLeast"/>
        </w:trPr>
        <w:tc>
          <w:tcPr>
            <w:tcW w:w="3759" w:type="dxa"/>
            <w:tcBorders/>
            <w:vAlign w:val="center"/>
          </w:tcPr>
          <w:p>
            <w:pPr>
              <w:pStyle w:val="TableContents"/>
              <w:bidi w:val="0"/>
              <w:spacing w:before="0" w:after="283"/>
              <w:jc w:val="left"/>
              <w:rPr>
                <w:sz w:val="4"/>
                <w:szCs w:val="4"/>
              </w:rPr>
            </w:pPr>
            <w:r>
              <w:rPr>
                <w:sz w:val="4"/>
                <w:szCs w:val="4"/>
              </w:rPr>
            </w:r>
          </w:p>
        </w:tc>
        <w:tc>
          <w:tcPr>
            <w:tcW w:w="4455" w:type="dxa"/>
            <w:gridSpan w:val="2"/>
            <w:tcBorders/>
            <w:vAlign w:val="center"/>
          </w:tcPr>
          <w:p>
            <w:pPr>
              <w:pStyle w:val="TableContents"/>
              <w:bidi w:val="0"/>
              <w:spacing w:before="0" w:after="283"/>
              <w:jc w:val="left"/>
              <w:rPr>
                <w:sz w:val="4"/>
                <w:szCs w:val="4"/>
              </w:rPr>
            </w:pPr>
            <w:r>
              <w:rPr>
                <w:sz w:val="4"/>
                <w:szCs w:val="4"/>
              </w:rPr>
            </w:r>
          </w:p>
        </w:tc>
        <w:tc>
          <w:tcPr>
            <w:tcW w:w="1991" w:type="dxa"/>
            <w:gridSpan w:val="2"/>
            <w:tcBorders/>
            <w:vAlign w:val="center"/>
          </w:tcPr>
          <w:p>
            <w:pPr>
              <w:pStyle w:val="TableContents"/>
              <w:bidi w:val="0"/>
              <w:spacing w:before="0" w:after="283"/>
              <w:jc w:val="left"/>
              <w:rPr>
                <w:sz w:val="4"/>
                <w:szCs w:val="4"/>
              </w:rPr>
            </w:pPr>
            <w:r>
              <w:rPr>
                <w:sz w:val="4"/>
                <w:szCs w:val="4"/>
              </w:rPr>
            </w:r>
          </w:p>
        </w:tc>
      </w:tr>
      <w:tr>
        <w:trPr/>
        <w:tc>
          <w:tcPr>
            <w:tcW w:w="3759"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Karin Jooss</w:t>
            </w:r>
          </w:p>
          <w:p>
            <w:pPr>
              <w:pStyle w:val="TableContents"/>
              <w:bidi w:val="0"/>
              <w:spacing w:before="0" w:after="20"/>
              <w:jc w:val="center"/>
              <w:rPr>
                <w:rFonts w:ascii="Times New Roman" w:hAnsi="Times New Roman"/>
                <w:sz w:val="20"/>
              </w:rPr>
            </w:pPr>
            <w:r>
              <w:rPr>
                <w:rFonts w:ascii="Times New Roman" w:hAnsi="Times New Roman"/>
                <w:sz w:val="20"/>
              </w:rPr>
              <w:t>Karin Jooss, Ph.D.</w:t>
            </w:r>
          </w:p>
        </w:tc>
        <w:tc>
          <w:tcPr>
            <w:tcW w:w="122" w:type="dxa"/>
            <w:tcBorders/>
            <w:vAlign w:val="bottom"/>
          </w:tcPr>
          <w:p>
            <w:pPr>
              <w:pStyle w:val="TableContents"/>
              <w:bidi w:val="0"/>
              <w:spacing w:before="0" w:after="283"/>
              <w:jc w:val="left"/>
              <w:rPr/>
            </w:pPr>
            <w:r>
              <w:rPr/>
              <w:t>  </w:t>
            </w:r>
          </w:p>
        </w:tc>
        <w:tc>
          <w:tcPr>
            <w:tcW w:w="4333" w:type="dxa"/>
            <w:tcBorders/>
          </w:tcPr>
          <w:p>
            <w:pPr>
              <w:pStyle w:val="TableContents"/>
              <w:bidi w:val="0"/>
              <w:spacing w:before="0" w:after="0"/>
              <w:jc w:val="left"/>
              <w:rPr>
                <w:rFonts w:ascii="Times New Roman" w:hAnsi="Times New Roman"/>
                <w:sz w:val="20"/>
              </w:rPr>
            </w:pPr>
            <w:r>
              <w:rPr>
                <w:rFonts w:ascii="Times New Roman" w:hAnsi="Times New Roman"/>
                <w:sz w:val="20"/>
              </w:rPr>
              <w:t>Director</w:t>
            </w:r>
          </w:p>
        </w:tc>
        <w:tc>
          <w:tcPr>
            <w:tcW w:w="107" w:type="dxa"/>
            <w:tcBorders/>
            <w:vAlign w:val="bottom"/>
          </w:tcPr>
          <w:p>
            <w:pPr>
              <w:pStyle w:val="TableContents"/>
              <w:bidi w:val="0"/>
              <w:spacing w:before="0" w:after="283"/>
              <w:jc w:val="left"/>
              <w:rPr/>
            </w:pPr>
            <w:r>
              <w:rPr/>
              <w:t> </w:t>
            </w:r>
          </w:p>
        </w:tc>
        <w:tc>
          <w:tcPr>
            <w:tcW w:w="1884" w:type="dxa"/>
            <w:tcBorders/>
          </w:tcPr>
          <w:p>
            <w:pPr>
              <w:pStyle w:val="TableContents"/>
              <w:bidi w:val="0"/>
              <w:spacing w:before="0" w:after="283"/>
              <w:jc w:val="center"/>
              <w:rPr/>
            </w:pPr>
            <w:r>
              <w:rPr/>
              <w:t>August 13, 2026</w:t>
            </w:r>
          </w:p>
        </w:tc>
      </w:tr>
      <w:tr>
        <w:trPr>
          <w:trHeight w:val="240" w:hRule="atLeast"/>
        </w:trPr>
        <w:tc>
          <w:tcPr>
            <w:tcW w:w="3759" w:type="dxa"/>
            <w:tcBorders/>
            <w:vAlign w:val="center"/>
          </w:tcPr>
          <w:p>
            <w:pPr>
              <w:pStyle w:val="TableContents"/>
              <w:bidi w:val="0"/>
              <w:spacing w:before="0" w:after="283"/>
              <w:jc w:val="left"/>
              <w:rPr>
                <w:sz w:val="4"/>
                <w:szCs w:val="4"/>
              </w:rPr>
            </w:pPr>
            <w:r>
              <w:rPr>
                <w:sz w:val="4"/>
                <w:szCs w:val="4"/>
              </w:rPr>
            </w:r>
          </w:p>
        </w:tc>
        <w:tc>
          <w:tcPr>
            <w:tcW w:w="4455" w:type="dxa"/>
            <w:gridSpan w:val="2"/>
            <w:tcBorders/>
            <w:vAlign w:val="center"/>
          </w:tcPr>
          <w:p>
            <w:pPr>
              <w:pStyle w:val="TableContents"/>
              <w:bidi w:val="0"/>
              <w:spacing w:before="0" w:after="283"/>
              <w:jc w:val="left"/>
              <w:rPr>
                <w:sz w:val="4"/>
                <w:szCs w:val="4"/>
              </w:rPr>
            </w:pPr>
            <w:r>
              <w:rPr>
                <w:sz w:val="4"/>
                <w:szCs w:val="4"/>
              </w:rPr>
            </w:r>
          </w:p>
        </w:tc>
        <w:tc>
          <w:tcPr>
            <w:tcW w:w="1991" w:type="dxa"/>
            <w:gridSpan w:val="2"/>
            <w:tcBorders/>
            <w:vAlign w:val="center"/>
          </w:tcPr>
          <w:p>
            <w:pPr>
              <w:pStyle w:val="TableContents"/>
              <w:bidi w:val="0"/>
              <w:spacing w:before="0" w:after="283"/>
              <w:jc w:val="left"/>
              <w:rPr>
                <w:sz w:val="4"/>
                <w:szCs w:val="4"/>
              </w:rPr>
            </w:pPr>
            <w:r>
              <w:rPr>
                <w:sz w:val="4"/>
                <w:szCs w:val="4"/>
              </w:rPr>
            </w:r>
          </w:p>
        </w:tc>
      </w:tr>
      <w:tr>
        <w:trPr/>
        <w:tc>
          <w:tcPr>
            <w:tcW w:w="3759"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Michael Lee</w:t>
            </w:r>
          </w:p>
          <w:p>
            <w:pPr>
              <w:pStyle w:val="TableContents"/>
              <w:bidi w:val="0"/>
              <w:spacing w:before="0" w:after="20"/>
              <w:jc w:val="center"/>
              <w:rPr>
                <w:rFonts w:ascii="Times New Roman" w:hAnsi="Times New Roman"/>
                <w:sz w:val="20"/>
              </w:rPr>
            </w:pPr>
            <w:r>
              <w:rPr>
                <w:rFonts w:ascii="Times New Roman" w:hAnsi="Times New Roman"/>
                <w:sz w:val="20"/>
              </w:rPr>
              <w:t>Michael Lee</w:t>
            </w:r>
          </w:p>
        </w:tc>
        <w:tc>
          <w:tcPr>
            <w:tcW w:w="122" w:type="dxa"/>
            <w:tcBorders/>
            <w:vAlign w:val="bottom"/>
          </w:tcPr>
          <w:p>
            <w:pPr>
              <w:pStyle w:val="TableContents"/>
              <w:bidi w:val="0"/>
              <w:spacing w:before="0" w:after="283"/>
              <w:jc w:val="left"/>
              <w:rPr/>
            </w:pPr>
            <w:r>
              <w:rPr/>
              <w:t>  </w:t>
            </w:r>
          </w:p>
        </w:tc>
        <w:tc>
          <w:tcPr>
            <w:tcW w:w="4333" w:type="dxa"/>
            <w:tcBorders/>
          </w:tcPr>
          <w:p>
            <w:pPr>
              <w:pStyle w:val="TableContents"/>
              <w:bidi w:val="0"/>
              <w:spacing w:before="0" w:after="0"/>
              <w:jc w:val="left"/>
              <w:rPr>
                <w:rFonts w:ascii="Times New Roman" w:hAnsi="Times New Roman"/>
                <w:sz w:val="20"/>
              </w:rPr>
            </w:pPr>
            <w:r>
              <w:rPr>
                <w:rFonts w:ascii="Times New Roman" w:hAnsi="Times New Roman"/>
                <w:sz w:val="20"/>
              </w:rPr>
              <w:t>Director</w:t>
            </w:r>
          </w:p>
        </w:tc>
        <w:tc>
          <w:tcPr>
            <w:tcW w:w="107" w:type="dxa"/>
            <w:tcBorders/>
            <w:vAlign w:val="bottom"/>
          </w:tcPr>
          <w:p>
            <w:pPr>
              <w:pStyle w:val="TableContents"/>
              <w:bidi w:val="0"/>
              <w:spacing w:before="0" w:after="283"/>
              <w:jc w:val="left"/>
              <w:rPr/>
            </w:pPr>
            <w:r>
              <w:rPr/>
              <w:t> </w:t>
            </w:r>
          </w:p>
        </w:tc>
        <w:tc>
          <w:tcPr>
            <w:tcW w:w="1884" w:type="dxa"/>
            <w:tcBorders/>
          </w:tcPr>
          <w:p>
            <w:pPr>
              <w:pStyle w:val="TableContents"/>
              <w:bidi w:val="0"/>
              <w:spacing w:before="0" w:after="283"/>
              <w:jc w:val="center"/>
              <w:rPr/>
            </w:pPr>
            <w:r>
              <w:rPr/>
              <w:t>August 13, 2026</w:t>
            </w:r>
          </w:p>
        </w:tc>
      </w:tr>
      <w:tr>
        <w:trPr>
          <w:trHeight w:val="240" w:hRule="atLeast"/>
        </w:trPr>
        <w:tc>
          <w:tcPr>
            <w:tcW w:w="3759" w:type="dxa"/>
            <w:tcBorders/>
            <w:vAlign w:val="center"/>
          </w:tcPr>
          <w:p>
            <w:pPr>
              <w:pStyle w:val="TableContents"/>
              <w:bidi w:val="0"/>
              <w:spacing w:before="0" w:after="283"/>
              <w:jc w:val="left"/>
              <w:rPr>
                <w:sz w:val="4"/>
                <w:szCs w:val="4"/>
              </w:rPr>
            </w:pPr>
            <w:r>
              <w:rPr>
                <w:sz w:val="4"/>
                <w:szCs w:val="4"/>
              </w:rPr>
            </w:r>
          </w:p>
        </w:tc>
        <w:tc>
          <w:tcPr>
            <w:tcW w:w="4455" w:type="dxa"/>
            <w:gridSpan w:val="2"/>
            <w:tcBorders/>
            <w:vAlign w:val="center"/>
          </w:tcPr>
          <w:p>
            <w:pPr>
              <w:pStyle w:val="TableContents"/>
              <w:bidi w:val="0"/>
              <w:spacing w:before="0" w:after="283"/>
              <w:jc w:val="left"/>
              <w:rPr>
                <w:sz w:val="4"/>
                <w:szCs w:val="4"/>
              </w:rPr>
            </w:pPr>
            <w:r>
              <w:rPr>
                <w:sz w:val="4"/>
                <w:szCs w:val="4"/>
              </w:rPr>
            </w:r>
          </w:p>
        </w:tc>
        <w:tc>
          <w:tcPr>
            <w:tcW w:w="1991" w:type="dxa"/>
            <w:gridSpan w:val="2"/>
            <w:tcBorders/>
            <w:vAlign w:val="center"/>
          </w:tcPr>
          <w:p>
            <w:pPr>
              <w:pStyle w:val="TableContents"/>
              <w:bidi w:val="0"/>
              <w:spacing w:before="0" w:after="283"/>
              <w:jc w:val="left"/>
              <w:rPr>
                <w:sz w:val="4"/>
                <w:szCs w:val="4"/>
              </w:rPr>
            </w:pPr>
            <w:r>
              <w:rPr>
                <w:sz w:val="4"/>
                <w:szCs w:val="4"/>
              </w:rPr>
            </w:r>
          </w:p>
        </w:tc>
      </w:tr>
      <w:tr>
        <w:trPr/>
        <w:tc>
          <w:tcPr>
            <w:tcW w:w="3759"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Yuan Xu</w:t>
            </w:r>
          </w:p>
          <w:p>
            <w:pPr>
              <w:pStyle w:val="TableContents"/>
              <w:bidi w:val="0"/>
              <w:spacing w:before="0" w:after="20"/>
              <w:jc w:val="center"/>
              <w:rPr>
                <w:rFonts w:ascii="Times New Roman" w:hAnsi="Times New Roman"/>
                <w:sz w:val="20"/>
              </w:rPr>
            </w:pPr>
            <w:r>
              <w:rPr>
                <w:rFonts w:ascii="Times New Roman" w:hAnsi="Times New Roman"/>
                <w:sz w:val="20"/>
              </w:rPr>
              <w:t>Yuan Xu, Ph.D.</w:t>
            </w:r>
          </w:p>
        </w:tc>
        <w:tc>
          <w:tcPr>
            <w:tcW w:w="122" w:type="dxa"/>
            <w:tcBorders/>
            <w:vAlign w:val="bottom"/>
          </w:tcPr>
          <w:p>
            <w:pPr>
              <w:pStyle w:val="TableContents"/>
              <w:bidi w:val="0"/>
              <w:spacing w:before="0" w:after="283"/>
              <w:jc w:val="left"/>
              <w:rPr/>
            </w:pPr>
            <w:r>
              <w:rPr/>
              <w:t>  </w:t>
            </w:r>
          </w:p>
        </w:tc>
        <w:tc>
          <w:tcPr>
            <w:tcW w:w="4333" w:type="dxa"/>
            <w:tcBorders/>
          </w:tcPr>
          <w:p>
            <w:pPr>
              <w:pStyle w:val="TableContents"/>
              <w:bidi w:val="0"/>
              <w:spacing w:before="0" w:after="0"/>
              <w:jc w:val="left"/>
              <w:rPr>
                <w:rFonts w:ascii="Times New Roman" w:hAnsi="Times New Roman"/>
                <w:sz w:val="20"/>
              </w:rPr>
            </w:pPr>
            <w:r>
              <w:rPr>
                <w:rFonts w:ascii="Times New Roman" w:hAnsi="Times New Roman"/>
                <w:sz w:val="20"/>
              </w:rPr>
              <w:t>Director</w:t>
            </w:r>
          </w:p>
        </w:tc>
        <w:tc>
          <w:tcPr>
            <w:tcW w:w="107" w:type="dxa"/>
            <w:tcBorders/>
            <w:vAlign w:val="bottom"/>
          </w:tcPr>
          <w:p>
            <w:pPr>
              <w:pStyle w:val="TableContents"/>
              <w:bidi w:val="0"/>
              <w:spacing w:before="0" w:after="283"/>
              <w:jc w:val="left"/>
              <w:rPr/>
            </w:pPr>
            <w:r>
              <w:rPr/>
              <w:t> </w:t>
            </w:r>
          </w:p>
        </w:tc>
        <w:tc>
          <w:tcPr>
            <w:tcW w:w="1884" w:type="dxa"/>
            <w:tcBorders/>
          </w:tcPr>
          <w:p>
            <w:pPr>
              <w:pStyle w:val="TableContents"/>
              <w:bidi w:val="0"/>
              <w:spacing w:before="0" w:after="283"/>
              <w:jc w:val="center"/>
              <w:rPr/>
            </w:pPr>
            <w:r>
              <w:rPr/>
              <w:t>August 13, 2026</w:t>
            </w:r>
          </w:p>
        </w:tc>
      </w:tr>
    </w:tbl>
    <w:p>
      <w:pPr>
        <w:pStyle w:val="TextBody"/>
        <w:bidi w:val="0"/>
        <w:spacing w:before="0" w:after="0"/>
        <w:jc w:val="right"/>
        <w:rPr>
          <w:rFonts w:ascii="Times New Roman" w:hAnsi="Times New Roman"/>
          <w:b/>
          <w:sz w:val="20"/>
        </w:rPr>
      </w:pPr>
      <w:bookmarkStart w:id="3" w:name="d112070dex51.htm"/>
      <w:bookmarkStart w:id="4" w:name="ksd112070dex51"/>
      <w:bookmarkEnd w:id="3"/>
      <w:bookmarkEnd w:id="4"/>
      <w:r>
        <w:rPr>
          <w:rFonts w:ascii="Times New Roman" w:hAnsi="Times New Roman"/>
          <w:b/>
          <w:sz w:val="20"/>
        </w:rPr>
        <w:t xml:space="preserve">Exhibit 5.1 </w:t>
      </w:r>
      <w:r>
        <w:br w:type="page"/>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848"/>
        <w:gridCol w:w="120"/>
        <w:gridCol w:w="2237"/>
      </w:tblGrid>
      <w:tr>
        <w:trPr/>
        <w:tc>
          <w:tcPr>
            <w:tcW w:w="7848"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237" w:type="dxa"/>
            <w:tcBorders/>
            <w:vAlign w:val="center"/>
          </w:tcPr>
          <w:p>
            <w:pPr>
              <w:pStyle w:val="TableContents"/>
              <w:bidi w:val="0"/>
              <w:spacing w:before="0" w:after="283"/>
              <w:jc w:val="left"/>
              <w:rPr>
                <w:sz w:val="4"/>
                <w:szCs w:val="4"/>
              </w:rPr>
            </w:pPr>
            <w:r>
              <w:rPr>
                <w:sz w:val="4"/>
                <w:szCs w:val="4"/>
              </w:rPr>
            </w:r>
          </w:p>
        </w:tc>
      </w:tr>
      <w:tr>
        <w:trPr/>
        <w:tc>
          <w:tcPr>
            <w:tcW w:w="7848" w:type="dxa"/>
            <w:tcBorders/>
          </w:tcPr>
          <w:p>
            <w:pPr>
              <w:pStyle w:val="TableContents"/>
              <w:bidi w:val="0"/>
              <w:spacing w:before="0" w:after="283"/>
              <w:jc w:val="left"/>
              <w:rPr/>
            </w:pPr>
            <w:r>
              <w:rPr/>
              <w:drawing>
                <wp:inline distT="0" distB="0" distL="0" distR="0">
                  <wp:extent cx="1905000" cy="4191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11"/>
                          <a:stretch>
                            <a:fillRect/>
                          </a:stretch>
                        </pic:blipFill>
                        <pic:spPr bwMode="auto">
                          <a:xfrm>
                            <a:off x="0" y="0"/>
                            <a:ext cx="1905000" cy="419100"/>
                          </a:xfrm>
                          <a:prstGeom prst="rect">
                            <a:avLst/>
                          </a:prstGeom>
                        </pic:spPr>
                      </pic:pic>
                    </a:graphicData>
                  </a:graphic>
                </wp:inline>
              </w:drawing>
            </w:r>
            <w:r>
              <w:rPr/>
              <w:t xml:space="preserve"> </w:t>
            </w:r>
          </w:p>
        </w:tc>
        <w:tc>
          <w:tcPr>
            <w:tcW w:w="120" w:type="dxa"/>
            <w:tcBorders/>
            <w:vAlign w:val="bottom"/>
          </w:tcPr>
          <w:p>
            <w:pPr>
              <w:pStyle w:val="TableContents"/>
              <w:bidi w:val="0"/>
              <w:spacing w:before="0" w:after="283"/>
              <w:jc w:val="left"/>
              <w:rPr/>
            </w:pPr>
            <w:r>
              <w:rPr/>
              <w:t>  </w:t>
            </w:r>
          </w:p>
        </w:tc>
        <w:tc>
          <w:tcPr>
            <w:tcW w:w="2237" w:type="dxa"/>
            <w:tcBorders/>
          </w:tcPr>
          <w:p>
            <w:pPr>
              <w:pStyle w:val="TableContents"/>
              <w:bidi w:val="0"/>
              <w:spacing w:before="0" w:after="0"/>
              <w:jc w:val="left"/>
              <w:rPr>
                <w:rFonts w:ascii="Times New Roman" w:hAnsi="Times New Roman"/>
                <w:sz w:val="20"/>
              </w:rPr>
            </w:pPr>
            <w:r>
              <w:rPr>
                <w:rFonts w:ascii="Times New Roman" w:hAnsi="Times New Roman"/>
                <w:sz w:val="20"/>
              </w:rPr>
              <w:t>Goodwin Procter LLP</w:t>
            </w:r>
          </w:p>
          <w:p>
            <w:pPr>
              <w:pStyle w:val="TableContents"/>
              <w:bidi w:val="0"/>
              <w:spacing w:before="0" w:after="0"/>
              <w:jc w:val="left"/>
              <w:rPr>
                <w:rFonts w:ascii="Times New Roman" w:hAnsi="Times New Roman"/>
                <w:sz w:val="20"/>
              </w:rPr>
            </w:pPr>
            <w:r>
              <w:rPr>
                <w:rFonts w:ascii="Times New Roman" w:hAnsi="Times New Roman"/>
                <w:sz w:val="20"/>
              </w:rPr>
              <w:t>525 Market Street</w:t>
            </w:r>
          </w:p>
          <w:p>
            <w:pPr>
              <w:pStyle w:val="TableContents"/>
              <w:bidi w:val="0"/>
              <w:spacing w:before="0" w:after="0"/>
              <w:jc w:val="left"/>
              <w:rPr>
                <w:rFonts w:ascii="Times New Roman" w:hAnsi="Times New Roman"/>
                <w:sz w:val="20"/>
              </w:rPr>
            </w:pPr>
            <w:r>
              <w:rPr>
                <w:rFonts w:ascii="Times New Roman" w:hAnsi="Times New Roman"/>
                <w:sz w:val="20"/>
              </w:rPr>
              <w:t>Floor 32</w:t>
            </w:r>
          </w:p>
          <w:p>
            <w:pPr>
              <w:pStyle w:val="TableContents"/>
              <w:bidi w:val="0"/>
              <w:spacing w:before="0" w:after="0"/>
              <w:jc w:val="left"/>
              <w:rPr>
                <w:rFonts w:ascii="Times New Roman" w:hAnsi="Times New Roman"/>
                <w:sz w:val="20"/>
              </w:rPr>
            </w:pPr>
            <w:r>
              <w:rPr>
                <w:rFonts w:ascii="Times New Roman" w:hAnsi="Times New Roman"/>
                <w:sz w:val="20"/>
              </w:rPr>
              <w:t>San Francisco, CA 94105</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goodwinlaw.com</w:t>
            </w:r>
          </w:p>
          <w:p>
            <w:pPr>
              <w:pStyle w:val="TableContents"/>
              <w:bidi w:val="0"/>
              <w:spacing w:before="0" w:after="20"/>
              <w:jc w:val="left"/>
              <w:rPr>
                <w:rFonts w:ascii="Times New Roman" w:hAnsi="Times New Roman"/>
                <w:sz w:val="20"/>
              </w:rPr>
            </w:pPr>
            <w:r>
              <w:rPr>
                <w:rFonts w:ascii="Times New Roman" w:hAnsi="Times New Roman"/>
                <w:sz w:val="20"/>
              </w:rPr>
              <w:t>+1 415 733 6000</w:t>
            </w:r>
          </w:p>
        </w:tc>
      </w:tr>
    </w:tbl>
    <w:p>
      <w:pPr>
        <w:pStyle w:val="TextBody"/>
        <w:bidi w:val="0"/>
        <w:spacing w:before="240" w:after="0"/>
        <w:jc w:val="left"/>
        <w:rPr>
          <w:rFonts w:ascii="Times New Roman" w:hAnsi="Times New Roman"/>
          <w:sz w:val="20"/>
        </w:rPr>
      </w:pPr>
      <w:r>
        <w:rPr>
          <w:rFonts w:ascii="Times New Roman" w:hAnsi="Times New Roman"/>
          <w:sz w:val="20"/>
        </w:rPr>
        <w:t xml:space="preserve">August 13, 2026 </w:t>
      </w:r>
    </w:p>
    <w:p>
      <w:pPr>
        <w:pStyle w:val="TextBody"/>
        <w:bidi w:val="0"/>
        <w:spacing w:before="240" w:after="0"/>
        <w:jc w:val="left"/>
        <w:rPr>
          <w:rFonts w:ascii="Times New Roman" w:hAnsi="Times New Roman"/>
          <w:sz w:val="20"/>
        </w:rPr>
      </w:pPr>
      <w:r>
        <w:rPr>
          <w:rFonts w:ascii="Times New Roman" w:hAnsi="Times New Roman"/>
          <w:sz w:val="20"/>
        </w:rPr>
        <w:t xml:space="preserve">Fate Therapeutics, Inc. </w:t>
      </w:r>
    </w:p>
    <w:p>
      <w:pPr>
        <w:pStyle w:val="TextBody"/>
        <w:bidi w:val="0"/>
        <w:spacing w:before="0" w:after="0"/>
        <w:jc w:val="left"/>
        <w:rPr>
          <w:rFonts w:ascii="Times New Roman" w:hAnsi="Times New Roman"/>
          <w:sz w:val="20"/>
        </w:rPr>
      </w:pPr>
      <w:r>
        <w:rPr>
          <w:rFonts w:ascii="Times New Roman" w:hAnsi="Times New Roman"/>
          <w:sz w:val="20"/>
        </w:rPr>
        <w:t xml:space="preserve">12278 Scripps Summit Drive </w:t>
      </w:r>
    </w:p>
    <w:p>
      <w:pPr>
        <w:pStyle w:val="TextBody"/>
        <w:bidi w:val="0"/>
        <w:spacing w:before="0" w:after="0"/>
        <w:jc w:val="left"/>
        <w:rPr>
          <w:rFonts w:ascii="Times New Roman" w:hAnsi="Times New Roman"/>
          <w:sz w:val="20"/>
        </w:rPr>
      </w:pPr>
      <w:r>
        <w:rPr>
          <w:rFonts w:ascii="Times New Roman" w:hAnsi="Times New Roman"/>
          <w:sz w:val="20"/>
        </w:rPr>
        <w:t xml:space="preserve">San Diego, CA 92131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Re:</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Securities Being Registered under Registration Statement on Form S-8</w:t>
            </w:r>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have acted as your counsel in connection with your filing of a Registration Statement on Form S-8 (the “Registration Statement”) pursuant to the Securities Act of 1933, as amended (the “Securities Act”), on or about the date hereof relating to an aggregate of 7,000,000 shares (the “Shares”) of Common Stock, par value $0.001 per share (“Common Stock”), of Fate Therapeutics, Inc., a Delaware corporation (the “Company”), that may be issued pursuant to the Company’s Third Amended and Restated 2022 Stock Option and Incentive Plan (the “Plan”). </w:t>
      </w:r>
    </w:p>
    <w:p>
      <w:pPr>
        <w:pStyle w:val="TextBody"/>
        <w:bidi w:val="0"/>
        <w:spacing w:before="240" w:after="0"/>
        <w:jc w:val="left"/>
        <w:rPr>
          <w:rFonts w:ascii="Times New Roman" w:hAnsi="Times New Roman"/>
          <w:sz w:val="20"/>
        </w:rPr>
      </w:pPr>
      <w:r>
        <w:rPr>
          <w:rFonts w:ascii="Times New Roman" w:hAnsi="Times New Roman"/>
          <w:sz w:val="20"/>
        </w:rPr>
        <w:t xml:space="preserve">We have reviewed such documents and made such examination of law as we have deemed appropriate to give the opinion set forth below. We have relied, without independent verification, on certificates of public officials and, as to matters of fact material to the opinion set forth below, on certificates of officers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the opinion set forth below, we have assumed that, at the time Shares are issued, the total number of then unissued Shares, when added to the number of shares of Common Stock issued, subscribed for, or otherwise committed to be issued, does not exceed the number of shares of Common Stock authorized by the Company’s certificate of incorporation. </w:t>
      </w:r>
    </w:p>
    <w:p>
      <w:pPr>
        <w:pStyle w:val="TextBody"/>
        <w:bidi w:val="0"/>
        <w:spacing w:before="240" w:after="0"/>
        <w:jc w:val="left"/>
        <w:rPr>
          <w:rFonts w:ascii="Times New Roman" w:hAnsi="Times New Roman"/>
          <w:sz w:val="20"/>
        </w:rPr>
      </w:pPr>
      <w:r>
        <w:rPr>
          <w:rFonts w:ascii="Times New Roman" w:hAnsi="Times New Roman"/>
          <w:sz w:val="20"/>
        </w:rPr>
        <w:t xml:space="preserve">The opinion set forth below is limited to the Delaware General Corporation Law. </w:t>
      </w:r>
    </w:p>
    <w:p>
      <w:pPr>
        <w:pStyle w:val="TextBody"/>
        <w:bidi w:val="0"/>
        <w:spacing w:before="240" w:after="0"/>
        <w:jc w:val="left"/>
        <w:rPr>
          <w:rFonts w:ascii="Times New Roman" w:hAnsi="Times New Roman"/>
          <w:sz w:val="20"/>
        </w:rPr>
      </w:pPr>
      <w:r>
        <w:rPr>
          <w:rFonts w:ascii="Times New Roman" w:hAnsi="Times New Roman"/>
          <w:sz w:val="20"/>
        </w:rPr>
        <w:t xml:space="preserve">Based on the foregoing, we are of the opinion that the Shares have been duly authorized and, when delivered against payment therefor in accordance with the terms of the Plan, will be validly issued, fully paid and nonassessable. </w:t>
      </w:r>
    </w:p>
    <w:p>
      <w:pPr>
        <w:pStyle w:val="TextBody"/>
        <w:bidi w:val="0"/>
        <w:spacing w:before="240" w:after="0"/>
        <w:jc w:val="left"/>
        <w:rPr>
          <w:rFonts w:ascii="Times New Roman" w:hAnsi="Times New Roman"/>
          <w:sz w:val="20"/>
        </w:rPr>
      </w:pPr>
      <w:r>
        <w:rPr>
          <w:rFonts w:ascii="Times New Roman" w:hAnsi="Times New Roman"/>
          <w:sz w:val="20"/>
        </w:rPr>
        <w:t xml:space="preserve">This opinion letter and the opinion it contains shall be interpreted in accordance with the Core Opinion Principles as published in 74 </w:t>
      </w:r>
      <w:r>
        <w:rPr>
          <w:rFonts w:ascii="Times New Roman" w:hAnsi="Times New Roman"/>
          <w:i/>
          <w:sz w:val="20"/>
        </w:rPr>
        <w:t>Business Lawyer</w:t>
      </w:r>
      <w:r>
        <w:rPr>
          <w:rFonts w:ascii="Times New Roman" w:hAnsi="Times New Roman"/>
          <w:sz w:val="20"/>
        </w:rPr>
        <w:t xml:space="preserve"> 815 (Summer 2019).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Fate Therapeutics, Inc. </w:t>
      </w:r>
    </w:p>
    <w:p>
      <w:pPr>
        <w:pStyle w:val="TextBody"/>
        <w:bidi w:val="0"/>
        <w:spacing w:before="0" w:after="0"/>
        <w:jc w:val="left"/>
        <w:rPr>
          <w:rFonts w:ascii="Times New Roman" w:hAnsi="Times New Roman"/>
          <w:sz w:val="20"/>
        </w:rPr>
      </w:pPr>
      <w:r>
        <w:rPr>
          <w:rFonts w:ascii="Times New Roman" w:hAnsi="Times New Roman"/>
          <w:sz w:val="20"/>
        </w:rPr>
        <w:t xml:space="preserve">August 13, 2026 </w:t>
      </w:r>
    </w:p>
    <w:p>
      <w:pPr>
        <w:pStyle w:val="TextBody"/>
        <w:bidi w:val="0"/>
        <w:spacing w:before="0" w:after="0"/>
        <w:jc w:val="left"/>
        <w:rPr>
          <w:rFonts w:ascii="Times New Roman" w:hAnsi="Times New Roman"/>
          <w:sz w:val="20"/>
        </w:rPr>
      </w:pPr>
      <w:r>
        <w:rPr>
          <w:rFonts w:ascii="Times New Roman" w:hAnsi="Times New Roman"/>
          <w:sz w:val="20"/>
        </w:rPr>
        <w:t xml:space="preserve">Page 2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We hereby consent to the inclusion of this opinion as Exhibit 5.1 to the Registration Statement. In giving our consent, we do not admit that we are in the category of persons whose consent is required under Section 7 of the Securities Act or the rules and regulations thereunder.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0"/>
              <w:jc w:val="left"/>
              <w:rPr>
                <w:rFonts w:ascii="Times New Roman" w:hAnsi="Times New Roman"/>
                <w:sz w:val="20"/>
              </w:rPr>
            </w:pPr>
            <w:r>
              <w:rPr>
                <w:rFonts w:ascii="Times New Roman" w:hAnsi="Times New Roman"/>
                <w:sz w:val="20"/>
              </w:rPr>
              <w:t>Very truly yours,</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0"/>
              <w:jc w:val="left"/>
              <w:rPr>
                <w:rFonts w:ascii="Times New Roman" w:hAnsi="Times New Roman"/>
                <w:sz w:val="20"/>
              </w:rPr>
            </w:pPr>
            <w:r>
              <w:rPr>
                <w:rFonts w:ascii="Times New Roman" w:hAnsi="Times New Roman"/>
                <w:sz w:val="20"/>
              </w:rPr>
              <w:t>/s/ GOODWIN PROCTER LLP</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0"/>
              <w:jc w:val="left"/>
              <w:rPr>
                <w:rFonts w:ascii="Times New Roman" w:hAnsi="Times New Roman"/>
                <w:sz w:val="20"/>
              </w:rPr>
            </w:pPr>
            <w:r>
              <w:rPr>
                <w:rFonts w:ascii="Times New Roman" w:hAnsi="Times New Roman"/>
                <w:sz w:val="20"/>
              </w:rPr>
              <w:t>GOODWIN PROCTER LLP</w:t>
            </w:r>
          </w:p>
        </w:tc>
      </w:tr>
    </w:tbl>
    <w:p>
      <w:pPr>
        <w:pStyle w:val="TextBody"/>
        <w:bidi w:val="0"/>
        <w:spacing w:before="0" w:after="0"/>
        <w:jc w:val="right"/>
        <w:rPr>
          <w:rFonts w:ascii="Times New Roman" w:hAnsi="Times New Roman"/>
          <w:b/>
          <w:sz w:val="20"/>
        </w:rPr>
      </w:pPr>
      <w:bookmarkStart w:id="5" w:name="d112070dex231.htm"/>
      <w:bookmarkStart w:id="6" w:name="ksd112070dex231"/>
      <w:bookmarkEnd w:id="5"/>
      <w:bookmarkEnd w:id="6"/>
      <w:r>
        <w:rPr>
          <w:rFonts w:ascii="Times New Roman" w:hAnsi="Times New Roman"/>
          <w:b/>
          <w:sz w:val="20"/>
        </w:rPr>
        <w:t xml:space="preserve">Exhibit 23.1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Consent of Independent Registered Public Accounting Firm </w:t>
      </w:r>
    </w:p>
    <w:p>
      <w:pPr>
        <w:pStyle w:val="TextBody"/>
        <w:bidi w:val="0"/>
        <w:spacing w:before="240" w:after="0"/>
        <w:jc w:val="left"/>
        <w:rPr>
          <w:rFonts w:ascii="Times New Roman" w:hAnsi="Times New Roman"/>
          <w:sz w:val="20"/>
        </w:rPr>
      </w:pPr>
      <w:r>
        <w:rPr>
          <w:rFonts w:ascii="Times New Roman" w:hAnsi="Times New Roman"/>
          <w:sz w:val="20"/>
        </w:rPr>
        <w:t xml:space="preserve">We consent to the incorporation by reference in the Registration Statement (Form S-8) pertaining to the Fate Therapeutics, Inc. Third Amended and Restated 2022 Stock Option and Incentive Plan of our report dated February 26, 2026, with respect to the consolidated financial statements of Fate Therapeutics, Inc. included in its Annual Report (Form 10-K) for the year ended December 31, 2025, filed with the Securities and Exchange Commission.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center"/>
              <w:rPr/>
            </w:pPr>
            <w:r>
              <w:rPr/>
              <w:t>/s/ Ernst &amp; Young LLP</w:t>
            </w:r>
          </w:p>
        </w:tc>
      </w:tr>
    </w:tbl>
    <w:p>
      <w:pPr>
        <w:pStyle w:val="TextBody"/>
        <w:bidi w:val="0"/>
        <w:spacing w:before="240" w:after="0"/>
        <w:jc w:val="left"/>
        <w:rPr>
          <w:rFonts w:ascii="Times New Roman" w:hAnsi="Times New Roman"/>
          <w:sz w:val="20"/>
        </w:rPr>
      </w:pPr>
      <w:r>
        <w:rPr>
          <w:rFonts w:ascii="Times New Roman" w:hAnsi="Times New Roman"/>
          <w:sz w:val="20"/>
        </w:rPr>
        <w:t xml:space="preserve">San Diego, California </w:t>
      </w:r>
    </w:p>
    <w:p>
      <w:pPr>
        <w:pStyle w:val="TextBody"/>
        <w:bidi w:val="0"/>
        <w:spacing w:before="0" w:after="0"/>
        <w:jc w:val="left"/>
        <w:rPr>
          <w:rFonts w:ascii="Times New Roman" w:hAnsi="Times New Roman"/>
          <w:sz w:val="20"/>
        </w:rPr>
      </w:pPr>
      <w:r>
        <w:rPr>
          <w:rFonts w:ascii="Times New Roman" w:hAnsi="Times New Roman"/>
          <w:sz w:val="20"/>
        </w:rPr>
        <w:t xml:space="preserve">August 13, 2026 </w:t>
      </w:r>
    </w:p>
    <w:p>
      <w:pPr>
        <w:pStyle w:val="Normal"/>
        <w:bidi w:val="0"/>
        <w:spacing w:before="0" w:after="0"/>
        <w:jc w:val="left"/>
        <w:rPr>
          <w:sz w:val="4"/>
          <w:szCs w:val="4"/>
        </w:rPr>
      </w:pPr>
      <w:r>
        <w:rPr>
          <w:sz w:val="4"/>
          <w:szCs w:val="4"/>
        </w:rPr>
      </w:r>
      <w:bookmarkStart w:id="7" w:name="d112070dexfilingfees.htm"/>
      <w:bookmarkStart w:id="8" w:name="ksd112070dexfilingfees"/>
      <w:bookmarkStart w:id="9" w:name="d112070dexfilingfees.htm"/>
      <w:bookmarkStart w:id="10" w:name="ksd112070dexfilingfees"/>
      <w:bookmarkEnd w:id="9"/>
      <w:bookmarkEnd w:id="10"/>
      <w:r>
        <w:br w:type="page"/>
      </w:r>
    </w:p>
    <w:tbl>
      <w:tblPr>
        <w:tblW w:w="3581" w:type="dxa"/>
        <w:jc w:val="left"/>
        <w:tblInd w:w="0" w:type="dxa"/>
        <w:tblLayout w:type="fixed"/>
        <w:tblCellMar>
          <w:top w:w="28" w:type="dxa"/>
          <w:left w:w="28" w:type="dxa"/>
          <w:bottom w:w="28" w:type="dxa"/>
          <w:right w:w="28" w:type="dxa"/>
        </w:tblCellMar>
      </w:tblPr>
      <w:tblGrid>
        <w:gridCol w:w="3427"/>
        <w:gridCol w:w="154"/>
      </w:tblGrid>
      <w:tr>
        <w:trPr/>
        <w:tc>
          <w:tcPr>
            <w:tcW w:w="3581"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427" w:type="dxa"/>
            <w:tcBorders/>
            <w:vAlign w:val="center"/>
          </w:tcPr>
          <w:p>
            <w:pPr>
              <w:pStyle w:val="TableContents"/>
              <w:bidi w:val="0"/>
              <w:spacing w:before="0" w:after="283"/>
              <w:jc w:val="left"/>
              <w:rPr>
                <w:b/>
              </w:rPr>
            </w:pPr>
            <w:r>
              <w:rPr>
                <w:b/>
              </w:rPr>
              <w:t xml:space="preserve">S-8 </w:t>
            </w:r>
          </w:p>
        </w:tc>
        <w:tc>
          <w:tcPr>
            <w:tcW w:w="154" w:type="dxa"/>
            <w:tcBorders/>
          </w:tcPr>
          <w:p>
            <w:pPr>
              <w:pStyle w:val="TableContents"/>
              <w:bidi w:val="0"/>
              <w:spacing w:before="0" w:after="283"/>
              <w:jc w:val="left"/>
              <w:rPr>
                <w:sz w:val="4"/>
                <w:szCs w:val="4"/>
              </w:rPr>
            </w:pPr>
            <w:r>
              <w:rPr>
                <w:sz w:val="4"/>
                <w:szCs w:val="4"/>
              </w:rPr>
            </w:r>
          </w:p>
        </w:tc>
      </w:tr>
      <w:tr>
        <w:trPr/>
        <w:tc>
          <w:tcPr>
            <w:tcW w:w="3427" w:type="dxa"/>
            <w:tcBorders/>
            <w:vAlign w:val="center"/>
          </w:tcPr>
          <w:p>
            <w:pPr>
              <w:pStyle w:val="TableContents"/>
              <w:bidi w:val="0"/>
              <w:spacing w:before="0" w:after="283"/>
              <w:jc w:val="left"/>
              <w:rPr>
                <w:b/>
              </w:rPr>
            </w:pPr>
            <w:r>
              <w:rPr>
                <w:b/>
              </w:rPr>
              <w:t xml:space="preserve">FATE THERAPEUTICS INC </w:t>
            </w:r>
          </w:p>
        </w:tc>
        <w:tc>
          <w:tcPr>
            <w:tcW w:w="154" w:type="dxa"/>
            <w:tcBorders/>
          </w:tcPr>
          <w:p>
            <w:pPr>
              <w:pStyle w:val="TableContents"/>
              <w:bidi w:val="0"/>
              <w:spacing w:before="0" w:after="283"/>
              <w:jc w:val="left"/>
              <w:rPr>
                <w:sz w:val="4"/>
                <w:szCs w:val="4"/>
              </w:rPr>
            </w:pPr>
            <w:r>
              <w:rPr>
                <w:sz w:val="4"/>
                <w:szCs w:val="4"/>
              </w:rPr>
            </w:r>
          </w:p>
        </w:tc>
      </w:tr>
    </w:tbl>
    <w:tbl>
      <w:tblPr>
        <w:tblW w:w="3946" w:type="dxa"/>
        <w:jc w:val="left"/>
        <w:tblInd w:w="0" w:type="dxa"/>
        <w:tblLayout w:type="fixed"/>
        <w:tblCellMar>
          <w:top w:w="28" w:type="dxa"/>
          <w:left w:w="28" w:type="dxa"/>
          <w:bottom w:w="28" w:type="dxa"/>
          <w:right w:w="28" w:type="dxa"/>
        </w:tblCellMar>
      </w:tblPr>
      <w:tblGrid>
        <w:gridCol w:w="3946"/>
      </w:tblGrid>
      <w:tr>
        <w:trPr/>
        <w:tc>
          <w:tcPr>
            <w:tcW w:w="3946" w:type="dxa"/>
            <w:tcBorders/>
            <w:vAlign w:val="center"/>
          </w:tcPr>
          <w:p>
            <w:pPr>
              <w:pStyle w:val="TableHeading"/>
              <w:bidi w:val="0"/>
              <w:spacing w:before="0" w:after="0"/>
              <w:ind w:left="0" w:right="0" w:hanging="0"/>
              <w:jc w:val="center"/>
              <w:rPr/>
            </w:pPr>
            <w:r>
              <w:rPr>
                <w:b/>
              </w:rPr>
              <w:t>Table 1: Newly Registered Securities</w:t>
            </w:r>
            <w:r>
              <w:rPr/>
              <w:t xml:space="preserve"> </w:t>
            </w:r>
          </w:p>
        </w:tc>
      </w:tr>
    </w:tbl>
    <w:tbl>
      <w:tblPr>
        <w:tblW w:w="10205" w:type="dxa"/>
        <w:jc w:val="left"/>
        <w:tblInd w:w="0" w:type="dxa"/>
        <w:tblLayout w:type="fixed"/>
        <w:tblCellMar>
          <w:top w:w="28" w:type="dxa"/>
          <w:left w:w="28" w:type="dxa"/>
          <w:bottom w:w="28" w:type="dxa"/>
          <w:right w:w="28" w:type="dxa"/>
        </w:tblCellMar>
      </w:tblPr>
      <w:tblGrid>
        <w:gridCol w:w="241"/>
        <w:gridCol w:w="956"/>
        <w:gridCol w:w="1045"/>
        <w:gridCol w:w="1292"/>
        <w:gridCol w:w="1201"/>
        <w:gridCol w:w="1214"/>
        <w:gridCol w:w="1701"/>
        <w:gridCol w:w="1126"/>
        <w:gridCol w:w="1429"/>
      </w:tblGrid>
      <w:tr>
        <w:trPr/>
        <w:tc>
          <w:tcPr>
            <w:tcW w:w="241" w:type="dxa"/>
            <w:tcBorders/>
            <w:shd w:fill="9ADAF6" w:val="clear"/>
            <w:vAlign w:val="center"/>
          </w:tcPr>
          <w:p>
            <w:pPr>
              <w:pStyle w:val="TableHeading"/>
              <w:bidi w:val="0"/>
              <w:spacing w:before="0" w:after="283"/>
              <w:rPr>
                <w:sz w:val="4"/>
                <w:szCs w:val="4"/>
              </w:rPr>
            </w:pPr>
            <w:r>
              <w:rPr>
                <w:sz w:val="4"/>
                <w:szCs w:val="4"/>
              </w:rPr>
            </w:r>
          </w:p>
        </w:tc>
        <w:tc>
          <w:tcPr>
            <w:tcW w:w="956"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045"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92" w:type="dxa"/>
            <w:tcBorders/>
            <w:shd w:fill="9ADAF6" w:val="clear"/>
            <w:vAlign w:val="center"/>
          </w:tcPr>
          <w:p>
            <w:pPr>
              <w:pStyle w:val="TableHeading"/>
              <w:bidi w:val="0"/>
              <w:spacing w:before="0" w:after="0"/>
              <w:ind w:left="0" w:right="0" w:hanging="0"/>
              <w:jc w:val="center"/>
              <w:rPr/>
            </w:pPr>
            <w:r>
              <w:rPr>
                <w:b/>
              </w:rPr>
              <w:t>Fee Calculation Rule</w:t>
            </w:r>
            <w:r>
              <w:rPr/>
              <w:t xml:space="preserve"> </w:t>
            </w:r>
          </w:p>
        </w:tc>
        <w:tc>
          <w:tcPr>
            <w:tcW w:w="1201"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214"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701"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429"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r>
      <w:tr>
        <w:trPr/>
        <w:tc>
          <w:tcPr>
            <w:tcW w:w="241" w:type="dxa"/>
            <w:tcBorders/>
            <w:shd w:fill="E7E7E2" w:val="clear"/>
            <w:vAlign w:val="center"/>
          </w:tcPr>
          <w:p>
            <w:pPr>
              <w:pStyle w:val="TableContents"/>
              <w:bidi w:val="0"/>
              <w:spacing w:before="0" w:after="283"/>
              <w:jc w:val="center"/>
              <w:rPr/>
            </w:pPr>
            <w:r>
              <w:rPr/>
              <w:t xml:space="preserve">1 </w:t>
            </w:r>
          </w:p>
        </w:tc>
        <w:tc>
          <w:tcPr>
            <w:tcW w:w="956" w:type="dxa"/>
            <w:tcBorders/>
            <w:shd w:fill="E7E7E2" w:val="clear"/>
            <w:vAlign w:val="center"/>
          </w:tcPr>
          <w:p>
            <w:pPr>
              <w:pStyle w:val="TableContents"/>
              <w:bidi w:val="0"/>
              <w:spacing w:before="0" w:after="283"/>
              <w:jc w:val="left"/>
              <w:rPr/>
            </w:pPr>
            <w:r>
              <w:rPr/>
              <w:t xml:space="preserve">Equity </w:t>
            </w:r>
          </w:p>
        </w:tc>
        <w:tc>
          <w:tcPr>
            <w:tcW w:w="1045" w:type="dxa"/>
            <w:tcBorders/>
            <w:shd w:fill="E7E7E2" w:val="clear"/>
            <w:vAlign w:val="center"/>
          </w:tcPr>
          <w:p>
            <w:pPr>
              <w:pStyle w:val="TableContents"/>
              <w:bidi w:val="0"/>
              <w:spacing w:before="0" w:after="283"/>
              <w:jc w:val="left"/>
              <w:rPr/>
            </w:pPr>
            <w:r>
              <w:rPr/>
              <w:t xml:space="preserve">Common Stock, $0.001 par value per share </w:t>
            </w:r>
          </w:p>
        </w:tc>
        <w:tc>
          <w:tcPr>
            <w:tcW w:w="1292" w:type="dxa"/>
            <w:tcBorders/>
            <w:shd w:fill="E7E7E2" w:val="clear"/>
            <w:vAlign w:val="center"/>
          </w:tcPr>
          <w:p>
            <w:pPr>
              <w:pStyle w:val="TableContents"/>
              <w:bidi w:val="0"/>
              <w:spacing w:before="0" w:after="283"/>
              <w:jc w:val="center"/>
              <w:rPr/>
            </w:pPr>
            <w:r>
              <w:rPr/>
              <w:t xml:space="preserve">Other </w:t>
            </w:r>
          </w:p>
        </w:tc>
        <w:tc>
          <w:tcPr>
            <w:tcW w:w="1201" w:type="dxa"/>
            <w:tcBorders/>
            <w:shd w:fill="E7E7E2" w:val="clear"/>
            <w:vAlign w:val="center"/>
          </w:tcPr>
          <w:p>
            <w:pPr>
              <w:pStyle w:val="TableContents"/>
              <w:bidi w:val="0"/>
              <w:spacing w:before="0" w:after="283"/>
              <w:jc w:val="right"/>
              <w:rPr/>
            </w:pPr>
            <w:r>
              <w:rPr/>
              <w:t xml:space="preserve">7,000,000 </w:t>
            </w:r>
          </w:p>
        </w:tc>
        <w:tc>
          <w:tcPr>
            <w:tcW w:w="1214" w:type="dxa"/>
            <w:tcBorders/>
            <w:shd w:fill="E7E7E2" w:val="clear"/>
            <w:vAlign w:val="center"/>
          </w:tcPr>
          <w:p>
            <w:pPr>
              <w:pStyle w:val="TableContents"/>
              <w:bidi w:val="0"/>
              <w:spacing w:before="0" w:after="283"/>
              <w:jc w:val="right"/>
              <w:rPr/>
            </w:pPr>
            <w:r>
              <w:rPr/>
              <w:t xml:space="preserve">$ 2.795 </w:t>
            </w:r>
          </w:p>
        </w:tc>
        <w:tc>
          <w:tcPr>
            <w:tcW w:w="1701" w:type="dxa"/>
            <w:tcBorders/>
            <w:shd w:fill="E7E7E2" w:val="clear"/>
            <w:vAlign w:val="center"/>
          </w:tcPr>
          <w:p>
            <w:pPr>
              <w:pStyle w:val="TableContents"/>
              <w:bidi w:val="0"/>
              <w:spacing w:before="0" w:after="283"/>
              <w:jc w:val="right"/>
              <w:rPr/>
            </w:pPr>
            <w:r>
              <w:rPr/>
              <w:t xml:space="preserve">$ 19,565,000.00 </w:t>
            </w:r>
          </w:p>
        </w:tc>
        <w:tc>
          <w:tcPr>
            <w:tcW w:w="1126" w:type="dxa"/>
            <w:tcBorders/>
            <w:shd w:fill="E7E7E2" w:val="clear"/>
            <w:vAlign w:val="center"/>
          </w:tcPr>
          <w:p>
            <w:pPr>
              <w:pStyle w:val="TableContents"/>
              <w:bidi w:val="0"/>
              <w:spacing w:before="0" w:after="283"/>
              <w:jc w:val="right"/>
              <w:rPr/>
            </w:pPr>
            <w:r>
              <w:rPr/>
              <w:t xml:space="preserve">0.0001381 </w:t>
            </w:r>
          </w:p>
        </w:tc>
        <w:tc>
          <w:tcPr>
            <w:tcW w:w="1429" w:type="dxa"/>
            <w:tcBorders/>
            <w:shd w:fill="E7E7E2" w:val="clear"/>
            <w:vAlign w:val="center"/>
          </w:tcPr>
          <w:p>
            <w:pPr>
              <w:pStyle w:val="TableContents"/>
              <w:bidi w:val="0"/>
              <w:spacing w:before="0" w:after="283"/>
              <w:jc w:val="right"/>
              <w:rPr/>
            </w:pPr>
            <w:r>
              <w:rPr/>
              <w:t xml:space="preserve">$ 2,701.93 </w:t>
            </w:r>
          </w:p>
        </w:tc>
      </w:tr>
      <w:tr>
        <w:trPr/>
        <w:tc>
          <w:tcPr>
            <w:tcW w:w="4735" w:type="dxa"/>
            <w:gridSpan w:val="5"/>
            <w:tcBorders/>
            <w:vAlign w:val="center"/>
          </w:tcPr>
          <w:p>
            <w:pPr>
              <w:pStyle w:val="TableContents"/>
              <w:bidi w:val="0"/>
              <w:spacing w:before="0" w:after="0"/>
              <w:ind w:left="0" w:right="0" w:hanging="0"/>
              <w:jc w:val="right"/>
              <w:rPr/>
            </w:pPr>
            <w:r>
              <w:rPr/>
              <w:t>Total Offering Amounts:</w:t>
            </w:r>
          </w:p>
        </w:tc>
        <w:tc>
          <w:tcPr>
            <w:tcW w:w="1214" w:type="dxa"/>
            <w:tcBorders/>
            <w:vAlign w:val="center"/>
          </w:tcPr>
          <w:p>
            <w:pPr>
              <w:pStyle w:val="TableContents"/>
              <w:bidi w:val="0"/>
              <w:spacing w:before="0" w:after="283"/>
              <w:jc w:val="left"/>
              <w:rPr>
                <w:sz w:val="4"/>
                <w:szCs w:val="4"/>
              </w:rPr>
            </w:pPr>
            <w:r>
              <w:rPr>
                <w:sz w:val="4"/>
                <w:szCs w:val="4"/>
              </w:rPr>
            </w:r>
          </w:p>
        </w:tc>
        <w:tc>
          <w:tcPr>
            <w:tcW w:w="1701" w:type="dxa"/>
            <w:tcBorders/>
            <w:vAlign w:val="center"/>
          </w:tcPr>
          <w:p>
            <w:pPr>
              <w:pStyle w:val="TableContents"/>
              <w:bidi w:val="0"/>
              <w:spacing w:before="0" w:after="0"/>
              <w:ind w:left="0" w:right="0" w:hanging="0"/>
              <w:jc w:val="right"/>
              <w:rPr/>
            </w:pPr>
            <w:bookmarkStart w:id="11" w:name="MaxAggtOfferingPrice"/>
            <w:bookmarkEnd w:id="11"/>
            <w:r>
              <w:rPr/>
              <w:t xml:space="preserve">$ 19,565,000.00 </w:t>
            </w:r>
          </w:p>
        </w:tc>
        <w:tc>
          <w:tcPr>
            <w:tcW w:w="1126" w:type="dxa"/>
            <w:tcBorders/>
            <w:vAlign w:val="center"/>
          </w:tcPr>
          <w:p>
            <w:pPr>
              <w:pStyle w:val="TableContents"/>
              <w:bidi w:val="0"/>
              <w:spacing w:before="0" w:after="283"/>
              <w:jc w:val="left"/>
              <w:rPr>
                <w:sz w:val="4"/>
                <w:szCs w:val="4"/>
              </w:rPr>
            </w:pPr>
            <w:r>
              <w:rPr>
                <w:sz w:val="4"/>
                <w:szCs w:val="4"/>
              </w:rPr>
            </w:r>
          </w:p>
        </w:tc>
        <w:tc>
          <w:tcPr>
            <w:tcW w:w="1429"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12" w:name="TotalFeeAmt"/>
            <w:bookmarkEnd w:id="12"/>
            <w:r>
              <w:rPr/>
              <w:t xml:space="preserve">$ 2,701.93 </w:t>
            </w:r>
          </w:p>
        </w:tc>
      </w:tr>
      <w:tr>
        <w:trPr/>
        <w:tc>
          <w:tcPr>
            <w:tcW w:w="4735" w:type="dxa"/>
            <w:gridSpan w:val="5"/>
            <w:tcBorders/>
            <w:vAlign w:val="center"/>
          </w:tcPr>
          <w:p>
            <w:pPr>
              <w:pStyle w:val="TableContents"/>
              <w:bidi w:val="0"/>
              <w:spacing w:before="0" w:after="0"/>
              <w:ind w:left="0" w:right="0" w:hanging="0"/>
              <w:jc w:val="right"/>
              <w:rPr/>
            </w:pPr>
            <w:r>
              <w:rPr/>
              <w:t xml:space="preserve">Total Fee Offsets: </w:t>
            </w:r>
          </w:p>
        </w:tc>
        <w:tc>
          <w:tcPr>
            <w:tcW w:w="1214" w:type="dxa"/>
            <w:tcBorders/>
            <w:vAlign w:val="center"/>
          </w:tcPr>
          <w:p>
            <w:pPr>
              <w:pStyle w:val="TableContents"/>
              <w:bidi w:val="0"/>
              <w:spacing w:before="0" w:after="283"/>
              <w:jc w:val="left"/>
              <w:rPr>
                <w:sz w:val="4"/>
                <w:szCs w:val="4"/>
              </w:rPr>
            </w:pPr>
            <w:r>
              <w:rPr>
                <w:sz w:val="4"/>
                <w:szCs w:val="4"/>
              </w:rPr>
            </w:r>
          </w:p>
        </w:tc>
        <w:tc>
          <w:tcPr>
            <w:tcW w:w="1701"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before="0" w:after="0"/>
              <w:ind w:left="0" w:right="0" w:hanging="0"/>
              <w:jc w:val="right"/>
              <w:rPr/>
            </w:pPr>
            <w:bookmarkStart w:id="13" w:name="TotalOffsetAmt"/>
            <w:bookmarkEnd w:id="13"/>
            <w:r>
              <w:rPr/>
              <w:t xml:space="preserve">$ 0.00 </w:t>
            </w:r>
          </w:p>
        </w:tc>
      </w:tr>
      <w:tr>
        <w:trPr/>
        <w:tc>
          <w:tcPr>
            <w:tcW w:w="4735" w:type="dxa"/>
            <w:gridSpan w:val="5"/>
            <w:tcBorders/>
            <w:vAlign w:val="center"/>
          </w:tcPr>
          <w:p>
            <w:pPr>
              <w:pStyle w:val="TableContents"/>
              <w:bidi w:val="0"/>
              <w:spacing w:before="0" w:after="0"/>
              <w:ind w:left="0" w:right="0" w:hanging="0"/>
              <w:jc w:val="right"/>
              <w:rPr/>
            </w:pPr>
            <w:r>
              <w:rPr/>
              <w:t xml:space="preserve">Net Fee Due: </w:t>
            </w:r>
          </w:p>
        </w:tc>
        <w:tc>
          <w:tcPr>
            <w:tcW w:w="1214" w:type="dxa"/>
            <w:tcBorders/>
            <w:vAlign w:val="center"/>
          </w:tcPr>
          <w:p>
            <w:pPr>
              <w:pStyle w:val="TableContents"/>
              <w:bidi w:val="0"/>
              <w:spacing w:before="0" w:after="283"/>
              <w:jc w:val="left"/>
              <w:rPr>
                <w:sz w:val="4"/>
                <w:szCs w:val="4"/>
              </w:rPr>
            </w:pPr>
            <w:r>
              <w:rPr>
                <w:sz w:val="4"/>
                <w:szCs w:val="4"/>
              </w:rPr>
            </w:r>
          </w:p>
        </w:tc>
        <w:tc>
          <w:tcPr>
            <w:tcW w:w="1701"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before="0" w:after="0"/>
              <w:ind w:left="0" w:right="0" w:hanging="0"/>
              <w:jc w:val="right"/>
              <w:rPr/>
            </w:pPr>
            <w:bookmarkStart w:id="14" w:name="NetFeeAmt"/>
            <w:bookmarkEnd w:id="14"/>
            <w:r>
              <w:rPr/>
              <w:t xml:space="preserve">$ 2,701.93 </w:t>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01"/>
        <w:gridCol w:w="1294"/>
        <w:gridCol w:w="8710"/>
      </w:tblGrid>
      <w:tr>
        <w:trPr/>
        <w:tc>
          <w:tcPr>
            <w:tcW w:w="201"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4" w:type="dxa"/>
            <w:gridSpan w:val="2"/>
            <w:tcBorders/>
            <w:vAlign w:val="center"/>
          </w:tcPr>
          <w:p>
            <w:pPr>
              <w:pStyle w:val="TableContents"/>
              <w:bidi w:val="0"/>
              <w:spacing w:before="0" w:after="283"/>
              <w:jc w:val="left"/>
              <w:rPr/>
            </w:pPr>
            <w:r>
              <w:rPr/>
              <w:t xml:space="preserve">Pursuant to Rule 416(a) under the Securities Act of 1933, as amended (the "Securities Act"), the number of shares of common stock, par value $0.001 per share ("Common Stock"), of the Registrant registered hereunder includes an indeterminable number of shares of Common Stock that become issuable by reason of any share dividend, share split or other similar transaction. The amount to be registered represents 7,000,000 additional shares of Common Stock issuable under the Fate Therapeutics, Inc. Third Amended and Restated 2022 Stock Option and Incentive Plan, as approved by the Board of Directors of the Registrant on March 31, 2026 and approved by the Stockholders of the Registrant at the 2026 Annual Meeting of Stockholders on June 12, 2026. The proposed maximum offering price per unit is estimated solely for the purpose of calculating the registration fee pursuant to Rules 457(c) and 457(h) under the Securities Act on the basis of the average of the high and low sales prices of the Common Stock as reported on the Nasdaq Global Market on August 10, 2026. </w:t>
            </w:r>
          </w:p>
        </w:tc>
      </w:tr>
      <w:tr>
        <w:trPr/>
        <w:tc>
          <w:tcPr>
            <w:tcW w:w="1495" w:type="dxa"/>
            <w:gridSpan w:val="2"/>
            <w:tcBorders/>
            <w:vAlign w:val="center"/>
          </w:tcPr>
          <w:p>
            <w:pPr>
              <w:pStyle w:val="HorizontalLine"/>
              <w:pBdr>
                <w:bottom w:val="double" w:sz="2" w:space="0" w:color="808080"/>
              </w:pBdr>
              <w:bidi w:val="0"/>
              <w:spacing w:before="0" w:after="283"/>
              <w:jc w:val="left"/>
              <w:rPr/>
            </w:pPr>
            <w:r>
              <w:rPr/>
            </w:r>
          </w:p>
        </w:tc>
        <w:tc>
          <w:tcPr>
            <w:tcW w:w="8710"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434316/000119312513351036/d590580dex32.htm" TargetMode="External"/><Relationship Id="rId3" Type="http://schemas.openxmlformats.org/officeDocument/2006/relationships/hyperlink" Target="http://www.sec.gov/Archives/edgar/data/1434316/000119312521184402/d191657dex31.htm" TargetMode="External"/><Relationship Id="rId4" Type="http://schemas.openxmlformats.org/officeDocument/2006/relationships/hyperlink" Target="http://www.sec.gov/Archives/edgar/data/1434316/000119312524158374/d764437dex31.htm" TargetMode="External"/><Relationship Id="rId5" Type="http://schemas.openxmlformats.org/officeDocument/2006/relationships/hyperlink" Target="http://www.sec.gov/Archives/edgar/data/1434316/000119312525132301/d42374dex31.htm" TargetMode="External"/><Relationship Id="rId6" Type="http://schemas.openxmlformats.org/officeDocument/2006/relationships/hyperlink" Target="http://www.sec.gov/Archives/edgar/data/1434316/000119312516778378/d301639dex31.htm" TargetMode="External"/><Relationship Id="rId7" Type="http://schemas.openxmlformats.org/officeDocument/2006/relationships/hyperlink" Target="http://www.sec.gov/Archives/edgar/data/1434316/000156459021008086/fate-ex33_493.htm" TargetMode="External"/><Relationship Id="rId8" Type="http://schemas.openxmlformats.org/officeDocument/2006/relationships/hyperlink" Target="http://www.sec.gov/Archives/edgar/data/1434316/000095017023013471/fate-ex3_1.htm" TargetMode="External"/><Relationship Id="rId9" Type="http://schemas.openxmlformats.org/officeDocument/2006/relationships/hyperlink" Target="http://www.sec.gov/Archives/edgar/data/1434316/000119312513351036/d590580dex41.htm" TargetMode="External"/><Relationship Id="rId10" Type="http://schemas.openxmlformats.org/officeDocument/2006/relationships/hyperlink" Target="http://www.sec.gov/Archives/edgar/data/1434316/000119312526271055/fate-ex10_1.htm" TargetMode="External"/><Relationship Id="rId11" Type="http://schemas.openxmlformats.org/officeDocument/2006/relationships/image" Target="media/image1.jpeg"/><Relationship Id="rId12" Type="http://schemas.openxmlformats.org/officeDocument/2006/relationships/fontTable" Target="fontTable.xml"/><Relationship Id="rId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2276</Words>
  <Characters>12262</Characters>
  <CharactersWithSpaces>14569</CharactersWithSpaces>
  <Paragraphs>318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EX-23.1</dc:title>
</cp:coreProperties>
</file>