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89" w:lineRule="exact"/>
        <w:rPr>
          <w:sz w:val="24"/>
          <w:szCs w:val="24"/>
          <w:color w:val="auto"/>
        </w:rPr>
      </w:pPr>
    </w:p>
    <w:p>
      <w:pPr>
        <w:ind w:left="520" w:right="220" w:hanging="499"/>
        <w:spacing w:after="0" w:line="235"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UNDER SECTION 13 OR 15(d) OF THE EXCHANGE ACT OF 1934</w:t>
      </w:r>
    </w:p>
    <w:p>
      <w:pPr>
        <w:spacing w:after="0" w:line="202" w:lineRule="exact"/>
        <w:rPr>
          <w:sz w:val="24"/>
          <w:szCs w:val="24"/>
          <w:color w:val="auto"/>
        </w:rPr>
      </w:pPr>
    </w:p>
    <w:p>
      <w:pPr>
        <w:ind w:left="3720"/>
        <w:spacing w:after="0"/>
        <w:tabs>
          <w:tab w:leader="none" w:pos="6720" w:val="left"/>
          <w:tab w:leader="none" w:pos="7460" w:val="left"/>
        </w:tabs>
        <w:rPr>
          <w:sz w:val="20"/>
          <w:szCs w:val="20"/>
          <w:color w:val="auto"/>
        </w:rPr>
      </w:pPr>
      <w:r>
        <w:rPr>
          <w:rFonts w:ascii="Arial" w:cs="Arial" w:eastAsia="Arial" w:hAnsi="Arial"/>
          <w:sz w:val="18"/>
          <w:szCs w:val="18"/>
          <w:b w:val="1"/>
          <w:bCs w:val="1"/>
          <w:color w:val="auto"/>
        </w:rPr>
        <w:t>From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001-36076</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FATE THERAPEUTICS, INC.</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8"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700" w:type="dxa"/>
            <w:vAlign w:val="bottom"/>
          </w:tcPr>
          <w:p>
            <w:pPr>
              <w:jc w:val="center"/>
              <w:ind w:right="221"/>
              <w:spacing w:after="0"/>
              <w:rPr>
                <w:sz w:val="20"/>
                <w:szCs w:val="20"/>
                <w:color w:val="auto"/>
              </w:rPr>
            </w:pPr>
            <w:r>
              <w:rPr>
                <w:rFonts w:ascii="Arial" w:cs="Arial" w:eastAsia="Arial" w:hAnsi="Arial"/>
                <w:sz w:val="18"/>
                <w:szCs w:val="18"/>
                <w:b w:val="1"/>
                <w:bCs w:val="1"/>
                <w:color w:val="auto"/>
                <w:w w:val="91"/>
              </w:rPr>
              <w:t>Delaware</w:t>
            </w:r>
          </w:p>
        </w:tc>
        <w:tc>
          <w:tcPr>
            <w:tcW w:w="4300" w:type="dxa"/>
            <w:vAlign w:val="bottom"/>
          </w:tcPr>
          <w:p>
            <w:pPr>
              <w:jc w:val="right"/>
              <w:ind w:right="59"/>
              <w:spacing w:after="0"/>
              <w:rPr>
                <w:sz w:val="20"/>
                <w:szCs w:val="20"/>
                <w:color w:val="auto"/>
              </w:rPr>
            </w:pPr>
            <w:r>
              <w:rPr>
                <w:rFonts w:ascii="Arial" w:cs="Arial" w:eastAsia="Arial" w:hAnsi="Arial"/>
                <w:sz w:val="18"/>
                <w:szCs w:val="18"/>
                <w:b w:val="1"/>
                <w:bCs w:val="1"/>
                <w:color w:val="auto"/>
              </w:rPr>
              <w:t>65-1311552</w:t>
            </w:r>
          </w:p>
        </w:tc>
      </w:tr>
      <w:tr>
        <w:trPr>
          <w:trHeight w:val="148"/>
        </w:trPr>
        <w:tc>
          <w:tcPr>
            <w:tcW w:w="37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300" w:type="dxa"/>
            <w:vAlign w:val="bottom"/>
          </w:tcPr>
          <w:p>
            <w:pPr>
              <w:jc w:val="center"/>
              <w:ind w:left="307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70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of incorporation or organization)</w:t>
            </w:r>
          </w:p>
        </w:tc>
        <w:tc>
          <w:tcPr>
            <w:tcW w:w="4300" w:type="dxa"/>
            <w:vAlign w:val="bottom"/>
          </w:tcPr>
          <w:p>
            <w:pPr>
              <w:jc w:val="center"/>
              <w:ind w:left="3079"/>
              <w:spacing w:after="0"/>
              <w:rPr>
                <w:sz w:val="20"/>
                <w:szCs w:val="20"/>
                <w:color w:val="auto"/>
              </w:rPr>
            </w:pPr>
            <w:r>
              <w:rPr>
                <w:rFonts w:ascii="Arial" w:cs="Arial" w:eastAsia="Arial" w:hAnsi="Arial"/>
                <w:sz w:val="14"/>
                <w:szCs w:val="14"/>
                <w:b w:val="1"/>
                <w:bCs w:val="1"/>
                <w:color w:val="auto"/>
                <w:w w:val="96"/>
              </w:rPr>
              <w:t>Identification No.)</w:t>
            </w:r>
          </w:p>
        </w:tc>
      </w:tr>
      <w:tr>
        <w:trPr>
          <w:trHeight w:val="367"/>
        </w:trPr>
        <w:tc>
          <w:tcPr>
            <w:tcW w:w="3700" w:type="dxa"/>
            <w:vAlign w:val="bottom"/>
          </w:tcPr>
          <w:p>
            <w:pPr>
              <w:jc w:val="center"/>
              <w:ind w:right="201"/>
              <w:spacing w:after="0"/>
              <w:rPr>
                <w:sz w:val="20"/>
                <w:szCs w:val="20"/>
                <w:color w:val="auto"/>
              </w:rPr>
            </w:pPr>
            <w:r>
              <w:rPr>
                <w:rFonts w:ascii="Arial" w:cs="Arial" w:eastAsia="Arial" w:hAnsi="Arial"/>
                <w:sz w:val="18"/>
                <w:szCs w:val="18"/>
                <w:b w:val="1"/>
                <w:bCs w:val="1"/>
                <w:color w:val="auto"/>
                <w:w w:val="90"/>
              </w:rPr>
              <w:t>12278 Scripps Summit Drive, San Diego, CA</w:t>
            </w:r>
          </w:p>
        </w:tc>
        <w:tc>
          <w:tcPr>
            <w:tcW w:w="4300" w:type="dxa"/>
            <w:vAlign w:val="bottom"/>
          </w:tcPr>
          <w:p>
            <w:pPr>
              <w:jc w:val="right"/>
              <w:ind w:right="259"/>
              <w:spacing w:after="0"/>
              <w:rPr>
                <w:sz w:val="20"/>
                <w:szCs w:val="20"/>
                <w:color w:val="auto"/>
              </w:rPr>
            </w:pPr>
            <w:r>
              <w:rPr>
                <w:rFonts w:ascii="Arial" w:cs="Arial" w:eastAsia="Arial" w:hAnsi="Arial"/>
                <w:sz w:val="18"/>
                <w:szCs w:val="18"/>
                <w:b w:val="1"/>
                <w:bCs w:val="1"/>
                <w:color w:val="auto"/>
              </w:rPr>
              <w:t>92131</w:t>
            </w:r>
          </w:p>
        </w:tc>
      </w:tr>
      <w:tr>
        <w:trPr>
          <w:trHeight w:val="186"/>
        </w:trPr>
        <w:tc>
          <w:tcPr>
            <w:tcW w:w="3700" w:type="dxa"/>
            <w:vAlign w:val="bottom"/>
          </w:tcPr>
          <w:p>
            <w:pPr>
              <w:jc w:val="center"/>
              <w:ind w:right="2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300" w:type="dxa"/>
            <w:vAlign w:val="bottom"/>
          </w:tcPr>
          <w:p>
            <w:pPr>
              <w:jc w:val="center"/>
              <w:ind w:left="3079"/>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3700" w:type="dxa"/>
            <w:vAlign w:val="bottom"/>
          </w:tcPr>
          <w:p>
            <w:pPr>
              <w:spacing w:after="0"/>
              <w:rPr>
                <w:sz w:val="24"/>
                <w:szCs w:val="24"/>
                <w:color w:val="auto"/>
              </w:rPr>
            </w:pPr>
          </w:p>
        </w:tc>
        <w:tc>
          <w:tcPr>
            <w:tcW w:w="4300" w:type="dxa"/>
            <w:vAlign w:val="bottom"/>
          </w:tcPr>
          <w:p>
            <w:pPr>
              <w:jc w:val="right"/>
              <w:ind w:right="2799"/>
              <w:spacing w:after="0"/>
              <w:rPr>
                <w:sz w:val="20"/>
                <w:szCs w:val="20"/>
                <w:color w:val="auto"/>
              </w:rPr>
            </w:pPr>
            <w:r>
              <w:rPr>
                <w:rFonts w:ascii="Arial" w:cs="Arial" w:eastAsia="Arial" w:hAnsi="Arial"/>
                <w:sz w:val="18"/>
                <w:szCs w:val="18"/>
                <w:b w:val="1"/>
                <w:bCs w:val="1"/>
                <w:color w:val="auto"/>
              </w:rPr>
              <w:t>(858) 875-1800</w:t>
            </w:r>
          </w:p>
        </w:tc>
      </w:tr>
    </w:tbl>
    <w:p>
      <w:pPr>
        <w:spacing w:after="0" w:line="166"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9"/>
        </w:trPr>
        <w:tc>
          <w:tcPr>
            <w:tcW w:w="37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0"/>
              </w:rPr>
              <w:t>Common Stock</w:t>
            </w:r>
          </w:p>
        </w:tc>
        <w:tc>
          <w:tcPr>
            <w:tcW w:w="37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1"/>
              </w:rPr>
              <w:t>FATE</w:t>
            </w:r>
          </w:p>
        </w:tc>
        <w:tc>
          <w:tcPr>
            <w:tcW w:w="37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1"/>
              </w:rPr>
              <w:t>Nasdaq Global Market</w:t>
            </w:r>
          </w:p>
        </w:tc>
      </w:tr>
    </w:tbl>
    <w:p>
      <w:pPr>
        <w:spacing w:after="0" w:line="188" w:lineRule="exact"/>
        <w:rPr>
          <w:sz w:val="24"/>
          <w:szCs w:val="24"/>
          <w:color w:val="auto"/>
        </w:rPr>
      </w:pPr>
    </w:p>
    <w:p>
      <w:pPr>
        <w:ind w:right="30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120"/>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4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8" w:right="339" w:bottom="1440" w:gutter="0" w:footer="0" w:header="0"/>
        </w:sectPr>
      </w:pPr>
    </w:p>
    <w:p>
      <w:pPr>
        <w:spacing w:after="0" w:line="155" w:lineRule="exact"/>
        <w:rPr>
          <w:sz w:val="24"/>
          <w:szCs w:val="24"/>
          <w:color w:val="auto"/>
        </w:rPr>
      </w:pPr>
    </w:p>
    <w:p>
      <w:pPr>
        <w:ind w:left="20" w:right="160"/>
        <w:spacing w:after="0" w:line="286"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5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4"/>
          <w:szCs w:val="24"/>
          <w:color w:val="auto"/>
        </w:rPr>
      </w:pPr>
    </w:p>
    <w:p>
      <w:pPr>
        <w:sectPr>
          <w:pgSz w:w="11900" w:h="16838" w:orient="portrait"/>
          <w:cols w:equalWidth="0" w:num="4">
            <w:col w:w="1800" w:space="720"/>
            <w:col w:w="5220" w:space="720"/>
            <w:col w:w="1960" w:space="500"/>
            <w:col w:w="320"/>
          </w:cols>
          <w:pgMar w:left="320" w:top="868" w:right="339" w:bottom="1440" w:gutter="0" w:footer="0" w:header="0"/>
          <w:type w:val="continuous"/>
        </w:sectPr>
      </w:pPr>
    </w:p>
    <w:p>
      <w:pPr>
        <w:ind w:left="20"/>
        <w:spacing w:after="0" w:line="221" w:lineRule="auto"/>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jc w:val="center"/>
        <w:ind w:right="4360"/>
        <w:spacing w:after="0" w:line="141" w:lineRule="exact"/>
        <w:rPr>
          <w:sz w:val="20"/>
          <w:szCs w:val="20"/>
          <w:color w:val="auto"/>
        </w:rPr>
      </w:pPr>
      <w:r>
        <w:rPr>
          <w:rFonts w:ascii="MS PGothic" w:cs="MS PGothic" w:eastAsia="MS PGothic" w:hAnsi="MS PGothic"/>
          <w:sz w:val="16"/>
          <w:szCs w:val="16"/>
          <w:color w:val="auto"/>
        </w:rPr>
        <w:t>☐</w:t>
      </w:r>
    </w:p>
    <w:p>
      <w:pPr>
        <w:spacing w:after="0" w:line="102" w:lineRule="exact"/>
        <w:rPr>
          <w:sz w:val="24"/>
          <w:szCs w:val="24"/>
          <w:color w:val="auto"/>
        </w:rPr>
      </w:pPr>
    </w:p>
    <w:p>
      <w:pPr>
        <w:sectPr>
          <w:pgSz w:w="11900" w:h="16838" w:orient="portrait"/>
          <w:cols w:equalWidth="0" w:num="2">
            <w:col w:w="6000" w:space="720"/>
            <w:col w:w="4520"/>
          </w:cols>
          <w:pgMar w:left="320" w:top="868" w:right="339" w:bottom="1440" w:gutter="0" w:footer="0" w:header="0"/>
          <w:type w:val="continuous"/>
        </w:sect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172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28, 2022, 97,000,294 shares of the registrant’s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FATE THERAPEUTICS, INC.</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40" w:type="dxa"/>
            <w:vAlign w:val="bottom"/>
            <w:gridSpan w:val="26"/>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SUMMARY OF RISK FACTORS</w:t>
              </w:r>
            </w:hyperlink>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40" w:type="dxa"/>
            <w:vAlign w:val="bottom"/>
            <w:gridSpan w:val="2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40" w:type="dxa"/>
            <w:vAlign w:val="bottom"/>
            <w:gridSpan w:val="2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tcBorders>
              <w:top w:val="single" w:sz="8" w:color="0000FF"/>
            </w:tcBorders>
            <w:gridSpan w:val="2"/>
          </w:tcPr>
          <w:p>
            <w:pPr>
              <w:ind w:left="160"/>
              <w:spacing w:after="0" w:line="182" w:lineRule="exact"/>
              <w:rPr>
                <w:sz w:val="20"/>
                <w:szCs w:val="20"/>
                <w:color w:val="auto"/>
              </w:rPr>
            </w:pPr>
            <w:r>
              <w:rPr>
                <w:rFonts w:ascii="Arial" w:cs="Arial" w:eastAsia="Arial" w:hAnsi="Arial"/>
                <w:sz w:val="18"/>
                <w:szCs w:val="18"/>
                <w:color w:val="auto"/>
              </w:rPr>
              <w:t>Item 1.</w:t>
            </w:r>
          </w:p>
        </w:tc>
        <w:tc>
          <w:tcPr>
            <w:tcW w:w="1660" w:type="dxa"/>
            <w:vAlign w:val="bottom"/>
            <w:tcBorders>
              <w:top w:val="single" w:sz="8" w:color="0000FF"/>
            </w:tcBorders>
            <w:gridSpan w:val="8"/>
          </w:tcPr>
          <w:p>
            <w:pPr>
              <w:ind w:left="20"/>
              <w:spacing w:after="0" w:line="182" w:lineRule="exact"/>
              <w:rPr>
                <w:rFonts w:ascii="Arial" w:cs="Arial" w:eastAsia="Arial" w:hAnsi="Arial"/>
                <w:sz w:val="18"/>
                <w:szCs w:val="18"/>
                <w:color w:val="0000FF"/>
                <w:w w:val="80"/>
              </w:rPr>
            </w:pPr>
            <w:hyperlink w:anchor="page5">
              <w:r>
                <w:rPr>
                  <w:rFonts w:ascii="Arial" w:cs="Arial" w:eastAsia="Arial" w:hAnsi="Arial"/>
                  <w:sz w:val="18"/>
                  <w:szCs w:val="18"/>
                  <w:color w:val="0000FF"/>
                  <w:w w:val="80"/>
                </w:rPr>
                <w:t>Condensed Consolidated</w:t>
              </w:r>
            </w:hyperlink>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13"/>
          </w:tcPr>
          <w:p>
            <w:pPr>
              <w:ind w:left="60"/>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00" w:type="dxa"/>
            <w:vAlign w:val="bottom"/>
            <w:tcBorders>
              <w:bottom w:val="single" w:sz="8" w:color="0000FF"/>
            </w:tcBorders>
            <w:gridSpan w:val="19"/>
          </w:tcPr>
          <w:p>
            <w:pPr>
              <w:ind w:left="20"/>
              <w:spacing w:after="0" w:line="182"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as of June 30, 2022 (unaudited) and December 31, 2021 (unaudited)</w:t>
              </w:r>
            </w:hyperlink>
          </w:p>
        </w:tc>
        <w:tc>
          <w:tcPr>
            <w:tcW w:w="20" w:type="dxa"/>
            <w:vAlign w:val="bottom"/>
            <w:tcBorders>
              <w:bottom w:val="single" w:sz="8" w:color="0000EE"/>
            </w:tcBorders>
          </w:tcPr>
          <w:p>
            <w:pPr>
              <w:spacing w:after="0"/>
              <w:rPr>
                <w:sz w:val="15"/>
                <w:szCs w:val="15"/>
                <w:color w:val="auto"/>
              </w:rPr>
            </w:pPr>
          </w:p>
        </w:tc>
        <w:tc>
          <w:tcPr>
            <w:tcW w:w="130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20" w:type="dxa"/>
            <w:vAlign w:val="bottom"/>
            <w:gridSpan w:val="23"/>
          </w:tcPr>
          <w:p>
            <w:pPr>
              <w:ind w:left="20"/>
              <w:spacing w:after="0" w:line="182"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Operations and Comprehensive Loss for the three and six months ended June 30,</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11"/>
          </w:tcPr>
          <w:p>
            <w:pPr>
              <w:ind w:left="20"/>
              <w:spacing w:after="0" w:line="156"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2022 and 2021 (unaudited)</w:t>
              </w:r>
            </w:hyperlink>
          </w:p>
        </w:tc>
        <w:tc>
          <w:tcPr>
            <w:tcW w:w="20" w:type="dxa"/>
            <w:vAlign w:val="bottom"/>
            <w:tcBorders>
              <w:top w:val="single" w:sz="8" w:color="0000FF"/>
              <w:bottom w:val="single" w:sz="8" w:color="0000EE"/>
            </w:tcBorders>
          </w:tcPr>
          <w:p>
            <w:pPr>
              <w:spacing w:after="0"/>
              <w:rPr>
                <w:sz w:val="13"/>
                <w:szCs w:val="13"/>
                <w:color w:val="auto"/>
              </w:rPr>
            </w:pPr>
          </w:p>
        </w:tc>
        <w:tc>
          <w:tcPr>
            <w:tcW w:w="6780" w:type="dxa"/>
            <w:vAlign w:val="bottom"/>
            <w:tcBorders>
              <w:top w:val="single" w:sz="8" w:color="0000FF"/>
            </w:tcBorders>
            <w:gridSpan w:val="10"/>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12"/>
          </w:tcPr>
          <w:p>
            <w:pPr>
              <w:ind w:left="20"/>
              <w:spacing w:after="0" w:line="182" w:lineRule="exact"/>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w:t>
              </w:r>
            </w:hyperlink>
          </w:p>
        </w:tc>
        <w:tc>
          <w:tcPr>
            <w:tcW w:w="7240" w:type="dxa"/>
            <w:vAlign w:val="bottom"/>
            <w:gridSpan w:val="11"/>
          </w:tcPr>
          <w:p>
            <w:pPr>
              <w:spacing w:after="0" w:line="182" w:lineRule="exact"/>
              <w:rPr>
                <w:rFonts w:ascii="Arial" w:cs="Arial" w:eastAsia="Arial" w:hAnsi="Arial"/>
                <w:sz w:val="18"/>
                <w:szCs w:val="18"/>
                <w:color w:val="0000FF"/>
              </w:rPr>
            </w:pPr>
            <w:hyperlink w:anchor="page7">
              <w:r>
                <w:rPr>
                  <w:rFonts w:ascii="Arial" w:cs="Arial" w:eastAsia="Arial" w:hAnsi="Arial"/>
                  <w:sz w:val="18"/>
                  <w:szCs w:val="18"/>
                  <w:color w:val="0000FF"/>
                </w:rPr>
                <w:t>Statements of Cash Flows for the six months ended June 30, 2022 and 2021 (unaudited)</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80" w:type="dxa"/>
            <w:vAlign w:val="bottom"/>
            <w:tcBorders>
              <w:top w:val="single" w:sz="8" w:color="0000FF"/>
            </w:tcBorders>
            <w:gridSpan w:val="21"/>
          </w:tcPr>
          <w:p>
            <w:pPr>
              <w:ind w:left="20"/>
              <w:spacing w:after="0" w:line="182" w:lineRule="exact"/>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10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2.</w:t>
            </w:r>
          </w:p>
        </w:tc>
        <w:tc>
          <w:tcPr>
            <w:tcW w:w="4880" w:type="dxa"/>
            <w:vAlign w:val="bottom"/>
            <w:tcBorders>
              <w:top w:val="single" w:sz="8" w:color="0000FF"/>
            </w:tcBorders>
            <w:gridSpan w:val="17"/>
          </w:tcPr>
          <w:p>
            <w:pPr>
              <w:ind w:left="20"/>
              <w:spacing w:after="0" w:line="182" w:lineRule="exact"/>
              <w:rPr>
                <w:rFonts w:ascii="Arial" w:cs="Arial" w:eastAsia="Arial" w:hAnsi="Arial"/>
                <w:sz w:val="18"/>
                <w:szCs w:val="18"/>
                <w:color w:val="0000FF"/>
                <w:w w:val="91"/>
              </w:rPr>
            </w:pPr>
            <w:hyperlink w:anchor="page26">
              <w:r>
                <w:rPr>
                  <w:rFonts w:ascii="Arial" w:cs="Arial" w:eastAsia="Arial" w:hAnsi="Arial"/>
                  <w:sz w:val="18"/>
                  <w:szCs w:val="18"/>
                  <w:color w:val="0000FF"/>
                  <w:w w:val="91"/>
                </w:rPr>
                <w:t>Management’s Discussion and Analysis of Financial Condition and</w:t>
              </w:r>
            </w:hyperlink>
          </w:p>
        </w:tc>
        <w:tc>
          <w:tcPr>
            <w:tcW w:w="4340" w:type="dxa"/>
            <w:vAlign w:val="bottom"/>
            <w:gridSpan w:val="6"/>
          </w:tcPr>
          <w:p>
            <w:pPr>
              <w:ind w:left="20"/>
              <w:spacing w:after="0" w:line="182" w:lineRule="exact"/>
              <w:rPr>
                <w:rFonts w:ascii="Arial" w:cs="Arial" w:eastAsia="Arial" w:hAnsi="Arial"/>
                <w:sz w:val="18"/>
                <w:szCs w:val="18"/>
                <w:color w:val="0000FF"/>
              </w:rPr>
            </w:pPr>
            <w:hyperlink w:anchor="page26">
              <w:r>
                <w:rPr>
                  <w:rFonts w:ascii="Arial" w:cs="Arial" w:eastAsia="Arial" w:hAnsi="Arial"/>
                  <w:sz w:val="18"/>
                  <w:szCs w:val="18"/>
                  <w:color w:val="0000FF"/>
                </w:rPr>
                <w:t>Results of Operations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8"/>
          </w:tcPr>
          <w:p>
            <w:pPr>
              <w:ind w:left="20"/>
              <w:spacing w:after="0" w:line="182" w:lineRule="exact"/>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27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10"/>
          </w:tcPr>
          <w:p>
            <w:pPr>
              <w:ind w:left="20"/>
              <w:spacing w:after="0" w:line="182" w:lineRule="exact"/>
              <w:rPr>
                <w:rFonts w:ascii="Arial" w:cs="Arial" w:eastAsia="Arial" w:hAnsi="Arial"/>
                <w:sz w:val="18"/>
                <w:szCs w:val="18"/>
                <w:color w:val="0000FF"/>
                <w:w w:val="87"/>
              </w:rPr>
            </w:pPr>
            <w:hyperlink w:anchor="page37">
              <w:r>
                <w:rPr>
                  <w:rFonts w:ascii="Arial" w:cs="Arial" w:eastAsia="Arial" w:hAnsi="Arial"/>
                  <w:sz w:val="18"/>
                  <w:szCs w:val="18"/>
                  <w:color w:val="0000FF"/>
                  <w:w w:val="87"/>
                </w:rPr>
                <w:t>Controls and Procedures</w:t>
              </w:r>
            </w:hyperlink>
          </w:p>
        </w:tc>
        <w:tc>
          <w:tcPr>
            <w:tcW w:w="2600" w:type="dxa"/>
            <w:vAlign w:val="bottom"/>
            <w:tcBorders>
              <w:top w:val="single" w:sz="8" w:color="0000FF"/>
            </w:tcBorders>
            <w:gridSpan w:val="6"/>
          </w:tcPr>
          <w:p>
            <w:pPr>
              <w:spacing w:after="0"/>
              <w:rPr>
                <w:sz w:val="15"/>
                <w:szCs w:val="15"/>
                <w:color w:val="auto"/>
              </w:rPr>
            </w:pPr>
          </w:p>
        </w:tc>
        <w:tc>
          <w:tcPr>
            <w:tcW w:w="48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26"/>
        </w:trPr>
        <w:tc>
          <w:tcPr>
            <w:tcW w:w="10440" w:type="dxa"/>
            <w:vAlign w:val="bottom"/>
            <w:gridSpan w:val="2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OTHER INFORMATION</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tcBorders>
              <w:top w:val="single" w:sz="8" w:color="0000FF"/>
            </w:tcBorders>
            <w:gridSpan w:val="2"/>
          </w:tcPr>
          <w:p>
            <w:pPr>
              <w:ind w:left="160"/>
              <w:spacing w:after="0" w:line="182" w:lineRule="exact"/>
              <w:rPr>
                <w:sz w:val="20"/>
                <w:szCs w:val="20"/>
                <w:color w:val="auto"/>
              </w:rPr>
            </w:pPr>
            <w:r>
              <w:rPr>
                <w:rFonts w:ascii="Arial" w:cs="Arial" w:eastAsia="Arial" w:hAnsi="Arial"/>
                <w:sz w:val="18"/>
                <w:szCs w:val="18"/>
                <w:color w:val="auto"/>
              </w:rPr>
              <w:t>Item 1.</w:t>
            </w:r>
          </w:p>
        </w:tc>
        <w:tc>
          <w:tcPr>
            <w:tcW w:w="1360" w:type="dxa"/>
            <w:vAlign w:val="bottom"/>
            <w:tcBorders>
              <w:top w:val="single" w:sz="8" w:color="0000FF"/>
            </w:tcBorders>
            <w:gridSpan w:val="7"/>
          </w:tcPr>
          <w:p>
            <w:pPr>
              <w:ind w:left="20"/>
              <w:spacing w:after="0" w:line="182" w:lineRule="exact"/>
              <w:rPr>
                <w:rFonts w:ascii="Arial" w:cs="Arial" w:eastAsia="Arial" w:hAnsi="Arial"/>
                <w:sz w:val="18"/>
                <w:szCs w:val="18"/>
                <w:color w:val="0000FF"/>
                <w:w w:val="88"/>
              </w:rPr>
            </w:pPr>
            <w:hyperlink w:anchor="page38">
              <w:r>
                <w:rPr>
                  <w:rFonts w:ascii="Arial" w:cs="Arial" w:eastAsia="Arial" w:hAnsi="Arial"/>
                  <w:sz w:val="18"/>
                  <w:szCs w:val="18"/>
                  <w:color w:val="0000FF"/>
                  <w:w w:val="88"/>
                </w:rPr>
                <w:t>Legal Proceedings</w:t>
              </w:r>
            </w:hyperlink>
          </w:p>
        </w:tc>
        <w:tc>
          <w:tcPr>
            <w:tcW w:w="980" w:type="dxa"/>
            <w:vAlign w:val="bottom"/>
            <w:gridSpan w:val="6"/>
          </w:tcPr>
          <w:p>
            <w:pPr>
              <w:spacing w:after="0"/>
              <w:rPr>
                <w:sz w:val="15"/>
                <w:szCs w:val="15"/>
                <w:color w:val="auto"/>
              </w:rPr>
            </w:pPr>
          </w:p>
        </w:tc>
        <w:tc>
          <w:tcPr>
            <w:tcW w:w="2020" w:type="dxa"/>
            <w:vAlign w:val="bottom"/>
            <w:gridSpan w:val="2"/>
          </w:tcPr>
          <w:p>
            <w:pPr>
              <w:spacing w:after="0"/>
              <w:rPr>
                <w:sz w:val="15"/>
                <w:szCs w:val="15"/>
                <w:color w:val="auto"/>
              </w:rPr>
            </w:pPr>
          </w:p>
        </w:tc>
        <w:tc>
          <w:tcPr>
            <w:tcW w:w="4860" w:type="dxa"/>
            <w:vAlign w:val="bottom"/>
            <w:gridSpan w:val="8"/>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ind w:left="20"/>
              <w:spacing w:after="0" w:line="182" w:lineRule="exact"/>
              <w:rPr>
                <w:rFonts w:ascii="Arial" w:cs="Arial" w:eastAsia="Arial" w:hAnsi="Arial"/>
                <w:sz w:val="18"/>
                <w:szCs w:val="18"/>
                <w:color w:val="0000FF"/>
                <w:w w:val="87"/>
              </w:rPr>
            </w:pPr>
            <w:hyperlink w:anchor="page38">
              <w:r>
                <w:rPr>
                  <w:rFonts w:ascii="Arial" w:cs="Arial" w:eastAsia="Arial" w:hAnsi="Arial"/>
                  <w:sz w:val="18"/>
                  <w:szCs w:val="18"/>
                  <w:color w:val="0000FF"/>
                  <w:w w:val="87"/>
                </w:rPr>
                <w:t>Risk Factors</w:t>
              </w:r>
            </w:hyperlink>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3"/>
          </w:tcPr>
          <w:p>
            <w:pPr>
              <w:spacing w:after="0"/>
              <w:rPr>
                <w:sz w:val="15"/>
                <w:szCs w:val="15"/>
                <w:color w:val="auto"/>
              </w:rPr>
            </w:pPr>
          </w:p>
        </w:tc>
        <w:tc>
          <w:tcPr>
            <w:tcW w:w="1000" w:type="dxa"/>
            <w:vAlign w:val="bottom"/>
            <w:gridSpan w:val="7"/>
          </w:tcPr>
          <w:p>
            <w:pPr>
              <w:spacing w:after="0"/>
              <w:rPr>
                <w:sz w:val="15"/>
                <w:szCs w:val="15"/>
                <w:color w:val="auto"/>
              </w:rPr>
            </w:pPr>
          </w:p>
        </w:tc>
        <w:tc>
          <w:tcPr>
            <w:tcW w:w="2020" w:type="dxa"/>
            <w:vAlign w:val="bottom"/>
            <w:gridSpan w:val="2"/>
          </w:tcPr>
          <w:p>
            <w:pPr>
              <w:spacing w:after="0"/>
              <w:rPr>
                <w:sz w:val="15"/>
                <w:szCs w:val="15"/>
                <w:color w:val="auto"/>
              </w:rPr>
            </w:pPr>
          </w:p>
        </w:tc>
        <w:tc>
          <w:tcPr>
            <w:tcW w:w="486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ind w:left="20"/>
              <w:spacing w:after="0" w:line="182" w:lineRule="exact"/>
              <w:rPr>
                <w:rFonts w:ascii="Arial" w:cs="Arial" w:eastAsia="Arial" w:hAnsi="Arial"/>
                <w:sz w:val="18"/>
                <w:szCs w:val="18"/>
                <w:color w:val="0000FF"/>
                <w:w w:val="87"/>
              </w:rPr>
            </w:pPr>
            <w:hyperlink w:anchor="page78">
              <w:r>
                <w:rPr>
                  <w:rFonts w:ascii="Arial" w:cs="Arial" w:eastAsia="Arial" w:hAnsi="Arial"/>
                  <w:sz w:val="18"/>
                  <w:szCs w:val="18"/>
                  <w:color w:val="0000FF"/>
                  <w:w w:val="87"/>
                </w:rPr>
                <w:t>Unregistered</w:t>
              </w:r>
            </w:hyperlink>
          </w:p>
        </w:tc>
        <w:tc>
          <w:tcPr>
            <w:tcW w:w="8280" w:type="dxa"/>
            <w:vAlign w:val="bottom"/>
            <w:gridSpan w:val="20"/>
          </w:tcPr>
          <w:p>
            <w:pPr>
              <w:ind w:left="40"/>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Sales of Equity Securities and Use of Proceeds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5"/>
          </w:tcPr>
          <w:p>
            <w:pPr>
              <w:ind w:left="20"/>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Defaults Upon Senior Securities</w:t>
              </w:r>
            </w:hyperlink>
          </w:p>
        </w:tc>
        <w:tc>
          <w:tcPr>
            <w:tcW w:w="486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3"/>
          </w:tcPr>
          <w:p>
            <w:pPr>
              <w:ind w:left="20"/>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Mine Safety Disclosures</w:t>
              </w:r>
            </w:hyperlink>
          </w:p>
        </w:tc>
        <w:tc>
          <w:tcPr>
            <w:tcW w:w="688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10"/>
          </w:tcPr>
          <w:p>
            <w:pPr>
              <w:ind w:left="20"/>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Other Information</w:t>
              </w:r>
            </w:hyperlink>
          </w:p>
        </w:tc>
        <w:tc>
          <w:tcPr>
            <w:tcW w:w="744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ind w:left="20"/>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Exhibits</w:t>
              </w:r>
            </w:hyperlink>
          </w:p>
        </w:tc>
        <w:tc>
          <w:tcPr>
            <w:tcW w:w="790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25"/>
        </w:trPr>
        <w:tc>
          <w:tcPr>
            <w:tcW w:w="1220" w:type="dxa"/>
            <w:vAlign w:val="bottom"/>
            <w:gridSpan w:val="3"/>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64" w:lineRule="exact"/>
        <w:rPr>
          <w:sz w:val="20"/>
          <w:szCs w:val="20"/>
          <w:color w:val="auto"/>
        </w:rPr>
      </w:pPr>
    </w:p>
    <w:p>
      <w:pPr>
        <w:ind w:left="1020" w:right="4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represent a novel therapeutic approach to treating cancer and may cause undesirable side effects or have other properties that could halt their clinical development, prevent their regulatory approval, limit their commercial potential or result in significant negative consequences. If we fail to complete the preclinical or clinical development of, or to obtain regulatory approval for, our product candidates, our business would be significantly harmed.</w:t>
      </w:r>
    </w:p>
    <w:p>
      <w:pPr>
        <w:spacing w:after="0" w:line="79" w:lineRule="exact"/>
        <w:rPr>
          <w:rFonts w:ascii="Arial" w:cs="Arial" w:eastAsia="Arial" w:hAnsi="Arial"/>
          <w:sz w:val="18"/>
          <w:szCs w:val="18"/>
          <w:color w:val="auto"/>
        </w:rPr>
      </w:pPr>
    </w:p>
    <w:p>
      <w:pPr>
        <w:ind w:left="1020" w:hanging="503"/>
        <w:spacing w:after="0" w:line="29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use induced pluripotent stem cell technology and gene-editing technology in the creation of our product candidates. Both technologies are relatively new technologies, which makes it difficult to predict the time and cost of product candidate development and obtaining regulatory approval. If we are unable to use these technologies in the creation of our product candidates, our business would be significantly harmed.</w:t>
      </w:r>
    </w:p>
    <w:p>
      <w:pPr>
        <w:spacing w:after="0" w:line="39" w:lineRule="exact"/>
        <w:rPr>
          <w:rFonts w:ascii="Arial" w:cs="Arial" w:eastAsia="Arial" w:hAnsi="Arial"/>
          <w:sz w:val="16"/>
          <w:szCs w:val="16"/>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delays in initiating, conducting or completing our clinical trials, including due to difficulties enrolling patients in our clinical trials, and we may not be able to initiate, conduct or complete them at all.</w:t>
      </w:r>
    </w:p>
    <w:p>
      <w:pPr>
        <w:spacing w:after="0" w:line="62" w:lineRule="exact"/>
        <w:rPr>
          <w:rFonts w:ascii="Arial" w:cs="Arial" w:eastAsia="Arial" w:hAnsi="Arial"/>
          <w:sz w:val="18"/>
          <w:szCs w:val="18"/>
          <w:color w:val="auto"/>
        </w:rPr>
      </w:pPr>
    </w:p>
    <w:p>
      <w:pPr>
        <w:ind w:left="1020" w:right="14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interim and preliminary data from our clinical trials that we announce or publish from time to time may change as more patient data become available and are subject to audit and verification procedures that could result in material changes in the final data. Furthermore, results from our ongoing or future clinical trials involving our product candidates may differ materially from initial, interim and preliminary data.</w:t>
      </w:r>
    </w:p>
    <w:p>
      <w:pPr>
        <w:spacing w:after="0" w:line="79" w:lineRule="exact"/>
        <w:rPr>
          <w:rFonts w:ascii="Arial" w:cs="Arial" w:eastAsia="Arial" w:hAnsi="Arial"/>
          <w:sz w:val="18"/>
          <w:szCs w:val="18"/>
          <w:color w:val="auto"/>
        </w:rPr>
      </w:pPr>
    </w:p>
    <w:p>
      <w:pPr>
        <w:ind w:left="1020" w:right="180" w:hanging="503"/>
        <w:spacing w:after="0" w:line="24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manufacture and distribution of our cell product candidates are complex and subject to a multitude of risks. These risks could substantially limit the clinical and commercial supply of our product candidates and increase our costs, and the development and commercialization of our product candidates could be significantly delayed or restricted if the United States Food and Drug Administration (FDA) or other regulatory authorities impose additional requirements on our manufacturing operations or if we are required to change our manufacturing operations to comply with regulatory requirements.</w:t>
      </w:r>
    </w:p>
    <w:p>
      <w:pPr>
        <w:spacing w:after="0" w:line="81" w:lineRule="exact"/>
        <w:rPr>
          <w:rFonts w:ascii="Arial" w:cs="Arial" w:eastAsia="Arial" w:hAnsi="Arial"/>
          <w:sz w:val="18"/>
          <w:szCs w:val="18"/>
          <w:color w:val="auto"/>
        </w:rPr>
      </w:pPr>
    </w:p>
    <w:p>
      <w:pPr>
        <w:ind w:left="1020" w:right="6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limited experience manufacturing our product candidates on a clinical scale, and no experience manufacturing on a commercial scale. Any failure by us or any third parties on whom we depend to manufacture our product candidates consistently and under the proper conditions may result in delays to our clinical development plans and impair our ability to obtain approval for, or commercialize, our product candidates.</w:t>
      </w:r>
    </w:p>
    <w:p>
      <w:pPr>
        <w:spacing w:after="0" w:line="79" w:lineRule="exact"/>
        <w:rPr>
          <w:rFonts w:ascii="Arial" w:cs="Arial" w:eastAsia="Arial" w:hAnsi="Arial"/>
          <w:sz w:val="18"/>
          <w:szCs w:val="18"/>
          <w:color w:val="auto"/>
        </w:rPr>
      </w:pPr>
    </w:p>
    <w:p>
      <w:pPr>
        <w:ind w:left="1020" w:right="2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product candidates, or the loss of our third-party contract manufacturers, or our or their failure to supply sufficient quantities of our product candidates at acceptable quality levels or prices, or at all, would materially and adversely affect our business.</w:t>
      </w:r>
    </w:p>
    <w:p>
      <w:pPr>
        <w:spacing w:after="0" w:line="73" w:lineRule="exact"/>
        <w:rPr>
          <w:rFonts w:ascii="Arial" w:cs="Arial" w:eastAsia="Arial" w:hAnsi="Arial"/>
          <w:sz w:val="18"/>
          <w:szCs w:val="18"/>
          <w:color w:val="auto"/>
        </w:rPr>
      </w:pPr>
    </w:p>
    <w:p>
      <w:pPr>
        <w:jc w:val="both"/>
        <w:ind w:left="1020" w:right="1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third party suppliers, including sole source suppliers, for the provision of reagents, materials, devices and equipment that are used by us and our third-party contract manufacturers in the production of our product candidates, the loss of which could adversely impact our ability to conduct our clinical trials or commercialize our product candidates, if approved.</w:t>
      </w:r>
    </w:p>
    <w:p>
      <w:pPr>
        <w:spacing w:after="0" w:line="73"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global COVID-19 pandemic, caused by the coronavirus, SARS-CoV-2, and the ongoing conflict in Ukraine, could adversely impact various aspects of our business, results of operations and financial condition, and could cause a disruption to our supply chain and the development and manufacture of our product candidates.</w:t>
      </w:r>
    </w:p>
    <w:p>
      <w:pPr>
        <w:spacing w:after="0" w:line="7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challenges recruiting and retaining key personnel due to labor market changes, availability of qualified candidates, and competition for employees from other companies.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cost fluctuations and inflationary pressures, including increases in prices of materials and costs of labor, which may adversely impact our operating performance, expenses, and results.</w:t>
      </w:r>
    </w:p>
    <w:p>
      <w:pPr>
        <w:spacing w:after="0" w:line="62" w:lineRule="exact"/>
        <w:rPr>
          <w:rFonts w:ascii="Arial" w:cs="Arial" w:eastAsia="Arial" w:hAnsi="Arial"/>
          <w:sz w:val="18"/>
          <w:szCs w:val="18"/>
          <w:color w:val="auto"/>
        </w:rPr>
      </w:pPr>
    </w:p>
    <w:p>
      <w:pPr>
        <w:ind w:left="1020" w:right="30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strategic partnerships and collaboration arrangements for the development and commercialization of certain of our product candidates in certain indications or geographic territories, and if these arrangements are unsuccessful, this could result in delays and other obstacles in the development, manufacture or commercialization of any of our product candidates and materially harm our results of operations.</w:t>
      </w:r>
    </w:p>
    <w:p>
      <w:pPr>
        <w:spacing w:after="0" w:line="79"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our product candidates will require substantial additional funding, without which we will be unable to complete preclinical or clinical development of, or obtain regulatory approval for, our product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 w:name="page4"/>
    <w:bookmarkEnd w:id="3"/>
    <w:p>
      <w:pPr>
        <w:jc w:val="both"/>
        <w:ind w:left="503" w:right="620" w:hanging="503"/>
        <w:spacing w:after="0" w:line="324" w:lineRule="auto"/>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have incurred significant losses since our inception, and anticipate that we will continue to incur significant losses for the foreseeable future, including in connection with the potential global development of our product candidates.</w:t>
      </w:r>
    </w:p>
    <w:p>
      <w:pPr>
        <w:spacing w:after="0" w:line="16" w:lineRule="exact"/>
        <w:rPr>
          <w:rFonts w:ascii="Arial" w:cs="Arial" w:eastAsia="Arial" w:hAnsi="Arial"/>
          <w:sz w:val="16"/>
          <w:szCs w:val="16"/>
          <w:color w:val="auto"/>
        </w:rPr>
      </w:pPr>
    </w:p>
    <w:p>
      <w:pPr>
        <w:ind w:left="503" w:hanging="503"/>
        <w:spacing w:after="0" w:line="291"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38" w:lineRule="exact"/>
        <w:rPr>
          <w:rFonts w:ascii="Arial" w:cs="Arial" w:eastAsia="Arial" w:hAnsi="Arial"/>
          <w:sz w:val="17"/>
          <w:szCs w:val="17"/>
          <w:color w:val="auto"/>
        </w:rPr>
      </w:pPr>
    </w:p>
    <w:p>
      <w:pPr>
        <w:ind w:left="503" w:hanging="503"/>
        <w:spacing w:after="0"/>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comply with our obligations under our license agreements, we could lose rights to our product candidates or key technologies.</w:t>
      </w:r>
    </w:p>
    <w:p>
      <w:pPr>
        <w:spacing w:after="0" w:line="126" w:lineRule="exact"/>
        <w:rPr>
          <w:rFonts w:ascii="Arial" w:cs="Arial" w:eastAsia="Arial" w:hAnsi="Arial"/>
          <w:sz w:val="16"/>
          <w:szCs w:val="16"/>
          <w:color w:val="auto"/>
        </w:rPr>
      </w:pPr>
    </w:p>
    <w:p>
      <w:pPr>
        <w:jc w:val="both"/>
        <w:ind w:left="503" w:right="20" w:hanging="503"/>
        <w:spacing w:after="0" w:line="324" w:lineRule="auto"/>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6" w:lineRule="exact"/>
        <w:rPr>
          <w:rFonts w:ascii="Arial" w:cs="Arial" w:eastAsia="Arial" w:hAnsi="Arial"/>
          <w:sz w:val="16"/>
          <w:szCs w:val="16"/>
          <w:color w:val="auto"/>
        </w:rPr>
      </w:pPr>
    </w:p>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have experience marketing any product candidates and do not have a sales force or distribution capabilities, and if our products are approved, we may be unable to commercialize them successfully.</w:t>
      </w:r>
    </w:p>
    <w:p>
      <w:pPr>
        <w:spacing w:after="0" w:line="62" w:lineRule="exact"/>
        <w:rPr>
          <w:rFonts w:ascii="Arial" w:cs="Arial" w:eastAsia="Arial" w:hAnsi="Arial"/>
          <w:sz w:val="18"/>
          <w:szCs w:val="18"/>
          <w:color w:val="auto"/>
        </w:rPr>
      </w:pPr>
    </w:p>
    <w:p>
      <w:pPr>
        <w:ind w:left="503" w:hanging="503"/>
        <w:spacing w:after="0" w:line="270"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commercial success of our product candidates will depend upon the degree of market acceptance by physicians, patients, third-party payers and others in the medical community and may require additional generation of evidence development around areas like the anticipated budget impact, comparative costs and benefits relative to standard of care and other value demonstrations.</w:t>
      </w:r>
    </w:p>
    <w:p>
      <w:pPr>
        <w:spacing w:after="0" w:line="55" w:lineRule="exact"/>
        <w:rPr>
          <w:rFonts w:ascii="Arial" w:cs="Arial" w:eastAsia="Arial" w:hAnsi="Arial"/>
          <w:sz w:val="17"/>
          <w:szCs w:val="17"/>
          <w:color w:val="auto"/>
        </w:rPr>
      </w:pPr>
    </w:p>
    <w:p>
      <w:pPr>
        <w:ind w:left="503" w:right="2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increasing competition in an environment of rapid technological change from other biotechnology and pharmaceutical companies, and our operating results will suffer if we fail to compete effectively.</w:t>
      </w:r>
    </w:p>
    <w:p>
      <w:pPr>
        <w:spacing w:after="0" w:line="62" w:lineRule="exact"/>
        <w:rPr>
          <w:rFonts w:ascii="Arial" w:cs="Arial" w:eastAsia="Arial" w:hAnsi="Arial"/>
          <w:sz w:val="18"/>
          <w:szCs w:val="18"/>
          <w:color w:val="auto"/>
        </w:rPr>
      </w:pPr>
    </w:p>
    <w:p>
      <w:pPr>
        <w:ind w:left="503" w:right="1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existing product candidates is substantially dependent on developments within the field of cellular immunotherapy, some of which are beyond our control.</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loss of data and other disruptions could compromise sensitive information related to our business.</w:t>
      </w:r>
    </w:p>
    <w:p>
      <w:pPr>
        <w:spacing w:after="0" w:line="103" w:lineRule="exact"/>
        <w:rPr>
          <w:rFonts w:ascii="Arial" w:cs="Arial" w:eastAsia="Arial" w:hAnsi="Arial"/>
          <w:sz w:val="18"/>
          <w:szCs w:val="18"/>
          <w:color w:val="auto"/>
        </w:rPr>
      </w:pPr>
    </w:p>
    <w:p>
      <w:pPr>
        <w:ind w:left="503" w:right="2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may be able to exercise significant control over our company.</w:t>
      </w:r>
    </w:p>
    <w:p>
      <w:pPr>
        <w:spacing w:after="0" w:line="171"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4" w:name="page5"/>
    <w:bookmarkEnd w:id="4"/>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8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Fate Therapeutics, Inc.</w:t>
      </w:r>
    </w:p>
    <w:p>
      <w:pPr>
        <w:spacing w:after="0" w:line="17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92"/>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55,275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133,583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13,126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 investments and related maturity receivables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513,575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482,327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17,181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599,157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633,412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11,925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100,664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103,116</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91,529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68,493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70,720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15,227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Collaboration contract assets</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9,108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9,870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807,059</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921,455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8,420</w:t>
            </w:r>
          </w:p>
        </w:tc>
        <w:tc>
          <w:tcPr>
            <w:tcW w:w="2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40,524</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CIRM award liability, current portion</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 current portion</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33,657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current portion</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5,717</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91,518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81,284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net of current portion</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17,743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CIRM award liability, net of current portion</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106,587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109,241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price appreciation milestones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9,928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$0.001 par value; authorized shares—5,000,000</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40"/>
              <w:spacing w:after="0" w:line="176" w:lineRule="exact"/>
              <w:rPr>
                <w:sz w:val="20"/>
                <w:szCs w:val="20"/>
                <w:color w:val="auto"/>
              </w:rPr>
            </w:pPr>
            <w:r>
              <w:rPr>
                <w:rFonts w:ascii="Arial" w:cs="Arial" w:eastAsia="Arial" w:hAnsi="Arial"/>
                <w:sz w:val="18"/>
                <w:szCs w:val="18"/>
                <w:color w:val="auto"/>
              </w:rPr>
              <w:t>at June 30, 2022 and December 31, 2021; Class A Convertible Preferred</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40"/>
              <w:spacing w:after="0" w:line="176" w:lineRule="exact"/>
              <w:rPr>
                <w:sz w:val="20"/>
                <w:szCs w:val="20"/>
                <w:color w:val="auto"/>
              </w:rPr>
            </w:pPr>
            <w:r>
              <w:rPr>
                <w:rFonts w:ascii="Arial" w:cs="Arial" w:eastAsia="Arial" w:hAnsi="Arial"/>
                <w:sz w:val="18"/>
                <w:szCs w:val="18"/>
                <w:color w:val="auto"/>
              </w:rPr>
              <w:t>shares issued and outstanding—2,794,549 at June 30, 2022 and</w:t>
            </w:r>
          </w:p>
        </w:tc>
        <w:tc>
          <w:tcPr>
            <w:tcW w:w="2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December 31, 2021</w:t>
            </w:r>
          </w:p>
        </w:tc>
        <w:tc>
          <w:tcPr>
            <w:tcW w:w="2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$0.001 par value; authorized shares—250,000,000 at</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June 30, 2022 and December 31, 2021; issued and outstanding—96,862,797</w:t>
            </w:r>
          </w:p>
        </w:tc>
        <w:tc>
          <w:tcPr>
            <w:tcW w:w="28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at June 30, 2022 and 95,726,962 at December 31, 2021</w:t>
            </w:r>
          </w:p>
        </w:tc>
        <w:tc>
          <w:tcPr>
            <w:tcW w:w="28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1,494,642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1,448,584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(3,381 )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(762 )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(910,878 )</w:t>
            </w:r>
          </w:p>
        </w:tc>
        <w:tc>
          <w:tcPr>
            <w:tcW w:w="2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(769,083 )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580,483</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678,838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807,059</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921,455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-3596640</wp:posOffset>
            </wp:positionV>
            <wp:extent cx="685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-3596640</wp:posOffset>
            </wp:positionV>
            <wp:extent cx="685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60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70"/>
              </w:rPr>
              <w:t>(unaudited)</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18,549</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13,412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36,963</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81,307</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48,023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153,446</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92,873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20,351</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12,168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41,093</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101,658</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60,191</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194,539</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117,541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7"/>
                <w:szCs w:val="17"/>
                <w:color w:val="auto"/>
              </w:rPr>
            </w:pPr>
          </w:p>
        </w:tc>
        <w:tc>
          <w:tcPr>
            <w:tcW w:w="1240" w:type="dxa"/>
            <w:vAlign w:val="bottom"/>
            <w:gridSpan w:val="2"/>
          </w:tcPr>
          <w:p>
            <w:pPr>
              <w:jc w:val="right"/>
              <w:ind w:right="125"/>
              <w:spacing w:after="0" w:line="196" w:lineRule="exact"/>
              <w:rPr>
                <w:sz w:val="20"/>
                <w:szCs w:val="20"/>
                <w:color w:val="auto"/>
              </w:rPr>
            </w:pPr>
            <w:r>
              <w:rPr>
                <w:rFonts w:ascii="Arial" w:cs="Arial" w:eastAsia="Arial" w:hAnsi="Arial"/>
                <w:sz w:val="18"/>
                <w:szCs w:val="18"/>
                <w:color w:val="auto"/>
              </w:rPr>
              <w:t>(83,109 )</w:t>
            </w:r>
          </w:p>
        </w:tc>
        <w:tc>
          <w:tcPr>
            <w:tcW w:w="420" w:type="dxa"/>
            <w:vAlign w:val="bottom"/>
          </w:tcPr>
          <w:p>
            <w:pPr>
              <w:spacing w:after="0"/>
              <w:rPr>
                <w:sz w:val="17"/>
                <w:szCs w:val="17"/>
                <w:color w:val="auto"/>
              </w:rPr>
            </w:pPr>
          </w:p>
        </w:tc>
        <w:tc>
          <w:tcPr>
            <w:tcW w:w="12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(46,779 )</w:t>
            </w:r>
          </w:p>
        </w:tc>
        <w:tc>
          <w:tcPr>
            <w:tcW w:w="240" w:type="dxa"/>
            <w:vAlign w:val="bottom"/>
          </w:tcPr>
          <w:p>
            <w:pPr>
              <w:spacing w:after="0"/>
              <w:rPr>
                <w:sz w:val="17"/>
                <w:szCs w:val="17"/>
                <w:color w:val="auto"/>
              </w:rPr>
            </w:pPr>
          </w:p>
        </w:tc>
        <w:tc>
          <w:tcPr>
            <w:tcW w:w="12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(157,576 )</w:t>
            </w:r>
          </w:p>
        </w:tc>
        <w:tc>
          <w:tcPr>
            <w:tcW w:w="38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(92,989 )</w:t>
            </w: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1,175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stock price appreciation milestones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5,881</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(8,700 )</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14,240</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(7,956 )</w:t>
            </w: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7,004</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(8,354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15,781</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5"/>
              <w:spacing w:after="0" w:line="196" w:lineRule="exact"/>
              <w:rPr>
                <w:sz w:val="20"/>
                <w:szCs w:val="20"/>
                <w:color w:val="auto"/>
              </w:rPr>
            </w:pPr>
            <w:r>
              <w:rPr>
                <w:rFonts w:ascii="Arial" w:cs="Arial" w:eastAsia="Arial" w:hAnsi="Arial"/>
                <w:sz w:val="18"/>
                <w:szCs w:val="18"/>
                <w:color w:val="auto"/>
              </w:rPr>
              <w:t>(76,105 )</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(55,133 )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(141,795 )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(100,222 )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Unrealized gain (loss) on available-for-sale securities, net</w:t>
            </w:r>
          </w:p>
        </w:tc>
        <w:tc>
          <w:tcPr>
            <w:tcW w:w="240" w:type="dxa"/>
            <w:vAlign w:val="bottom"/>
          </w:tcPr>
          <w:p>
            <w:pPr>
              <w:spacing w:after="0"/>
              <w:rPr>
                <w:sz w:val="17"/>
                <w:szCs w:val="17"/>
                <w:color w:val="auto"/>
              </w:rPr>
            </w:pPr>
          </w:p>
        </w:tc>
        <w:tc>
          <w:tcPr>
            <w:tcW w:w="1240" w:type="dxa"/>
            <w:vAlign w:val="bottom"/>
            <w:gridSpan w:val="2"/>
          </w:tcPr>
          <w:p>
            <w:pPr>
              <w:jc w:val="right"/>
              <w:ind w:right="125"/>
              <w:spacing w:after="0" w:line="202" w:lineRule="exact"/>
              <w:rPr>
                <w:sz w:val="20"/>
                <w:szCs w:val="20"/>
                <w:color w:val="auto"/>
              </w:rPr>
            </w:pPr>
            <w:r>
              <w:rPr>
                <w:rFonts w:ascii="Arial" w:cs="Arial" w:eastAsia="Arial" w:hAnsi="Arial"/>
                <w:sz w:val="18"/>
                <w:szCs w:val="18"/>
                <w:color w:val="auto"/>
              </w:rPr>
              <w:t>(531 )</w:t>
            </w: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(2,619 )</w:t>
            </w:r>
          </w:p>
        </w:tc>
        <w:tc>
          <w:tcPr>
            <w:tcW w:w="3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(76,636</w:t>
            </w:r>
          </w:p>
        </w:tc>
        <w:tc>
          <w:tcPr>
            <w:tcW w:w="26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(54,959</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(144,414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530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 basic and diluted</w:t>
            </w: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5"/>
              <w:spacing w:after="0" w:line="183" w:lineRule="exact"/>
              <w:rPr>
                <w:sz w:val="20"/>
                <w:szCs w:val="20"/>
                <w:color w:val="auto"/>
              </w:rPr>
            </w:pPr>
            <w:r>
              <w:rPr>
                <w:rFonts w:ascii="Arial" w:cs="Arial" w:eastAsia="Arial" w:hAnsi="Arial"/>
                <w:sz w:val="18"/>
                <w:szCs w:val="18"/>
                <w:color w:val="auto"/>
              </w:rPr>
              <w:t>(0.79 )</w:t>
            </w:r>
          </w:p>
        </w:tc>
        <w:tc>
          <w:tcPr>
            <w:tcW w:w="420" w:type="dxa"/>
            <w:vAlign w:val="bottom"/>
          </w:tcPr>
          <w:p>
            <w:pPr>
              <w:jc w:val="right"/>
              <w:ind w:right="23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(0.58 )</w:t>
            </w: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line="183" w:lineRule="exact"/>
              <w:rPr>
                <w:sz w:val="20"/>
                <w:szCs w:val="20"/>
                <w:color w:val="auto"/>
              </w:rPr>
            </w:pPr>
            <w:r>
              <w:rPr>
                <w:rFonts w:ascii="Arial" w:cs="Arial" w:eastAsia="Arial" w:hAnsi="Arial"/>
                <w:sz w:val="18"/>
                <w:szCs w:val="18"/>
                <w:color w:val="auto"/>
              </w:rPr>
              <w:t>(1.47 )</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common shares used to compute basic and diluted</w:t>
            </w:r>
          </w:p>
        </w:tc>
        <w:tc>
          <w:tcPr>
            <w:tcW w:w="24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96,704,413</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94,326,648</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96,524,968</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93,881,734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30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net loss per share</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-1762125</wp:posOffset>
            </wp:positionV>
            <wp:extent cx="768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-1762125</wp:posOffset>
            </wp:positionV>
            <wp:extent cx="768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-1762125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-1762125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-973455</wp:posOffset>
            </wp:positionV>
            <wp:extent cx="768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-973455</wp:posOffset>
            </wp:positionV>
            <wp:extent cx="768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-973455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-973455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-419735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-402590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-419735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-402590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-419735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-402590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70"/>
              </w:rPr>
              <w:t>(unaudited)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4"/>
              <w:spacing w:after="0" w:line="202" w:lineRule="exact"/>
              <w:rPr>
                <w:sz w:val="20"/>
                <w:szCs w:val="20"/>
                <w:color w:val="auto"/>
              </w:rPr>
            </w:pPr>
            <w:r>
              <w:rPr>
                <w:rFonts w:ascii="Arial" w:cs="Arial" w:eastAsia="Arial" w:hAnsi="Arial"/>
                <w:sz w:val="18"/>
                <w:szCs w:val="18"/>
                <w:color w:val="auto"/>
              </w:rPr>
              <w:t>(141,795 )</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(100,222 )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5,723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39,873</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26,230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Accretion and amortization of premiums and discounts on investments, net</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1,398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Amortization of collaboration contract assets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2,793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(5,208 )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Change in fair value of stock price appreciation milestones</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44"/>
              <w:spacing w:after="0" w:line="202" w:lineRule="exact"/>
              <w:rPr>
                <w:sz w:val="20"/>
                <w:szCs w:val="20"/>
                <w:color w:val="auto"/>
              </w:rPr>
            </w:pPr>
            <w:r>
              <w:rPr>
                <w:rFonts w:ascii="Arial" w:cs="Arial" w:eastAsia="Arial" w:hAnsi="Arial"/>
                <w:sz w:val="18"/>
                <w:szCs w:val="18"/>
                <w:color w:val="auto"/>
              </w:rPr>
              <w:t>(14,240 )</w:t>
            </w: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44"/>
              <w:spacing w:after="0" w:line="202" w:lineRule="exact"/>
              <w:rPr>
                <w:sz w:val="20"/>
                <w:szCs w:val="20"/>
                <w:color w:val="auto"/>
              </w:rPr>
            </w:pPr>
            <w:r>
              <w:rPr>
                <w:rFonts w:ascii="Arial" w:cs="Arial" w:eastAsia="Arial" w:hAnsi="Arial"/>
                <w:sz w:val="18"/>
                <w:szCs w:val="18"/>
                <w:color w:val="auto"/>
              </w:rPr>
              <w:t>(4,450 )</w:t>
            </w:r>
          </w:p>
        </w:tc>
        <w:tc>
          <w:tcPr>
            <w:tcW w:w="4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(4,788 )</w:t>
            </w:r>
          </w:p>
        </w:tc>
        <w:tc>
          <w:tcPr>
            <w:tcW w:w="0" w:type="dxa"/>
            <w:vAlign w:val="bottom"/>
          </w:tcPr>
          <w:p>
            <w:pPr>
              <w:spacing w:after="0"/>
              <w:rPr>
                <w:sz w:val="1"/>
                <w:szCs w:val="1"/>
                <w:color w:val="auto"/>
              </w:rPr>
            </w:pPr>
          </w:p>
        </w:tc>
      </w:tr>
      <w:tr>
        <w:trPr>
          <w:trHeight w:val="203"/>
        </w:trPr>
        <w:tc>
          <w:tcPr>
            <w:tcW w:w="7640" w:type="dxa"/>
            <w:vAlign w:val="bottom"/>
          </w:tcPr>
          <w:p>
            <w:pPr>
              <w:ind w:left="480"/>
              <w:spacing w:after="0" w:line="202" w:lineRule="exact"/>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7"/>
                <w:szCs w:val="17"/>
                <w:color w:val="auto"/>
              </w:rPr>
            </w:pPr>
          </w:p>
        </w:tc>
        <w:tc>
          <w:tcPr>
            <w:tcW w:w="1460" w:type="dxa"/>
            <w:vAlign w:val="bottom"/>
            <w:gridSpan w:val="2"/>
          </w:tcPr>
          <w:p>
            <w:pPr>
              <w:jc w:val="right"/>
              <w:ind w:right="144"/>
              <w:spacing w:after="0" w:line="202" w:lineRule="exact"/>
              <w:rPr>
                <w:sz w:val="20"/>
                <w:szCs w:val="20"/>
                <w:color w:val="auto"/>
              </w:rPr>
            </w:pPr>
            <w:r>
              <w:rPr>
                <w:rFonts w:ascii="Arial" w:cs="Arial" w:eastAsia="Arial" w:hAnsi="Arial"/>
                <w:sz w:val="18"/>
                <w:szCs w:val="18"/>
                <w:color w:val="auto"/>
              </w:rPr>
              <w:t>(8,136 )</w:t>
            </w:r>
          </w:p>
        </w:tc>
        <w:tc>
          <w:tcPr>
            <w:tcW w:w="4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(1,669 )</w:t>
            </w:r>
          </w:p>
        </w:tc>
        <w:tc>
          <w:tcPr>
            <w:tcW w:w="0" w:type="dxa"/>
            <w:vAlign w:val="bottom"/>
          </w:tcPr>
          <w:p>
            <w:pPr>
              <w:spacing w:after="0"/>
              <w:rPr>
                <w:sz w:val="1"/>
                <w:szCs w:val="1"/>
                <w:color w:val="auto"/>
              </w:rPr>
            </w:pPr>
          </w:p>
        </w:tc>
      </w:tr>
      <w:tr>
        <w:trPr>
          <w:trHeight w:val="202"/>
        </w:trPr>
        <w:tc>
          <w:tcPr>
            <w:tcW w:w="764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480"/>
              <w:spacing w:after="0" w:line="202" w:lineRule="exact"/>
              <w:rPr>
                <w:sz w:val="20"/>
                <w:szCs w:val="20"/>
                <w:color w:val="auto"/>
              </w:rPr>
            </w:pPr>
            <w:r>
              <w:rPr>
                <w:rFonts w:ascii="Arial" w:cs="Arial" w:eastAsia="Arial" w:hAnsi="Arial"/>
                <w:sz w:val="18"/>
                <w:szCs w:val="18"/>
                <w:color w:val="auto"/>
              </w:rPr>
              <w:t>Right-of-use assets and lease liabilities, net</w:t>
            </w:r>
          </w:p>
        </w:tc>
        <w:tc>
          <w:tcPr>
            <w:tcW w:w="360" w:type="dxa"/>
            <w:vAlign w:val="bottom"/>
          </w:tcPr>
          <w:p>
            <w:pPr>
              <w:spacing w:after="0"/>
              <w:rPr>
                <w:sz w:val="17"/>
                <w:szCs w:val="17"/>
                <w:color w:val="auto"/>
              </w:rPr>
            </w:pPr>
          </w:p>
        </w:tc>
        <w:tc>
          <w:tcPr>
            <w:tcW w:w="1460" w:type="dxa"/>
            <w:vAlign w:val="bottom"/>
            <w:gridSpan w:val="2"/>
          </w:tcPr>
          <w:p>
            <w:pPr>
              <w:jc w:val="right"/>
              <w:ind w:right="144"/>
              <w:spacing w:after="0" w:line="202" w:lineRule="exact"/>
              <w:rPr>
                <w:sz w:val="20"/>
                <w:szCs w:val="20"/>
                <w:color w:val="auto"/>
              </w:rPr>
            </w:pPr>
            <w:r>
              <w:rPr>
                <w:rFonts w:ascii="Arial" w:cs="Arial" w:eastAsia="Arial" w:hAnsi="Arial"/>
                <w:sz w:val="18"/>
                <w:szCs w:val="18"/>
                <w:color w:val="auto"/>
              </w:rPr>
              <w:t>(287 )</w:t>
            </w: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66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(117,772</w:t>
            </w:r>
          </w:p>
        </w:tc>
        <w:tc>
          <w:tcPr>
            <w:tcW w:w="28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(59,202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44"/>
              <w:spacing w:after="0" w:line="202" w:lineRule="exact"/>
              <w:rPr>
                <w:sz w:val="20"/>
                <w:szCs w:val="20"/>
                <w:color w:val="auto"/>
              </w:rPr>
            </w:pPr>
            <w:r>
              <w:rPr>
                <w:rFonts w:ascii="Arial" w:cs="Arial" w:eastAsia="Arial" w:hAnsi="Arial"/>
                <w:sz w:val="18"/>
                <w:szCs w:val="18"/>
                <w:color w:val="auto"/>
              </w:rPr>
              <w:t>(20,213 )</w:t>
            </w:r>
          </w:p>
        </w:tc>
        <w:tc>
          <w:tcPr>
            <w:tcW w:w="4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(17,600 )</w:t>
            </w: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7"/>
                <w:szCs w:val="17"/>
                <w:color w:val="auto"/>
              </w:rPr>
            </w:pPr>
          </w:p>
        </w:tc>
        <w:tc>
          <w:tcPr>
            <w:tcW w:w="1460" w:type="dxa"/>
            <w:vAlign w:val="bottom"/>
            <w:gridSpan w:val="2"/>
          </w:tcPr>
          <w:p>
            <w:pPr>
              <w:jc w:val="right"/>
              <w:ind w:right="144"/>
              <w:spacing w:after="0" w:line="202" w:lineRule="exact"/>
              <w:rPr>
                <w:sz w:val="20"/>
                <w:szCs w:val="20"/>
                <w:color w:val="auto"/>
              </w:rPr>
            </w:pPr>
            <w:r>
              <w:rPr>
                <w:rFonts w:ascii="Arial" w:cs="Arial" w:eastAsia="Arial" w:hAnsi="Arial"/>
                <w:sz w:val="18"/>
                <w:szCs w:val="18"/>
                <w:color w:val="auto"/>
              </w:rPr>
              <w:t>(196,115 )</w:t>
            </w:r>
          </w:p>
        </w:tc>
        <w:tc>
          <w:tcPr>
            <w:tcW w:w="4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(629,244 )</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249,589</w:t>
            </w:r>
          </w:p>
        </w:tc>
        <w:tc>
          <w:tcPr>
            <w:tcW w:w="2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173,584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66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33,261</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(473,260 )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 from equity incentive plans, net of issuance costs</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6,203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w w:val="93"/>
              </w:rPr>
              <w:t>Proceeds from public offering of common stock and issuance of pre-funded warrants, net of issuance</w:t>
            </w:r>
          </w:p>
        </w:tc>
        <w:tc>
          <w:tcPr>
            <w:tcW w:w="360" w:type="dxa"/>
            <w:vAlign w:val="bottom"/>
            <w:shd w:val="clear" w:color="auto" w:fill="CFF0FC"/>
          </w:tcPr>
          <w:p>
            <w:pPr>
              <w:spacing w:after="0"/>
              <w:rPr>
                <w:sz w:val="14"/>
                <w:szCs w:val="14"/>
                <w:color w:val="auto"/>
              </w:rPr>
            </w:pPr>
          </w:p>
        </w:tc>
        <w:tc>
          <w:tcPr>
            <w:tcW w:w="1460" w:type="dxa"/>
            <w:vAlign w:val="bottom"/>
            <w:gridSpan w:val="2"/>
            <w:vMerge w:val="restart"/>
            <w:shd w:val="clear" w:color="auto" w:fill="CFF0FC"/>
          </w:tcPr>
          <w:p>
            <w:pPr>
              <w:jc w:val="right"/>
              <w:ind w:right="224"/>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432,446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costs</w:t>
            </w:r>
          </w:p>
        </w:tc>
        <w:tc>
          <w:tcPr>
            <w:tcW w:w="360" w:type="dxa"/>
            <w:vAlign w:val="bottom"/>
            <w:shd w:val="clear" w:color="auto" w:fill="CFF0FC"/>
          </w:tcPr>
          <w:p>
            <w:pPr>
              <w:spacing w:after="0"/>
              <w:rPr>
                <w:sz w:val="17"/>
                <w:szCs w:val="17"/>
                <w:color w:val="auto"/>
              </w:rPr>
            </w:pPr>
          </w:p>
        </w:tc>
        <w:tc>
          <w:tcPr>
            <w:tcW w:w="1460" w:type="dxa"/>
            <w:vAlign w:val="bottom"/>
            <w:gridSpan w:val="2"/>
            <w:vMerge w:val="continue"/>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6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6,203</w:t>
            </w:r>
          </w:p>
        </w:tc>
        <w:tc>
          <w:tcPr>
            <w:tcW w:w="28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441,769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(78,308</w:t>
            </w:r>
          </w:p>
        </w:tc>
        <w:tc>
          <w:tcPr>
            <w:tcW w:w="28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w w:val="74"/>
              </w:rPr>
              <w:t>)</w:t>
            </w: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(90,693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148,810</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the period</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70,502</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91,881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Purchases of property and equipment in accounts payable</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1,469</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8"/>
                <w:szCs w:val="18"/>
                <w:color w:val="auto"/>
              </w:rPr>
              <w:t>Right-of use assets obtained in exchange for lease obligations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-1591310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-1591310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-965835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-965835</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-428625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-411480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-428625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Fate Therapeutics,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ind w:right="6080" w:firstLine="8"/>
        <w:spacing w:after="0" w:line="362" w:lineRule="auto"/>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 Organization</w:t>
      </w:r>
    </w:p>
    <w:p>
      <w:pPr>
        <w:spacing w:after="0" w:line="1"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Fate Therapeutics, Inc. (the Company) was incorporated in the state of Delaware on April 27, 2007, and has its principal operations in San Diego, California. The Company is a clinical-stage biopharmaceutical company dedicated to the development of programmed cellular immunotherapies for patients with cancer, including off-the-shelf natural killer (NK) and T-cell product candidates derived from clonal master engineered induced pluripotent stem cell (iPSC) lines.</w:t>
      </w:r>
    </w:p>
    <w:p>
      <w:pPr>
        <w:spacing w:after="0" w:line="80"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As of June 30, 2022, the Company has devoted substantially all of its efforts to product development, raising capital and building infrastructure and has not generated any revenues from any sales of its therapeutic products. To date, the Company’s revenues have been derived from collaboration agreements and government grants.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Equity Offerings</w:t>
      </w:r>
    </w:p>
    <w:p>
      <w:pPr>
        <w:spacing w:after="0" w:line="10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January 2021, the Company completed a public offering of common stock in which investors, certain of which are affiliated with a director of the Company, purchased 5.1 million shares of the Company’s common stock at a price of $85.50 per share under a shelf registration statement. In addition, the Company issued pre-funded warrants, in lieu of common stock to certain investors, to purchase 257,310 shares of the Company’s common stock (Pre-Funded Warrants). The purchase price of the Pre-Funded Warrants was $85.499 per Pre-Funded Warrant, which equals the per share public offering price for the shares of common stock less the $0.001 exercise price for each such Pre-Funded Warrant. See Note 8 for additional detail. Gross proceeds from the public offering and the issuance of the Pre-Funded Warrants were $460.0 million, and after giving effect to $27.6 million of costs related to the public offering and the issuance of Pre-Funded Warrants, net proceeds were $432.4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Company’s unaudited condensed consolidated financial statements are prepared in accordance with United States generally accepted accounting principles (U.S. GAAP). The preparation of the Company’s unaudited condensed consolidated financial statements requires management to make estimates and assumptions that impact the reported amounts of assets, liabilities, revenues and expenses and the disclosure of contingent assets and liabilities in the Company’s unaudited condensed consolidated financial statements and accompanying notes. The most significant estimates and assumptions in the Company’s unaudited condensed consolidated financial statements relate to its stock price appreciation milestone obligations, contracts containing leases, accrued expenses, stock-based compensation, and the estimated total costs expected to be incurred under the Company’s collaboration agreements. Although these estimates are based on the Company’s knowledge of current events and actions it may undertake in the future, actual results may ultimately materially differ from these estimates and assumptions.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08"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Due to the global outbreak of SARS-CoV-2, the strain of coronavirus that causes Coronavirus disease 2019 (COVID-19), the Company continued to experience impacts on certain aspects of its business, including its clinical trial, manufacturing, and research and development activities, during the six months ended June 30, 2022. For example, with the lifting of governmental stay-at-home orders, we have reopened each of our business locations for work onsite, but have also implemented flexible work arrangements in the interests of maintaining the health and safety of our employees. In addition, the COVID-19 pandemic has impacted the timing of our ongoing clinical studies, with slower site activation, patient enrollment and treatment in our clinical studies as a result of precautionary measures taken by some clinical trial sites to protect both site staff and patients from possible COVID-19 exposure. We have also experienced delays in obtaining equipment, materials, and supplies needed to maintain our operations and manufacture our product candidates as a result of production shortages experienced by our suppliers as a result of the COVID-19 pandemic. The scope and duration of these delays and disruptions, and the ultimate impacts of the ongoing COVID-19 pandemic on the Company’s operations, are currently unknown, and depend on continuously changing circumstances, including the emergence of new variants of the virus, such as the Omicron BA.4 and BA.5 variants. While certain measures have been relaxed in certain parts of the world as increasing numbers of people have received COVID-19 vaccines, others have remained in place with some areas continuing to experience renewed outbreaks and surges in infection rates. The extent to which such measures are removed or new measures are put in place will depend upon how the pandemic evolves, as well as the distribution of available vaccines, the rates at which they are administered and the emergence of new variants of the virus. The Company is continuing to actively monitor the situation and may take further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 w:name="page9"/>
    <w:bookmarkEnd w:id="8"/>
    <w:p>
      <w:pPr>
        <w:ind w:right="40"/>
        <w:spacing w:after="0" w:line="243" w:lineRule="auto"/>
        <w:rPr>
          <w:sz w:val="20"/>
          <w:szCs w:val="20"/>
          <w:color w:val="auto"/>
        </w:rPr>
      </w:pPr>
      <w:r>
        <w:rPr>
          <w:rFonts w:ascii="Arial" w:cs="Arial" w:eastAsia="Arial" w:hAnsi="Arial"/>
          <w:sz w:val="18"/>
          <w:szCs w:val="18"/>
          <w:color w:val="auto"/>
        </w:rPr>
        <w:t>precautionary and preemptive actions as may be required by federal, state or local authorities or that it determines are in the best interests of public health and safety and that of the Company’s patient community, employees, partners, and stockholders. The Company cannot predict the effects that such actions, or the impact of the ongoing COVID-19 pandemic on global business operations and economic conditions, may have on its business, strategy, collaborations, or financial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Fate Therapeutics Ltd., incorporated in the United Kingdom, Fate Therapeutics, B.V., incorporated in the Netherlands, and Tfinity Therapeutics, Inc., incorporated in the United States. To date, the aggregate operations of these subsidiaries have not been significant and all intercompany transactions and balances have been eliminated in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08" w:lineRule="exact"/>
        <w:rPr>
          <w:sz w:val="20"/>
          <w:szCs w:val="20"/>
          <w:color w:val="auto"/>
        </w:rPr>
      </w:pPr>
    </w:p>
    <w:p>
      <w:pPr>
        <w:ind w:right="180" w:firstLine="509"/>
        <w:spacing w:after="0" w:line="324" w:lineRule="auto"/>
        <w:rPr>
          <w:sz w:val="20"/>
          <w:szCs w:val="20"/>
          <w:color w:val="auto"/>
        </w:rPr>
      </w:pPr>
      <w:r>
        <w:rPr>
          <w:rFonts w:ascii="Arial" w:cs="Arial" w:eastAsia="Arial" w:hAnsi="Arial"/>
          <w:sz w:val="16"/>
          <w:szCs w:val="16"/>
          <w:color w:val="auto"/>
        </w:rPr>
        <w:t>Cash and cash equivalents include cash in readily available checking and savings accounts, money market accounts and money market funds. The Company considers all highly liquid investments with an original maturity of three months or less from the date of purchase to be cash equivalents.</w:t>
      </w:r>
    </w:p>
    <w:p>
      <w:pPr>
        <w:spacing w:after="0" w:line="1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unaudited condensed consolidated balance sheets that sum to the total of the same such amount shown in the unaudited condensed consolidated statements of cash flows as of June 30, 2022 and 2021 (in thousands):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55,275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76,654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15,227</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180" w:type="dxa"/>
            <w:vAlign w:val="bottom"/>
            <w:shd w:val="clear" w:color="auto" w:fill="CFF0FC"/>
          </w:tcPr>
          <w:p>
            <w:pPr>
              <w:ind w:left="180"/>
              <w:spacing w:after="0" w:line="156" w:lineRule="exact"/>
              <w:rPr>
                <w:sz w:val="20"/>
                <w:szCs w:val="20"/>
                <w:color w:val="auto"/>
              </w:rPr>
            </w:pPr>
            <w:r>
              <w:rPr>
                <w:rFonts w:ascii="Arial" w:cs="Arial" w:eastAsia="Arial" w:hAnsi="Arial"/>
                <w:sz w:val="18"/>
                <w:szCs w:val="18"/>
                <w:color w:val="auto"/>
              </w:rPr>
              <w:t>Total cash, cash equivalents, and restricted cash shown in the unaudited</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70,502</w:t>
            </w:r>
          </w:p>
        </w:tc>
        <w:tc>
          <w:tcPr>
            <w:tcW w:w="240" w:type="dxa"/>
            <w:vAlign w:val="bottom"/>
            <w:vMerge w:val="restart"/>
            <w:shd w:val="clear" w:color="auto" w:fill="CFF0FC"/>
          </w:tcPr>
          <w:p>
            <w:pPr>
              <w:spacing w:after="0"/>
              <w:rPr>
                <w:sz w:val="13"/>
                <w:szCs w:val="13"/>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91,881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80"/>
              <w:spacing w:after="0" w:line="156" w:lineRule="exact"/>
              <w:rPr>
                <w:sz w:val="20"/>
                <w:szCs w:val="20"/>
                <w:color w:val="auto"/>
              </w:rPr>
            </w:pPr>
            <w:r>
              <w:rPr>
                <w:rFonts w:ascii="Arial" w:cs="Arial" w:eastAsia="Arial" w:hAnsi="Arial"/>
                <w:sz w:val="18"/>
                <w:szCs w:val="18"/>
                <w:color w:val="auto"/>
              </w:rPr>
              <w:t>condensed consolidated statement of cash flows</w:t>
            </w:r>
          </w:p>
        </w:tc>
        <w:tc>
          <w:tcPr>
            <w:tcW w:w="280" w:type="dxa"/>
            <w:vAlign w:val="bottom"/>
            <w:tcBorders>
              <w:bottom w:val="single" w:sz="8" w:color="auto"/>
            </w:tcBorders>
            <w:vMerge w:val="continue"/>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vMerge w:val="continue"/>
            <w:shd w:val="clear" w:color="auto" w:fill="CFF0FC"/>
          </w:tcPr>
          <w:p>
            <w:pPr>
              <w:spacing w:after="0"/>
              <w:rPr>
                <w:sz w:val="18"/>
                <w:szCs w:val="18"/>
                <w:color w:val="auto"/>
              </w:rPr>
            </w:pPr>
          </w:p>
        </w:tc>
        <w:tc>
          <w:tcPr>
            <w:tcW w:w="280" w:type="dxa"/>
            <w:vAlign w:val="bottom"/>
            <w:tcBorders>
              <w:bottom w:val="single" w:sz="8" w:color="auto"/>
            </w:tcBorders>
            <w:vMerge w:val="continue"/>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6"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For each of the six months ended June 30, 2022 and 2021, the restricted cash balance includes cash-collateralized irrevocable standby letters of credit of $15.2 million associated with the Company’s facilities leases.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Investments are accounted for as available-for-sale securities and are carried at fair value on the unaudited condensed consolidated balance sheets. Upon initial recognition of the investment and at each reporting period, the Company evaluates whether any unrealized losses on investments are attributable to a credit loss or other factors. Any unrealized losses attributable to credit loss are recorded through an allowance for credit losses, limited to the amount by which the fair value is below amortized cost, with the offsetting amount recorded in other income or expense in the unaudited condensed consolidated statement of operations and comprehensive loss. Unrealized losses not attributable to an expected credit loss and unrealized gains on investments are recorded in other comprehensive income (loss) on the unaudited condensed consolidated statements of operations and comprehensive loss. Realized gains and losses, if any, on investments classified as available-for-sale securities are included in other income or expense.</w:t>
      </w:r>
    </w:p>
    <w:p>
      <w:pPr>
        <w:spacing w:after="0" w:line="5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amortized cost of investments classified as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08"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The accompanying interim condensed consolidated financial statements are unaudited. These unaudited interim condensed consolidated financial statements have been prepared in accordance with U.S. GAAP and following the requirements of the United States Securities and Exchange Commission (SEC) for interim reporting. As permitted under those rules, certain footnotes or other financial information that are normally required can be condensed or omitted. The interim unaudited condensed consolidated financial statements should be read in conjunction with the Company’s financial statements and accompanying notes for the fiscal year ended December 31, 2021, contained in the Company’s Annual Report on Form 10-K for the year ended December 31, 2021 filed by the Company with the SEC on February 28, 2022. In management’s opinion, the unaudited interim condensed consolidated financial statements have been prepared on the same basis as the audited financial statements and include all adjustments, which include only normal recurring adjustments, necessary for the fair presentation of the Company’s financial position and its results of operations and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 w:name="page10"/>
    <w:bookmarkEnd w:id="9"/>
    <w:p>
      <w:pPr>
        <w:ind w:right="20"/>
        <w:spacing w:after="0" w:line="261" w:lineRule="auto"/>
        <w:rPr>
          <w:sz w:val="20"/>
          <w:szCs w:val="20"/>
          <w:color w:val="auto"/>
        </w:rPr>
      </w:pPr>
      <w:r>
        <w:rPr>
          <w:rFonts w:ascii="Arial" w:cs="Arial" w:eastAsia="Arial" w:hAnsi="Arial"/>
          <w:sz w:val="18"/>
          <w:szCs w:val="18"/>
          <w:color w:val="auto"/>
        </w:rPr>
        <w:t>comprehensive loss and its cash flows for the periods presented. The results for the three and six months ended June 30, 2022 are not necessarily indicative of the results expected for the full fiscal year or any other interim period or any future year or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 The Company applies the revenue recognition standard, including the use of any practical expedients, consistently to contracts with similar characteristics and in similar circumstances.</w:t>
      </w:r>
    </w:p>
    <w:p>
      <w:pPr>
        <w:spacing w:after="0" w:line="83"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spacing w:after="0" w:line="5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83"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the Company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5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(or as) the Company transfers control of the product or the service applicable to such performance obligation.</w:t>
      </w:r>
    </w:p>
    <w:p>
      <w:pPr>
        <w:spacing w:after="0" w:line="80" w:lineRule="exact"/>
        <w:rPr>
          <w:sz w:val="20"/>
          <w:szCs w:val="20"/>
          <w:color w:val="auto"/>
        </w:rPr>
      </w:pPr>
    </w:p>
    <w:p>
      <w:pPr>
        <w:jc w:val="both"/>
        <w:ind w:right="100" w:firstLine="509"/>
        <w:spacing w:after="0" w:line="270" w:lineRule="auto"/>
        <w:rPr>
          <w:sz w:val="20"/>
          <w:szCs w:val="20"/>
          <w:color w:val="auto"/>
        </w:rPr>
      </w:pPr>
      <w:r>
        <w:rPr>
          <w:rFonts w:ascii="Arial" w:cs="Arial" w:eastAsia="Arial" w:hAnsi="Arial"/>
          <w:sz w:val="17"/>
          <w:szCs w:val="17"/>
          <w:color w:val="auto"/>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0" w:name="page11"/>
    <w:bookmarkEnd w:id="10"/>
    <w:p>
      <w:pPr>
        <w:ind w:right="60" w:firstLine="509"/>
        <w:spacing w:after="0" w:line="270" w:lineRule="auto"/>
        <w:rPr>
          <w:sz w:val="20"/>
          <w:szCs w:val="20"/>
          <w:color w:val="auto"/>
        </w:rPr>
      </w:pPr>
      <w:r>
        <w:rPr>
          <w:rFonts w:ascii="Arial" w:cs="Arial" w:eastAsia="Arial" w:hAnsi="Arial"/>
          <w:sz w:val="17"/>
          <w:szCs w:val="17"/>
          <w:color w:val="auto"/>
        </w:rPr>
        <w:t>The Company expenses incremental costs of obtaining and fulfilling a contract as and when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Appreciation Milestones</w:t>
      </w:r>
    </w:p>
    <w:p>
      <w:pPr>
        <w:spacing w:after="0" w:line="108" w:lineRule="exact"/>
        <w:rPr>
          <w:sz w:val="20"/>
          <w:szCs w:val="20"/>
          <w:color w:val="auto"/>
        </w:rPr>
      </w:pPr>
    </w:p>
    <w:p>
      <w:pPr>
        <w:ind w:right="80" w:firstLine="584"/>
        <w:spacing w:after="0" w:line="271" w:lineRule="auto"/>
        <w:rPr>
          <w:sz w:val="20"/>
          <w:szCs w:val="20"/>
          <w:color w:val="auto"/>
        </w:rPr>
      </w:pPr>
      <w:r>
        <w:rPr>
          <w:rFonts w:ascii="Arial" w:cs="Arial" w:eastAsia="Arial" w:hAnsi="Arial"/>
          <w:sz w:val="16"/>
          <w:szCs w:val="16"/>
          <w:color w:val="auto"/>
        </w:rPr>
        <w:t xml:space="preserve">The Company estimates the fair value of the stock price appreciation milestones associated with the Amended and Restated Exclusive License Agreement with Memorial Sloan Kettering Cancer Center (see Note 2), using a Monte Carlo simulation model, which relies on the Company’s current stock price as well as significant estimates and assumptions to determine the estimated liability associated with the contingent milestone payments. The Company accounts for the fair value of the stock price appreciation milestones in accordance with Accounting Standards Codification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with fair value marked-to-market at each reporting date. The assumptions used to calculate the fair value of the stock price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milestones are subject to a significant amount of judgment including the probability of achieving a specified clinical milestone, the expected volatility of the Company’s common stock, the risk-free interest rate, and the estimated term, which is based in part on the last valid patent claim date. The Company remeasures the fair value of the stock price appreciation milestones at each balance sheet date, with changes in fair value recorded in earnings as non-operating income or expense on the unaudited condensed consolidated statements of operations and comprehensive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Company determines if a contract contains a lease at the inception of the contract. The Company currently has leases related to its facilities leased for office and laboratory space, which are classified as operating leases. These leases result in operating right-of-use (ROU) assets, current operating lease liabilities, and non-current operating lease liabilities in the unaudited condensed consolidated balance sheets. The Company does not have any financing leases. Leases with a term of 12 months or less are considered short-term and ROU assets and lease obligations are not recognized. Payments associated with short-term leases are expensed on a straight-line basis over the lease term.</w:t>
      </w:r>
    </w:p>
    <w:p>
      <w:pPr>
        <w:spacing w:after="0" w:line="66"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Lease liabilities represent an obligation to make lease payments arising from the lease and ROU assets represent the right to use the underlying asset identified in the lease for the lease term. Lease liabilities are measured at the present value of the lease payments not yet paid discounted using the discount rate for the lease established at the lease commencement date. To determine the present value, the implicit rate is used when readily determinable. For those leases where the implicit rate is not provided, the Company 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 expense for operating leases is recognized on a straight-line basis over the lease term. The Company aggregates all lease and non-lease components for each class of underlying assets into a single lease component.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Retention Credit</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CARES Act provides an employee retention credit (“ERC”),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The Company qualifies for the tax credit under the CARES Act and expects to continue to receive additional tax credits under the additional relief provisions for qualified wages through December 31, 2021. In connection with the CARES Act, the Company adopted a policy to recognize the employee retention credit when received and include in other income in the statement of operations. Accordingly, the Company received a cash payment and recorded $0.4 million of other income during the three and six months ended June 30,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common stock based on the achievement of corporate performance goals and continued employment during the vesting period. At each reporting period, and to the extent achievement of one or any of the performance conditions is probable, the Company reassesses the probability of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right="240"/>
        <w:spacing w:after="0" w:line="262" w:lineRule="auto"/>
        <w:rPr>
          <w:sz w:val="20"/>
          <w:szCs w:val="20"/>
          <w:color w:val="auto"/>
        </w:rPr>
      </w:pPr>
      <w:r>
        <w:rPr>
          <w:rFonts w:ascii="Arial" w:cs="Arial" w:eastAsia="Arial" w:hAnsi="Arial"/>
          <w:sz w:val="17"/>
          <w:szCs w:val="17"/>
          <w:color w:val="auto"/>
        </w:rPr>
        <w:t>achievement of such corporate performance goals and any increase or decrease in share-based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spacing w:after="0" w:line="6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applies the relevant accounting standards to distinguish liabilities from equity when assessing the classification and measurement of preferred stock. Preferred shares subject to mandatory redemptions are considered liabilities and measured at fair value. Conditionally redeemable preferred shares are considered temporary equity. All other preferred shares are considered as stockholders’ equity.</w:t>
      </w:r>
    </w:p>
    <w:p>
      <w:pPr>
        <w:spacing w:after="0" w:line="56"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The Company applies the relevant accounting standards for derivatives and hedging (in addition to distinguishing liabilities from equity) when accounting for hybrid contracts that contain conversion options. Conversion options must be bifurcated from the host instruments and accounted for as free-standing financial instruments according to certain criteria. These criteria include circumstances when (i) the economic characteristics and risks of the embedded derivative instruments are not clearly and closely related to the economic characteristics and risks of the host contract, (ii) the hybrid instrument that embodies both the embedded derivative instrument and the host contract is not re-measured at fair value under otherwise applicable accounting principles with changes in fair value reported in earnings as they occurred, and (iii) a separate instrument with the same terms as the embedded derivative instrument would be considered a derivative instrument. The derivative is subsequently measured at fair value at each reporting date, with the changes in fair value reported in earnings.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08" w:lineRule="exact"/>
        <w:rPr>
          <w:sz w:val="20"/>
          <w:szCs w:val="20"/>
          <w:color w:val="auto"/>
        </w:rPr>
      </w:pPr>
    </w:p>
    <w:p>
      <w:pPr>
        <w:ind w:right="80" w:firstLine="509"/>
        <w:spacing w:after="0" w:line="209" w:lineRule="exact"/>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Other comprehensive loss includes unrealized gains and losses, other than losses attributable to a credit loss which are included in other income and expense, on investments classified as available-for-sale securities, which was the only difference between net loss and comprehensive loss for the applicable periods.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shares of common stock outstanding for the period, without consideration for common stock equivalents. The Pre-Funded Warrants associated with the January 2021 public equity offering (see Note 8) are considered outstanding shares in the basic earnings per share calculation given their nominal exercise price. Dilutive common stock equivalents for the periods presented include convertible preferred stock, warrants for the purchase of common stock, and common stock options and restricted stock units outstanding under the Company’s stock option and incentive plans. For all periods presented, there is no difference in the number of shares used to calculate basic and diluted shares outstanding due to the Company’s net loss position.</w:t>
      </w:r>
    </w:p>
    <w:p>
      <w:pPr>
        <w:spacing w:after="0" w:line="67" w:lineRule="exact"/>
        <w:rPr>
          <w:sz w:val="20"/>
          <w:szCs w:val="20"/>
          <w:color w:val="auto"/>
        </w:rPr>
      </w:pPr>
    </w:p>
    <w:p>
      <w:pPr>
        <w:ind w:right="440" w:firstLine="509"/>
        <w:spacing w:after="0" w:line="284" w:lineRule="auto"/>
        <w:rPr>
          <w:sz w:val="20"/>
          <w:szCs w:val="20"/>
          <w:color w:val="auto"/>
        </w:rPr>
      </w:pPr>
      <w:r>
        <w:rPr>
          <w:rFonts w:ascii="Arial" w:cs="Arial" w:eastAsia="Arial" w:hAnsi="Arial"/>
          <w:sz w:val="16"/>
          <w:szCs w:val="16"/>
          <w:color w:val="auto"/>
        </w:rPr>
        <w:t>For the three and six months ended June 30, 2022, the Company realized a net loss of $76.1 million and $141.8 million, respectively. Shares of potentially dilutive securities totaled 27.7 million for the three and six months ended June 30, 2022, including 14.0 million shares associated with a hypothetical conversion of all outstanding shares of the Company’s Class A convertible preferred stock, and an aggregate of 13.8 million shares of common stock issuable upon the exercise of outstanding stock options and the vesting of outstanding restricted stock units.</w:t>
      </w:r>
    </w:p>
    <w:p>
      <w:pPr>
        <w:spacing w:after="0" w:line="47"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For the three and six months ended June 30, 2021, the Company realized a net loss of $55.1 million and $100.2 million, respectively. Shares of potentially dilutive securities totaled 25.1 million for the three and six months ended June 30, 2021, including 14.0 million shares associated with a hypothetical conversion of all outstanding shares of the Company’s Class A convertible preferred stock, and an aggregate of 11.1 million shares of common stock issuable upon the exercise of outstanding stock options and the vesting of outstanding restricted stock units.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Going Concern Assessment</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Substantial doubt about an entity’s ability to continue as a going concern exists when relevant conditions and events, considered in the aggregate, indicate that it is probable that the entity will be unable to meet its obligations as they become due within one year from the financial statement issuance date. The Company determined that there are no conditions or events that raise substantial doubt about its ability to continue as a going concern for a period of at least twelve months from the date of issuance of these financial statements.</w:t>
      </w:r>
    </w:p>
    <w:p>
      <w:pPr>
        <w:spacing w:after="0" w:line="292" w:lineRule="exact"/>
        <w:rPr>
          <w:sz w:val="20"/>
          <w:szCs w:val="20"/>
          <w:color w:val="auto"/>
        </w:rPr>
      </w:pPr>
    </w:p>
    <w:p>
      <w:pPr>
        <w:ind w:right="7700" w:firstLine="8"/>
        <w:spacing w:after="0" w:line="407" w:lineRule="auto"/>
        <w:tabs>
          <w:tab w:leader="none" w:pos="3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License Agreements Janssen Collaboration and Option Agreement</w:t>
      </w:r>
    </w:p>
    <w:p>
      <w:pPr>
        <w:spacing w:after="0" w:line="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On April 2, 2020 (the Janssen Agreement Effective Date), the Company entered into a Collaboration and Option Agreement (the Janssen Agreement) with Janssen Biotech, Inc. (Janssen), part of the Janssen Pharmaceutical Companies of Johnson &amp; Johnson. Additionally, on the Janssen Agreement Effective Date, the Company entered into a Stock Purchase Agreement (the Stock Purchase Agreement) with Johnson &amp; Johnson Innovation – JJDC, Inc. (JJDC).</w:t>
      </w:r>
    </w:p>
    <w:p>
      <w:pPr>
        <w:spacing w:after="0" w:line="80"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Upon entering the Janssen Agreement, the Company received an upfront, non-refundable and non-creditable payment of $50.0 million. Under the Janssen Agreement, Janssen and the Company will collaborate to develop iPSC-derived CAR NK- and CAR T-cell product candidates for the treatment of cancer. Janssen will contribute proprietary antigen binding domains directed to up to four tumor-associated antigen targets (the Janssen Cancer Targets). The Company will research and construct iPSC-derived CAR NK- and CAR T-cell product candidates directed to each of the Janssen Cancer Targets (the Collaboration Candidates) and perform preclinical development of Collaboration Candidates. Upon the Company’s completion of activities sufficient to allow the filing of an Investigational New Drug (IND) application for a Collaboration Candidate, Janssen will have the right to exercise an exclusive option and obtain an exclusive license to the Company’s intellectual property rights for the development and commercialization of such Collaboration Candidate. Upon the exercise of such exclusive option, Janssen will be solely responsible for the worldwide clinical development and commercialization of such Collaboration Candidate, and the Company will be primarily responsible for the manufacture, at Janssen’s cost, of such Collaboration Candidate. For each Collaboration Candidate, upon attaining clinical proof-of-concept, the Company shall have the right to elect to co-commercialize and share equally in the profits and losses in the United States, subject to the Company sharing in certain development costs.</w:t>
      </w:r>
    </w:p>
    <w:p>
      <w:pPr>
        <w:spacing w:after="0" w:line="5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Under the Stock Purchase Agreement, the Company sold 1.6 million shares of common stock to JJDC at $31.00 per share, for an aggregate purchase price of approximately $50.0 million, on April 7, 2020. The Company determined that this common stock purchase represented a premium of $9.93 per share, or $16.0 million in aggregate (the Equity Premium), and the remaining $34.0 million was recorded as an issuance of common stock in shareholders’ equity.</w:t>
      </w:r>
    </w:p>
    <w:p>
      <w:pPr>
        <w:spacing w:after="0" w:line="80"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In addition, under the Stock Purchase Agreement, the Company had the right to require that JJDC purchase an aggregate of $50.0 million in shares of the Company’s common stock in a private placement at the same price per share as that paid by investors in a public offering. In June 2020, in connection with the Company’s June 2020 public offering, the Company exercised this right and JJDC purchased in a private placement 1.8 million shares of the Company’s common stock at a price of $28.31 per share, for aggregate proceeds of $50.0 million.</w:t>
      </w:r>
    </w:p>
    <w:p>
      <w:pPr>
        <w:spacing w:after="0" w:line="64"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Under the terms of the Janssen Agreement, the Company is entitled to receive full funding for all research, preclinical development and IND-enabling activities performed by the Company for Collaboration Candidates, and is eligible to receive (i) with respect to the first Janssen Cancer Target, payments of up to $898.0 million upon the achievement of specified development, regulatory and sales milestones (the Janssen Milestone Payments) for the first Collaboration Candidate, and up to $460.0 million in Janssen Milestone Payments for each additional Collaboration Candidate, directed to the first Janssen Cancer Target; and (ii) with respect to each of the second, third and fourth Janssen Cancer Targets, up to $706.0 million in Janssen Milestone Payments for each of the first Collaboration Candidates, and up to $340.0 million in Janssen Milestone Payments for each additional Collaboration Candidate, directed to the applicable Janssen Cancer Target, where certain Janssen Milestone Payments under (i) and (ii) are subject to reduction in the event the Company elects to co-commercialize and share equally in the profits and losses in the United States of a respective Collaboration Candidate. The Company is further eligible to receive double-digit tiered royalties ranging up to the mid-teens on net sales of Collaboration Candidates that are commercialized by Janssen under the Janssen Agreement, subject to reduction under certain circumstances.</w:t>
      </w:r>
    </w:p>
    <w:p>
      <w:pPr>
        <w:spacing w:after="0" w:line="63"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Janssen may terminate the Janssen Agreement with respect to one or more Janssen Cancer Targets, or in its entirety, at any time on or after the second anniversary of the Janssen Agreement Effective Date, and the Company may terminate the Janssen Agreement with respect to a particular Janssen Cancer Target if a Collaboration Candidate has not been selected for IND-enabling studies for such Janssen Cancer Target within specified time periods under certain conditions. The Janssen Agreement contains customary provisions for termination by either party in the event of a material breach of the Janssen Agreement, subject to cure, by the other party and in the event of any bankruptcy, insolvency or similar events with respect to the other party.</w:t>
      </w:r>
    </w:p>
    <w:p>
      <w:pPr>
        <w:spacing w:after="0" w:line="51"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 xml:space="preserve">The Company applied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and determined the Janssen Agreement is applicable to such guidance. The Company concluded that certain units of account within the Janssen Agreement represented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ind w:right="20"/>
        <w:spacing w:after="0" w:line="253" w:lineRule="auto"/>
        <w:rPr>
          <w:sz w:val="20"/>
          <w:szCs w:val="20"/>
          <w:color w:val="auto"/>
        </w:rPr>
      </w:pPr>
      <w:r>
        <w:rPr>
          <w:rFonts w:ascii="Arial" w:cs="Arial" w:eastAsia="Arial" w:hAnsi="Arial"/>
          <w:sz w:val="17"/>
          <w:szCs w:val="17"/>
          <w:color w:val="auto"/>
        </w:rPr>
        <w:t xml:space="preserve">customer relationship and applied relevant guidance from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to evaluate the appropriate accounting for the Janssen Agreement. In accordance with this guidance, the Company identified its potential performance obligations, including its grant of a license to Janssen to certain of its intellectual property subject to certain conditions, its conduct of research and development services, and its participation in various joint oversight committees. The Company determined that its grant of a license to Janssen to certain of its intellectual property subject to certain conditions was not distinct from other performance obligations because such grant is dependent on the conduct and results of the research and development services. Accordingly, the Company determined that its grant of a license to Janssen and its conduct of research and development services should be accounted for as one combined performance obligation, and that the combined performance obligation is transferred over the expected term of the conduct of the research and development services, which is estimated to be four years. Additionally, the Company determined that participation in the various joint oversight committees did not constitute a performance obligation as the Company’s participation in the various joint oversight committees does not transfer a service.</w:t>
      </w:r>
    </w:p>
    <w:p>
      <w:pPr>
        <w:spacing w:after="0" w:line="7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also assessed the effects of any variable elements under the Janssen Agreement. Such assessment evaluated, among other things, the funding to be received by the Company for its conduct of research and development services. Based on its assessment, the Company concluded that the total amount to be received by the Company for its conduct of research and development services is variable and cannot be readily estimated and, therefore, no amounts associated with such services were included in the initial transaction price. In addition, the Company also assessed its likelihood of receiving (i) preclinical milestones, (ii) various clinical, regulatory and commercial milestone payments, and (iii) royalties on net sales of the Collaboration Candidates. Based on the likelihood of receiving such milestone payments and royalties, no amounts associated with milestones or royalties were included in the initial transaction price.</w:t>
      </w:r>
    </w:p>
    <w:p>
      <w:pPr>
        <w:spacing w:after="0" w:line="83"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accordance with ASC 606, the Company determined that the initial transaction price under the Janssen Agreement equals $66.0 million, consisting of the upfront, non-refundable and non-creditable payment of $50.0 million and the Equity Premium of $16.0 million. The Company concluded that there was not a significant financing component under the Janssen Agreement. The upfront payment of $66.0 million was recorded as deferred revenue and is being recognized as revenue consistent with the Company’s efforts related to the conduct of research and development services, as the research and development services are the primary component of the combined performance obligation. Since the total amount to be received by the Company for its research and development services under the Janssen Agreement could not be readily estimated, revenue associated with the upfront payment will be recognized based on actual headcount utilized as a percentage of total headcount expected to be utilized over the expected term of the conduct of the research and development services. Revenue associated with the research and development services will be recognized in an amount equal to the actual costs incurred during the period in which the research and development services are performed by the Company.</w:t>
      </w:r>
    </w:p>
    <w:p>
      <w:pPr>
        <w:spacing w:after="0" w:line="61"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During the six months ended June 30, 2022, the Company achieved two additional research milestones under the Janssen Agreement and received two cash payments of $3.0 million each, for a total of $6.0 million received. In accordance with ASC 606, the Company determined that the milestone receivables represented an increase in the initial transaction price under the Janssen Agreement in the form of the receipt of variable consideration that was previously constrained. The Company recognized revenue associated with the milestone receivables in an amount equal to the proportional percentage of actual headcount incurred under the Janssen Agreement since its inception as a percentage of the total headcount expected to be utilized over the expected term of conduct of research and development services under the Janssen Agreement. The remaining unrecognized revenue associated with the milestones was recorded to deferred revenue, and is being recognized as revenue over the expected term of conduct of research and development services.</w:t>
      </w:r>
    </w:p>
    <w:p>
      <w:pPr>
        <w:spacing w:after="0" w:line="55"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On May 26, 2022, Janssen exercised a commercial option for a development candidate with respect to a particular Janssen Antigen (as defined under the Janssen Agreement). As a result, the Company received an Option Exercise Payment (as defined under the Janssen Agreement) of $10.0 million under the Janssen Agreement. The Company determined the exercise represented an option with no material right under the Janssen Agreement. The Company has not completed its performance obligations with respect to the exercise of the commercial option and accordingly, the Company has not recognized any revenue associated with the option exercise for the three months ended June 30, 2022. The cash received for the Option Exercise Payment was recorded to deferred revenue, and will be recognized as revenue upon completion of the performance obligations.</w:t>
      </w:r>
    </w:p>
    <w:p>
      <w:pPr>
        <w:spacing w:after="0" w:line="5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 xml:space="preserve">In connection with the Janssen Agreement, the Company has incurred $15.6 million in sublicense fees to certain of its existing licensors as of June 30, 2022. The $15.6 million in sublicense consideration represents an asset under ASC Topic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xml:space="preserve"> (ASC 340) and is amortized to research and development expense ratably with the Company’s revenue recognition under the Janssen Agreement. During the three months ended June 30, 2022 and 2021, the Company recognized $1.2 million and $0.7 million of such expense, respectively, and during the six months ended June 30, 2022 and 2021, the Company recognized $2.4 million and $1.1 million of such expense, respectively. As of June 30, 2022, the Janssen Agreement contract asset balance was $9.1 million.</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recognized revenue of $18.1 million and $34.1 million under the Janssen Agreement for the three and six months ended June 30, 2022, respectively. Such revenue comprised $11.4 million associated with research and development services and $6.7 million associated with the upfront fee and Equity Premium for the three months ended June 30, 2022, and $21.2 million associated with research and development services and $12.9 million associated with the upfront fee and Equity Premium for the six months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60"/>
        <w:spacing w:after="0" w:line="259" w:lineRule="auto"/>
        <w:rPr>
          <w:sz w:val="20"/>
          <w:szCs w:val="20"/>
          <w:color w:val="auto"/>
        </w:rPr>
      </w:pPr>
      <w:r>
        <w:rPr>
          <w:rFonts w:ascii="Arial" w:cs="Arial" w:eastAsia="Arial" w:hAnsi="Arial"/>
          <w:sz w:val="17"/>
          <w:szCs w:val="17"/>
          <w:color w:val="auto"/>
        </w:rPr>
        <w:t>ended June 30, 2022. The Company recognized revenue of $10.9 million and $19.5 million for the three and six months ended June 30, 2021, respectively. Such revenue comprised $7.1 million associated with research and development services and $3.8 million associated with the upfront fee and Equity Premium for the three months ended June 30, 2021, and $13.8 million associated with research and development services and $5.7 million associated with the upfront fee and Equity Premium for the six months ended June 30, 2021. As of June 30, 2022, aggregate deferred revenue related to the Janssen Agreement was $51.4 million, of which $33.7 million is classified as current.</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the Company has received $49.4 million in aggregate research and development fees from Janssen.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Ono Collaboration and Option Agreement</w:t>
      </w:r>
    </w:p>
    <w:p>
      <w:pPr>
        <w:spacing w:after="0" w:line="10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September 14, 2018 (the Ono Agreement Effective Date), the Company entered into a Collaboration and Option Agreement (the Ono Agreement) with Ono Pharmaceutical Co. Ltd. (Ono) for the joint development and commercialization of two off-the-shelf iPSC-derived chimeric antigen receptor (CAR) T-cell product candidates. The first off-the-shelf, iPSC-derived CAR T-cell candidate (Candidate 1) targets an antigen expressed on certain lymphoblastic leukemias, and the second off-the-shelf, iPSC-derived CAR T-cell candidate (Candidate 2) targets a novel antigen identified by Ono expressed on certain solid tumors (each a Candidate and collectively the Candidates).</w:t>
      </w:r>
    </w:p>
    <w:p>
      <w:pPr>
        <w:spacing w:after="0" w:line="8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On December 4, 2020, the Company and Ono entered into a letter agreement (the Ono Letter Agreement) in connection with the Ono Agreement. Pursuant to the Ono Letter Agreement, Ono delivered to the Company proprietary antigen binding domains targeting an antigen expressed on certain solid tumors and nominated such antigen binding domains as the Ono Antigen Binding Domain for incorporation into Candidate 2. In connection with such nomination and pursuant to the original agreement, in December 2020, Ono paid the Company a milestone fee of $10.0 million for further research and development of Candidate 2 and Ono maintains its option to this candidate. In addition, in connection with the Ono Letter Agreement, the Company and Ono agreed to the termination of the Ono Agreement with respect to Candidate 1. The Company retains all rights, in its sole discretion, to research, develop and commercialize Candidate 1 throughout the world without any obligation to Ono.</w:t>
      </w:r>
    </w:p>
    <w:p>
      <w:pPr>
        <w:spacing w:after="0" w:line="72"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Under the terms of the Ono Agreement, Ono paid the Company an upfront, non-refundable and non-creditable payment of $10.0 million in connection with entering into the Ono Agreement. Additionally, as consideration for the Company’s conduct of research and preclinical development under a joint development plan, Ono pays the Company annual research and development fees set forth in the annual budget included in the joint development plan, which fees are estimated to be $20.0 million in aggregate over the course of the joint development plan.</w:t>
      </w:r>
    </w:p>
    <w:p>
      <w:pPr>
        <w:spacing w:after="0" w:line="64"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On June 28, 2022, the Company and Ono entered into an amendment to the Ono Agreement (the Ono Amendment). Pursuant to the Ono Amendment, the Company and Ono expanded the scope of the collaboration to include the research and development of CAR-targeted natural killer (NK) cell candidates derived from engineered master induced pluripotent stem cells (iPSC). Additionally, pursuant to the Ono Amendment, the Company and Ono agreed that Ono will contribute novel binding domains targeting a second solid tumor antigen (Candidate 3). The Company will continue to receive committed research and development funding from Ono through September 2024, and the Company and Ono are jointly conducting research and development activities under a joint development plan, with the goal of advancing collaboration candidates targeting such solid tumor antigen to a pre-defined preclinical milestone. Under the Ono Amendment, aggregate estimated research and development fees have been increased by approximately $9.3 million, for a total estimated $29.3 million in aggregate research and development fees over the course of the joint development plan, subject to Ono exercising its option to continue the research term for a candidate targeting the second solid tumor antigen.</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Pursuant to the Ono Amendment, the Company and Ono are jointly conducting research and development activities under a joint development plan, with the goal of advancing Candidate 2 and Candidate 3 to a pre-defined preclinical milestone. The Company has granted to Ono, during a specified period of time, an option to obtain an exclusive license under certain intellectual property rights to develop and commercialize each remaining candidate in all territories of the world, with the Company retaining the right to co-develop and co-commercialize in the United States and Europe under a joint arrangement whereby it is eligible to share at least 50% of the profits and losses (the Option).</w:t>
      </w:r>
    </w:p>
    <w:p>
      <w:pPr>
        <w:spacing w:after="0" w:line="6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For each remaining candidate, the Option will expire upon the earliest of: (a) the achievement of the pre-defined preclinical milestone, (b) termination by Ono of research and development activities for the Candidate and (c) the date that is the later of (i) the end date of the defined research term for each respective candidate and (ii) completion of all applicable activities contemplated under the joint development plan (the Option Period). The Company has maintained worldwide rights of manufacture for each remaining candidate.</w:t>
      </w:r>
    </w:p>
    <w:p>
      <w:pPr>
        <w:spacing w:after="0" w:line="80"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Ono has agreed to pay the Company up to an additional $20.0 million, subject to the exercise by Ono of the Option (Option Exercise Fees) during the Option Period for Candidate 2 and/or Candidate 3. Such fees are in addition to the upfront payment, research and development fees, and the previously paid $10.0 million milestone associated with the Ono Letter Agreement.</w:t>
      </w:r>
    </w:p>
    <w:p>
      <w:pPr>
        <w:spacing w:after="0" w:line="7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Under the terms of the Ono Amendment, subject to Ono’s exercise of the Option for Candidate 2 or Candidate 3 and to the achievement of certain clinical, regulatory and commercial milestones (the Ono Milestones) with respect to the Candidate in specified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jc w:val="both"/>
        <w:spacing w:after="0" w:line="284" w:lineRule="auto"/>
        <w:rPr>
          <w:sz w:val="20"/>
          <w:szCs w:val="20"/>
          <w:color w:val="auto"/>
        </w:rPr>
      </w:pPr>
      <w:r>
        <w:rPr>
          <w:rFonts w:ascii="Arial" w:cs="Arial" w:eastAsia="Arial" w:hAnsi="Arial"/>
          <w:sz w:val="16"/>
          <w:szCs w:val="16"/>
          <w:color w:val="auto"/>
        </w:rPr>
        <w:t>territories, the Company is entitled to receive an aggregate of up to $843.0 million in additional milestone payments for each Candidate, with the applicable milestone payments for the United States and Europe subject to reduction by 50% if the Company elects to co-develop and co-commercialize the Candidate as described above. The Company is also eligible to receive tiered royalties (Royalties) ranging from the mid-single digits to the low-double digits based on annual net sales by Ono for each Candidate in specified territories, with such royalties subject to certain reductions.</w:t>
      </w:r>
    </w:p>
    <w:p>
      <w:pPr>
        <w:spacing w:after="0" w:line="47"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No milestone payments specific to Candidate 1 are payable under the Ono Agreement, given the termination of the agreement with respect to such candidate.</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Ono Agreement will terminate with respect to a Candidate if Ono does not exercise its Option for a Candidate within the Option Period, or in its entirety if Ono does not exercise any of its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Option Period, subject to certain limitations. The Ono Agreement will expire on a Candidate-by-Candidate and country-by-country basis upon the expiration of the applicable royalty term, or in its entirety upon the expiration of all applicable payment obligations under the Ono Agreement.</w:t>
      </w:r>
    </w:p>
    <w:p>
      <w:pPr>
        <w:spacing w:after="0" w:line="72"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The Company applied ASC 808 to the Ono Agreement, Ono Letter Agreement and Ono Amendment and determined that the agreements are applicable to such guidance. The Company concluded that certain units of account within the Ono Agreement and Ono Amendment represented a customer and applied relevant guidance from ASC 606 to evaluate the appropriate accounting for the Ono Agreement and the Ono Letter Agreement. In accordance with this guidance, the Company identified its performance obligations, including its grant of a license to Ono to certain of its intellectual property subject to certain conditions, its conduct of research services, and its participation in a joint steering committee. The Company determined that its grant of a license to Ono to certain of its intellectual property subject to certain conditions was not distinct from other performance obligations because such grant is dependent on the conduct and results of the research services. Additionally, the Company determined that its conduct of research services was not distinct from other performance obligations since such conduct is dependent on the guidance of the joint steering committee. Accordingly, the Company determined that all performance obligations should be accounted for as one combined performance obligation, and that the combined performance obligation is transferred over the expected term of the conduct of the research services, which is estimated to be four years. The termination of the Ono Agreement with respect to Candidate 1 did not impact this assessment.</w:t>
      </w:r>
    </w:p>
    <w:p>
      <w:pPr>
        <w:spacing w:after="0" w:line="78"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The Company also assessed, in connection with the upfront, non-refundable and non-creditable payment of $10.0 million received in September 2018 and the $5.0 million prepayment of the first-year research and development fees in October 2018, and concluded that there was not a significant financing component to the Ono Agreement.</w:t>
      </w:r>
    </w:p>
    <w:p>
      <w:pPr>
        <w:spacing w:after="0" w:line="74"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The Company also assessed the effects of any variable elements under the Ono Agreement and Ono Amendment. Such assessment evaluated, among other things, the likelihood of receiving (i) preclinical milestone and option fees, (ii) various clinical, regulatory and commercial milestone payments, and (iii) royalties on net sales of either product Candidate. Based on its assessment, the Company concluded that, based on the likelihood of these variable components occurring, there was not a significant variable element included in the transaction price. Accordingly, the Company has not assigned a transaction price to any Ono Option Milestone, Ono Milestones or Ono Option Exercise Fees, other than the $10.0 million milestone triggered as part of the Ono Letter Agreement in December 2020, given the substantial uncertainty related to their achievement and has not assigned a transaction price to any Ono Royalties.</w:t>
      </w:r>
    </w:p>
    <w:p>
      <w:pPr>
        <w:spacing w:after="0" w:line="72"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In accordance with ASC 606, the Company determined that the initial transaction price under the Ono Amendment equals $39.3 million, consisting of the upfront, non-refundable and non-creditable payment of $10.0 million and the aggregate estimated research and development fees of $29.3 million. The upfront payment of $10.0 million was recorded as deferred revenue and is being recognized as revenue over time in conjunction with the Company’s conduct of research services as the research services are the primary component of the combined performance obligations. Revenue associated with the upfront payment will be recognized based on actual costs incurred as a percentage of the estimated total costs expected to be incurred over the expected term of conduct of the research services. The Company recorded the $5.0 million prepayment of the first-year research and development fees as deferred revenue, and such fees were recognized as revenue as the research services were delivered.</w:t>
      </w:r>
    </w:p>
    <w:p>
      <w:pPr>
        <w:spacing w:after="0" w:line="55"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 accordance with ASC 606, the Company concluded that the $10.0 million milestone payment associated with the Ono Letter Agreement represented an increase in the initial transaction price under the Ono Agreement in the form of the receipt of variable consideration that was previously constrained. The Company recognized revenue associated with the $10.0 million milestone payment in an amount equal to the proportional percentage of actual costs incurred under the Ono Agreement as a percentage of the estimated total costs expected to be incurred over the expected term of conduct of the research services. The remaining unrecognized revenue associated with the $10.0 million milestone was recorded to deferred revenue and is being recognized as revenue over the expected term of conduct of research services.</w:t>
      </w:r>
    </w:p>
    <w:p>
      <w:pPr>
        <w:spacing w:after="0" w:line="67"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In connection with the Ono Agreement and the Ono Letter Agreement, the Company has incurred $4.0 million in sublicense fees to certain of its existing licensors as of June 30, 2022. The $4.0 million in sublicense consideration represents an asset under ASC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ind w:right="240"/>
        <w:spacing w:after="0" w:line="270" w:lineRule="auto"/>
        <w:rPr>
          <w:sz w:val="20"/>
          <w:szCs w:val="20"/>
          <w:color w:val="auto"/>
        </w:rPr>
      </w:pPr>
      <w:r>
        <w:rPr>
          <w:rFonts w:ascii="Arial" w:cs="Arial" w:eastAsia="Arial" w:hAnsi="Arial"/>
          <w:sz w:val="17"/>
          <w:szCs w:val="17"/>
          <w:color w:val="auto"/>
        </w:rPr>
        <w:t>340 and is being amortized to research and development expense ratably with the Company’s revenue recognition under the Ono Agreement. During the three months ended June 30, 2022 and 2021, the Company recognized no expense and $0.3 million of such expense, respectively, and during the six months ended June 30, 2022 and 2021, the Company recognized $0.3 million and $0.5 million of such expense, respectively.</w:t>
      </w:r>
    </w:p>
    <w:p>
      <w:pPr>
        <w:spacing w:after="0" w:line="5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Company recognized revenue of $0.4 million and $2.9 million under the Ono Agreement for the three and six months ended June 30, 2022, respectively. Such revenue comprised $0.2 million associated with research services and $0.2 million associated with the upfront payment for the three months ended June 30, 2022, and $1.4 million associated with research services and $1.5 million associated with upfront payment for the six months ended June 30, 2022. During the three and six months ended June 30, 2021, the Company recognized revenue of $2.5 million and $5.0 million, respectively under the Ono Agreement. Such revenue comprised $1.3 million associated with research services and $1.2 million associated with the upfront payment for the three months ended June 30, 2021, and $2.5 million associated with research services and $2.5 million associated with upfront payment for the six months ended June 30, 2021.</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the Company has received $18.0 million in aggregate research and development fees from Ono.</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 Cancer Center License Agreement</w:t>
      </w:r>
    </w:p>
    <w:p>
      <w:pPr>
        <w:spacing w:after="0" w:line="108"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On May 15, 2018, the Company entered into an Amended and Restated Exclusive License Agreement (the Amended MSK License) with Memorial Sloan Kettering Cancer Center (MSK). The Amended MSK License amends and restates the Exclusive License Agreement entered into between the Company and MSK on August 19, 2016 (the Original MSK License), pursuant to which the Company entered into an exclusive license agreement with MSK for rights relating to compositions and methods covering iPSC-derived cellular immunotherapy, including T-cells and NK-cells derived from iPSCs engineered with CARs.</w:t>
      </w:r>
    </w:p>
    <w:p>
      <w:pPr>
        <w:spacing w:after="0" w:line="81"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Pursuant to the Amended MSK License, MSK granted to the Company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 License, in which case it is obligated to pay MSK a percentage of certain sublicense income received by the Company.</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event a licensed product achieves a specified clinical milestone, MSK is then eligible to receive certain milestone payments totaling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$75.0 million based on the price of the Company’s common stock, where the amount of such payments owed to MSK is contingent upon certain increases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the price of the Company’s common stock following the date of achievement of such clinical milestone. These payments are based on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price multiples, with the numerator being the fair value of the ten-trading day trailing average closing price of the Company’s common stock and the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denominator being the ten-trading day trailing average closing price of the Company’s common stock as of the effective date of the Amended MSK</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License, adjusted for any stock splits, cash dividends, stock dividends, other distributions, combinations, recapitalizations, or similar events. Under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terms of the Amended MSK License, upon a change of control of the Company, in certain circumstances, the Company may be required to pay a portion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these payments to MSK based on the price of the Company’s common stock in connection with such change of control.</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common stock multiples and the stock price appreciation milestone payments under the terms of the agreement: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Common stock multiple</w:t>
            </w:r>
          </w:p>
        </w:tc>
        <w:tc>
          <w:tcPr>
            <w:tcW w:w="13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5.0x</w:t>
            </w: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10.0x</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15.0x</w:t>
            </w:r>
          </w:p>
        </w:tc>
        <w:tc>
          <w:tcPr>
            <w:tcW w:w="112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Ten-trading day trailing average common stock price</w:t>
            </w: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50.18</w:t>
            </w:r>
          </w:p>
        </w:tc>
        <w:tc>
          <w:tcPr>
            <w:tcW w:w="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100.36</w:t>
            </w:r>
          </w:p>
        </w:tc>
        <w:tc>
          <w:tcPr>
            <w:tcW w:w="4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150.54</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5"/>
              </w:rPr>
              <w:t>Stock price appreciation milestone payment (in millions)</w:t>
            </w:r>
          </w:p>
        </w:tc>
        <w:tc>
          <w:tcPr>
            <w:tcW w:w="1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20.0</w:t>
            </w:r>
          </w:p>
        </w:tc>
        <w:tc>
          <w:tcPr>
            <w:tcW w:w="4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30.0</w:t>
            </w:r>
          </w:p>
        </w:tc>
        <w:tc>
          <w:tcPr>
            <w:tcW w:w="4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25.0</w:t>
            </w:r>
          </w:p>
        </w:tc>
        <w:tc>
          <w:tcPr>
            <w:tcW w:w="1120" w:type="dxa"/>
            <w:vAlign w:val="bottom"/>
          </w:tcPr>
          <w:p>
            <w:pPr>
              <w:spacing w:after="0"/>
              <w:rPr>
                <w:sz w:val="17"/>
                <w:szCs w:val="17"/>
                <w:color w:val="auto"/>
              </w:rPr>
            </w:pPr>
          </w:p>
        </w:tc>
      </w:tr>
      <w:tr>
        <w:trPr>
          <w:trHeight w:val="635"/>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80" w:type="dxa"/>
            <w:vAlign w:val="bottom"/>
          </w:tcPr>
          <w:p>
            <w:pPr>
              <w:jc w:val="right"/>
              <w:ind w:right="97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right="240" w:firstLine="509"/>
        <w:spacing w:after="0" w:line="248" w:lineRule="auto"/>
        <w:rPr>
          <w:sz w:val="20"/>
          <w:szCs w:val="20"/>
          <w:color w:val="auto"/>
        </w:rPr>
      </w:pPr>
      <w:r>
        <w:rPr>
          <w:rFonts w:ascii="Arial" w:cs="Arial" w:eastAsia="Arial" w:hAnsi="Arial"/>
          <w:sz w:val="18"/>
          <w:szCs w:val="18"/>
          <w:color w:val="auto"/>
        </w:rPr>
        <w:t>In July 2021, the Company achieved the specified clinical milestone for a licensed product under the Amended MSK License and the Company’s ten-trading day trailing average common stock price exceeded the first, pre-specified threshold. As a result, the Company remitted the first milestone payment of $20.0 million to MSK during the year ended December 31, 2021.</w:t>
      </w:r>
    </w:p>
    <w:p>
      <w:pPr>
        <w:spacing w:after="0" w:line="74"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To determine the estimated fair value of the remaining stock price appreciation milestones, the Company uses a Monte Carlo simulation methodology which models future Company common stock prices based on the current stock price and several key variables. The following variables were incorporated in the calculation of the estimated fair value of the stock price appreciation milestones as of June 30, 2022:</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94"/>
              </w:rPr>
              <w:t>As of June 30,</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69"/>
        </w:trPr>
        <w:tc>
          <w:tcPr>
            <w:tcW w:w="604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78.3 %</w:t>
            </w:r>
          </w:p>
        </w:tc>
        <w:tc>
          <w:tcPr>
            <w:tcW w:w="300" w:type="dxa"/>
            <w:vAlign w:val="bottom"/>
          </w:tcPr>
          <w:p>
            <w:pPr>
              <w:spacing w:after="0"/>
              <w:rPr>
                <w:sz w:val="17"/>
                <w:szCs w:val="17"/>
                <w:color w:val="auto"/>
              </w:rPr>
            </w:pP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77.6 %</w:t>
            </w:r>
          </w:p>
        </w:tc>
        <w:tc>
          <w:tcPr>
            <w:tcW w:w="0" w:type="dxa"/>
            <w:vAlign w:val="bottom"/>
          </w:tcPr>
          <w:p>
            <w:pPr>
              <w:spacing w:after="0"/>
              <w:rPr>
                <w:sz w:val="1"/>
                <w:szCs w:val="1"/>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Estimated term (in years)</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Closing stock price as of remeasurement date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24.78</w:t>
            </w:r>
          </w:p>
        </w:tc>
        <w:tc>
          <w:tcPr>
            <w:tcW w:w="2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-531495</wp:posOffset>
            </wp:positionV>
            <wp:extent cx="570039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248" w:lineRule="exact"/>
        <w:rPr>
          <w:sz w:val="20"/>
          <w:szCs w:val="20"/>
          <w:color w:val="auto"/>
        </w:rPr>
      </w:pPr>
    </w:p>
    <w:p>
      <w:pPr>
        <w:jc w:val="both"/>
        <w:ind w:right="280" w:firstLine="509"/>
        <w:spacing w:after="0" w:line="271" w:lineRule="auto"/>
        <w:rPr>
          <w:sz w:val="20"/>
          <w:szCs w:val="20"/>
          <w:color w:val="auto"/>
        </w:rPr>
      </w:pPr>
      <w:r>
        <w:rPr>
          <w:rFonts w:ascii="Arial" w:cs="Arial" w:eastAsia="Arial" w:hAnsi="Arial"/>
          <w:sz w:val="16"/>
          <w:szCs w:val="16"/>
          <w:color w:val="auto"/>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measurement date; and the risk-free rate based on the U.S.</w:t>
      </w:r>
    </w:p>
    <w:p>
      <w:pPr>
        <w:jc w:val="both"/>
        <w:ind w:right="280"/>
        <w:spacing w:after="0" w:line="243" w:lineRule="auto"/>
        <w:rPr>
          <w:sz w:val="20"/>
          <w:szCs w:val="20"/>
          <w:color w:val="auto"/>
        </w:rPr>
      </w:pPr>
      <w:r>
        <w:rPr>
          <w:rFonts w:ascii="Arial" w:cs="Arial" w:eastAsia="Arial" w:hAnsi="Arial"/>
          <w:sz w:val="18"/>
          <w:szCs w:val="18"/>
          <w:color w:val="auto"/>
        </w:rPr>
        <w:t>Treasury yield for the estimated term determined. Fair value measurements are highly sensitive to changes in these inputs and significant changes could result in a significantly higher or lower fair value and resulting expense or gain.</w:t>
      </w:r>
    </w:p>
    <w:p>
      <w:pPr>
        <w:spacing w:after="0" w:line="7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At each balance sheet date, the Company remeasures the fair value of the stock price appreciation milestones, with changes in fair value recognized as a component of other income (expense) in the unaudited condensed consolidated statements of operations and comprehensive loss. Amounts are included in current or non-current liabilities based on the estimated timeline associated with the individual potential payments. During the three and six months ended June 30, 2022, the Company recorded $5.9 million and $14.2 million of income, respectively, associated with the change in fair value of the stock price appreciation milestones. As of June 30, 2022, the Company recorded a liability of $9.9 million associated with the stock price appreciation milestones for the Amended MSK License.</w:t>
      </w:r>
    </w:p>
    <w:p>
      <w:pPr>
        <w:spacing w:after="0" w:line="29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California Institute for Regenerative Medicine Award</w:t>
      </w:r>
    </w:p>
    <w:p>
      <w:pPr>
        <w:spacing w:after="0" w:line="108" w:lineRule="exact"/>
        <w:rPr>
          <w:sz w:val="20"/>
          <w:szCs w:val="20"/>
          <w:color w:val="auto"/>
        </w:rPr>
      </w:pPr>
    </w:p>
    <w:p>
      <w:pPr>
        <w:ind w:right="280" w:firstLine="509"/>
        <w:spacing w:after="0" w:line="276" w:lineRule="auto"/>
        <w:rPr>
          <w:sz w:val="20"/>
          <w:szCs w:val="20"/>
          <w:color w:val="auto"/>
        </w:rPr>
      </w:pPr>
      <w:r>
        <w:rPr>
          <w:rFonts w:ascii="Arial" w:cs="Arial" w:eastAsia="Arial" w:hAnsi="Arial"/>
          <w:sz w:val="16"/>
          <w:szCs w:val="16"/>
          <w:color w:val="auto"/>
        </w:rPr>
        <w:t>On April 5, 2018, the Company executed an award agreement with the California Institute for Regenerative Medicine (CIRM) pursuant to which CIRM awarded the Company $4.0 million to advance the Company’s FT516 product candidate into a first-in-human clinical trial for the treatment of subjects with advanced solid tumors, including in combination with monoclonal antibody therapy (the Award). Pursuant to the terms of the Award, the Company is eligible to receive five disbursements in varying amounts totaling $4.0 million, with one disbursement receivable upon the execution of the Award, and four disbursements receivable upon the completion of certain milestones throughout the project period. The Award is subject to certain co-funding requirements by the Company, and the Company is required to provide CIRM progress and financial update reports under the Award.</w:t>
      </w:r>
    </w:p>
    <w:p>
      <w:pPr>
        <w:spacing w:after="0" w:line="5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Pursuant to the terms of the Award, the Company, in its sole discretion, has the option to treat the Award either as a loan or as a grant. In the event the Company elects to treat the Award as a loan, the Company will be obligated to repay (i) 60%, (ii) 80%, (iii) 100% or (iv) 100% plus interest at 7% plus LIBOR, of the total Award to CIRM, where such repayment rate is dependent upon the phase of clinical development of FT516 at the time of the Company’s election. If the Company does not elect to treat the Award as a loan within 10 years of the date of the Award, the Award will be considered a grant and the Company will be obligated to pay to CIRM a royalty on commercial sales of FT516 until such royalty payments equal nine times the total amount awarded to the Company under the Award.</w:t>
      </w:r>
    </w:p>
    <w:p>
      <w:pPr>
        <w:spacing w:after="0" w:line="68" w:lineRule="exact"/>
        <w:rPr>
          <w:sz w:val="20"/>
          <w:szCs w:val="20"/>
          <w:color w:val="auto"/>
        </w:rPr>
      </w:pPr>
    </w:p>
    <w:p>
      <w:pPr>
        <w:jc w:val="both"/>
        <w:ind w:right="40" w:firstLine="509"/>
        <w:spacing w:after="0" w:line="231" w:lineRule="auto"/>
        <w:rPr>
          <w:sz w:val="20"/>
          <w:szCs w:val="20"/>
          <w:color w:val="auto"/>
        </w:rPr>
      </w:pPr>
      <w:r>
        <w:rPr>
          <w:rFonts w:ascii="Arial" w:cs="Arial" w:eastAsia="Arial" w:hAnsi="Arial"/>
          <w:sz w:val="18"/>
          <w:szCs w:val="18"/>
          <w:color w:val="auto"/>
        </w:rPr>
        <w:t>Since the Company may, at its election, repay some or all of the Award, the Company accounts for the Award as a liability until the time of election. As of June 30, 2022, the Company has received aggregate disbursements under the Award in the amount of $4.0 million. The aggregate amount received is recorded as a CIRM Liability on the accompanying unaudited condensed consolidated balance sheets and classified as current or non-current based on the potential amount payable within twelve months of the current balance sheet.</w:t>
      </w:r>
    </w:p>
    <w:p>
      <w:pPr>
        <w:spacing w:after="0" w:line="27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The Company invests portions of excess cash in United States treasuries, non-U.S. government securities, municipal securities, corporate debt securities and commercial paper with maturities ranging from three to thirty-six months from the purchase date. These securities are classified as short-term and long-term investments in the accompanying unaudited condensed consolidated balance sheets based on each security’s contractual maturity date and are accounted for as available-for-sale securities.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8" w:name="page19"/>
    <w:bookmarkEnd w:id="18"/>
    <w:p>
      <w:pPr>
        <w:ind w:right="320" w:firstLine="509"/>
        <w:spacing w:after="0" w:line="246" w:lineRule="auto"/>
        <w:rPr>
          <w:sz w:val="20"/>
          <w:szCs w:val="20"/>
          <w:color w:val="auto"/>
        </w:rPr>
      </w:pPr>
      <w:r>
        <w:rPr>
          <w:rFonts w:ascii="Arial" w:cs="Arial" w:eastAsia="Arial" w:hAnsi="Arial"/>
          <w:sz w:val="18"/>
          <w:szCs w:val="18"/>
          <w:color w:val="auto"/>
        </w:rPr>
        <w:t>The following table summarizes the Company’s investments accounted for as available-for-sale securities as of June 30, 2022 and December 31, 2021 (in thousands, except for maturity in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4"/>
                <w:szCs w:val="14"/>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4"/>
                <w:szCs w:val="14"/>
                <w:color w:val="auto"/>
              </w:rPr>
            </w:pPr>
          </w:p>
        </w:tc>
      </w:tr>
      <w:tr>
        <w:trPr>
          <w:trHeight w:val="185"/>
        </w:trPr>
        <w:tc>
          <w:tcPr>
            <w:tcW w:w="48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2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2022</w:t>
            </w:r>
          </w:p>
        </w:tc>
        <w:tc>
          <w:tcPr>
            <w:tcW w:w="10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4860" w:type="dxa"/>
            <w:vAlign w:val="bottom"/>
          </w:tcPr>
          <w:p>
            <w:pPr>
              <w:ind w:left="20"/>
              <w:spacing w:after="0"/>
              <w:rPr>
                <w:sz w:val="20"/>
                <w:szCs w:val="20"/>
                <w:color w:val="auto"/>
              </w:rPr>
            </w:pPr>
            <w:r>
              <w:rPr>
                <w:rFonts w:ascii="Arial" w:cs="Arial" w:eastAsia="Arial" w:hAnsi="Arial"/>
                <w:sz w:val="14"/>
                <w:szCs w:val="14"/>
                <w:color w:val="auto"/>
              </w:rPr>
              <w:t>Classified as current assets: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U.S. Treasury debt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(965 )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119,231</w:t>
            </w:r>
          </w:p>
        </w:tc>
        <w:tc>
          <w:tcPr>
            <w:tcW w:w="100" w:type="dxa"/>
            <w:vAlign w:val="bottom"/>
            <w:shd w:val="clear" w:color="auto" w:fill="CFF0FC"/>
          </w:tcPr>
          <w:p>
            <w:pPr>
              <w:spacing w:after="0"/>
              <w:rPr>
                <w:sz w:val="15"/>
                <w:szCs w:val="15"/>
                <w:color w:val="auto"/>
              </w:rPr>
            </w:pPr>
          </w:p>
        </w:tc>
      </w:tr>
      <w:tr>
        <w:trPr>
          <w:trHeight w:val="176"/>
        </w:trPr>
        <w:tc>
          <w:tcPr>
            <w:tcW w:w="4860" w:type="dxa"/>
            <w:vAlign w:val="bottom"/>
          </w:tcPr>
          <w:p>
            <w:pPr>
              <w:ind w:left="200"/>
              <w:spacing w:after="0"/>
              <w:rPr>
                <w:sz w:val="20"/>
                <w:szCs w:val="20"/>
                <w:color w:val="auto"/>
              </w:rPr>
            </w:pPr>
            <w:r>
              <w:rPr>
                <w:rFonts w:ascii="Arial" w:cs="Arial" w:eastAsia="Arial" w:hAnsi="Arial"/>
                <w:sz w:val="14"/>
                <w:szCs w:val="14"/>
                <w:color w:val="auto"/>
              </w:rPr>
              <w:t>Municipal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1 or less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19,939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(278 )</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19,661</w:t>
            </w:r>
          </w:p>
        </w:tc>
        <w:tc>
          <w:tcPr>
            <w:tcW w:w="100" w:type="dxa"/>
            <w:vAlign w:val="bottom"/>
          </w:tcPr>
          <w:p>
            <w:pPr>
              <w:spacing w:after="0"/>
              <w:rPr>
                <w:sz w:val="15"/>
                <w:szCs w:val="15"/>
                <w:color w:val="auto"/>
              </w:rPr>
            </w:pPr>
          </w:p>
        </w:tc>
      </w:tr>
      <w:tr>
        <w:trPr>
          <w:trHeight w:val="175"/>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Corporate debt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178,376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(1,657 )</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176,719</w:t>
            </w:r>
          </w:p>
        </w:tc>
        <w:tc>
          <w:tcPr>
            <w:tcW w:w="100" w:type="dxa"/>
            <w:vAlign w:val="bottom"/>
            <w:shd w:val="clear" w:color="auto" w:fill="CFF0FC"/>
          </w:tcPr>
          <w:p>
            <w:pPr>
              <w:spacing w:after="0"/>
              <w:rPr>
                <w:sz w:val="15"/>
                <w:szCs w:val="15"/>
                <w:color w:val="auto"/>
              </w:rPr>
            </w:pPr>
          </w:p>
        </w:tc>
      </w:tr>
      <w:tr>
        <w:trPr>
          <w:trHeight w:val="176"/>
        </w:trPr>
        <w:tc>
          <w:tcPr>
            <w:tcW w:w="4860" w:type="dxa"/>
            <w:vAlign w:val="bottom"/>
          </w:tcPr>
          <w:p>
            <w:pPr>
              <w:ind w:left="200"/>
              <w:spacing w:after="0"/>
              <w:rPr>
                <w:sz w:val="20"/>
                <w:szCs w:val="20"/>
                <w:color w:val="auto"/>
              </w:rPr>
            </w:pPr>
            <w:r>
              <w:rPr>
                <w:rFonts w:ascii="Arial" w:cs="Arial" w:eastAsia="Arial" w:hAnsi="Arial"/>
                <w:sz w:val="14"/>
                <w:szCs w:val="14"/>
                <w:color w:val="auto"/>
              </w:rPr>
              <w:t>Commercial paper</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1 or less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198,371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(407 )</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197,964</w:t>
            </w:r>
          </w:p>
        </w:tc>
        <w:tc>
          <w:tcPr>
            <w:tcW w:w="100" w:type="dxa"/>
            <w:vAlign w:val="bottom"/>
          </w:tcPr>
          <w:p>
            <w:pPr>
              <w:spacing w:after="0"/>
              <w:rPr>
                <w:sz w:val="15"/>
                <w:szCs w:val="15"/>
                <w:color w:val="auto"/>
              </w:rPr>
            </w:pPr>
          </w:p>
        </w:tc>
      </w:tr>
      <w:tr>
        <w:trPr>
          <w:trHeight w:val="209"/>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short-term investments</w:t>
            </w:r>
          </w:p>
        </w:tc>
        <w:tc>
          <w:tcPr>
            <w:tcW w:w="10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516,882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(3,307</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513,575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4860" w:type="dxa"/>
            <w:vAlign w:val="bottom"/>
          </w:tcPr>
          <w:p>
            <w:pPr>
              <w:ind w:left="20"/>
              <w:spacing w:after="0" w:line="156" w:lineRule="exact"/>
              <w:rPr>
                <w:sz w:val="20"/>
                <w:szCs w:val="20"/>
                <w:color w:val="auto"/>
              </w:rPr>
            </w:pPr>
            <w:r>
              <w:rPr>
                <w:rFonts w:ascii="Arial" w:cs="Arial" w:eastAsia="Arial" w:hAnsi="Arial"/>
                <w:sz w:val="14"/>
                <w:szCs w:val="14"/>
                <w:color w:val="auto"/>
              </w:rPr>
              <w:t>Classified as non-current assets:</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Corporate debt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Greater than 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12,035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(110 )</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11,925</w:t>
            </w:r>
          </w:p>
        </w:tc>
        <w:tc>
          <w:tcPr>
            <w:tcW w:w="100" w:type="dxa"/>
            <w:vAlign w:val="bottom"/>
            <w:shd w:val="clear" w:color="auto" w:fill="CFF0FC"/>
          </w:tcPr>
          <w:p>
            <w:pPr>
              <w:spacing w:after="0"/>
              <w:rPr>
                <w:sz w:val="15"/>
                <w:szCs w:val="15"/>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4860" w:type="dxa"/>
            <w:vAlign w:val="bottom"/>
          </w:tcPr>
          <w:p>
            <w:pPr>
              <w:ind w:left="380"/>
              <w:spacing w:after="0"/>
              <w:rPr>
                <w:sz w:val="20"/>
                <w:szCs w:val="20"/>
                <w:color w:val="auto"/>
              </w:rPr>
            </w:pPr>
            <w:r>
              <w:rPr>
                <w:rFonts w:ascii="Arial" w:cs="Arial" w:eastAsia="Arial" w:hAnsi="Arial"/>
                <w:sz w:val="14"/>
                <w:szCs w:val="14"/>
                <w:color w:val="auto"/>
              </w:rPr>
              <w:t>Total long-term investments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12,035</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(110 )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11,925</w:t>
            </w:r>
          </w:p>
        </w:tc>
        <w:tc>
          <w:tcPr>
            <w:tcW w:w="100" w:type="dxa"/>
            <w:vAlign w:val="bottom"/>
          </w:tcPr>
          <w:p>
            <w:pPr>
              <w:spacing w:after="0"/>
              <w:rPr>
                <w:sz w:val="14"/>
                <w:szCs w:val="14"/>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Classified as current assets:</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4860" w:type="dxa"/>
            <w:vAlign w:val="bottom"/>
          </w:tcPr>
          <w:p>
            <w:pPr>
              <w:ind w:left="200"/>
              <w:spacing w:after="0"/>
              <w:rPr>
                <w:sz w:val="20"/>
                <w:szCs w:val="20"/>
                <w:color w:val="auto"/>
              </w:rPr>
            </w:pPr>
            <w:r>
              <w:rPr>
                <w:rFonts w:ascii="Arial" w:cs="Arial" w:eastAsia="Arial" w:hAnsi="Arial"/>
                <w:sz w:val="14"/>
                <w:szCs w:val="14"/>
                <w:color w:val="auto"/>
              </w:rPr>
              <w:t>U.S. Treasury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1 or less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70,653</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(163 )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70,490</w:t>
            </w:r>
          </w:p>
        </w:tc>
        <w:tc>
          <w:tcPr>
            <w:tcW w:w="100" w:type="dxa"/>
            <w:vAlign w:val="bottom"/>
          </w:tcPr>
          <w:p>
            <w:pPr>
              <w:spacing w:after="0"/>
              <w:rPr>
                <w:sz w:val="15"/>
                <w:szCs w:val="15"/>
                <w:color w:val="auto"/>
              </w:rPr>
            </w:pPr>
          </w:p>
        </w:tc>
      </w:tr>
      <w:tr>
        <w:trPr>
          <w:trHeight w:val="176"/>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Municipal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18,017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(6 )</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18,012</w:t>
            </w:r>
          </w:p>
        </w:tc>
        <w:tc>
          <w:tcPr>
            <w:tcW w:w="100" w:type="dxa"/>
            <w:vAlign w:val="bottom"/>
            <w:shd w:val="clear" w:color="auto" w:fill="CFF0FC"/>
          </w:tcPr>
          <w:p>
            <w:pPr>
              <w:spacing w:after="0"/>
              <w:rPr>
                <w:sz w:val="15"/>
                <w:szCs w:val="15"/>
                <w:color w:val="auto"/>
              </w:rPr>
            </w:pPr>
          </w:p>
        </w:tc>
      </w:tr>
      <w:tr>
        <w:trPr>
          <w:trHeight w:val="175"/>
        </w:trPr>
        <w:tc>
          <w:tcPr>
            <w:tcW w:w="4860" w:type="dxa"/>
            <w:vAlign w:val="bottom"/>
          </w:tcPr>
          <w:p>
            <w:pPr>
              <w:ind w:left="200"/>
              <w:spacing w:after="0"/>
              <w:rPr>
                <w:sz w:val="20"/>
                <w:szCs w:val="20"/>
                <w:color w:val="auto"/>
              </w:rPr>
            </w:pPr>
            <w:r>
              <w:rPr>
                <w:rFonts w:ascii="Arial" w:cs="Arial" w:eastAsia="Arial" w:hAnsi="Arial"/>
                <w:sz w:val="14"/>
                <w:szCs w:val="14"/>
                <w:color w:val="auto"/>
              </w:rPr>
              <w:t>Corporate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1 or less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169,736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(187 )</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169,549</w:t>
            </w:r>
          </w:p>
        </w:tc>
        <w:tc>
          <w:tcPr>
            <w:tcW w:w="100" w:type="dxa"/>
            <w:vAlign w:val="bottom"/>
          </w:tcPr>
          <w:p>
            <w:pPr>
              <w:spacing w:after="0"/>
              <w:rPr>
                <w:sz w:val="15"/>
                <w:szCs w:val="15"/>
                <w:color w:val="auto"/>
              </w:rPr>
            </w:pPr>
          </w:p>
        </w:tc>
      </w:tr>
      <w:tr>
        <w:trPr>
          <w:trHeight w:val="176"/>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Commercial paper</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1 or less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224,333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(59 )</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224,276</w:t>
            </w:r>
          </w:p>
        </w:tc>
        <w:tc>
          <w:tcPr>
            <w:tcW w:w="100" w:type="dxa"/>
            <w:vAlign w:val="bottom"/>
            <w:shd w:val="clear" w:color="auto" w:fill="CFF0FC"/>
          </w:tcPr>
          <w:p>
            <w:pPr>
              <w:spacing w:after="0"/>
              <w:rPr>
                <w:sz w:val="15"/>
                <w:szCs w:val="15"/>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4860" w:type="dxa"/>
            <w:vAlign w:val="bottom"/>
          </w:tcPr>
          <w:p>
            <w:pPr>
              <w:ind w:left="380"/>
              <w:spacing w:after="0"/>
              <w:rPr>
                <w:sz w:val="20"/>
                <w:szCs w:val="20"/>
                <w:color w:val="auto"/>
              </w:rPr>
            </w:pPr>
            <w:r>
              <w:rPr>
                <w:rFonts w:ascii="Arial" w:cs="Arial" w:eastAsia="Arial" w:hAnsi="Arial"/>
                <w:sz w:val="14"/>
                <w:szCs w:val="14"/>
                <w:color w:val="auto"/>
              </w:rPr>
              <w:t>Total short-term investments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482,739</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(415 )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482,327</w:t>
            </w:r>
          </w:p>
        </w:tc>
        <w:tc>
          <w:tcPr>
            <w:tcW w:w="100" w:type="dxa"/>
            <w:vAlign w:val="bottom"/>
          </w:tcPr>
          <w:p>
            <w:pPr>
              <w:spacing w:after="0"/>
              <w:rPr>
                <w:sz w:val="14"/>
                <w:szCs w:val="14"/>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8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Classified as non-current assets:</w:t>
            </w: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4860" w:type="dxa"/>
            <w:vAlign w:val="bottom"/>
          </w:tcPr>
          <w:p>
            <w:pPr>
              <w:ind w:left="200"/>
              <w:spacing w:after="0"/>
              <w:rPr>
                <w:sz w:val="20"/>
                <w:szCs w:val="20"/>
                <w:color w:val="auto"/>
              </w:rPr>
            </w:pPr>
            <w:r>
              <w:rPr>
                <w:rFonts w:ascii="Arial" w:cs="Arial" w:eastAsia="Arial" w:hAnsi="Arial"/>
                <w:sz w:val="14"/>
                <w:szCs w:val="14"/>
                <w:color w:val="auto"/>
              </w:rPr>
              <w:t>U.S. Treasury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Greater than 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9,989</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(35 )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9,954</w:t>
            </w:r>
          </w:p>
        </w:tc>
        <w:tc>
          <w:tcPr>
            <w:tcW w:w="100" w:type="dxa"/>
            <w:vAlign w:val="bottom"/>
          </w:tcPr>
          <w:p>
            <w:pPr>
              <w:spacing w:after="0"/>
              <w:rPr>
                <w:sz w:val="15"/>
                <w:szCs w:val="15"/>
                <w:color w:val="auto"/>
              </w:rPr>
            </w:pPr>
          </w:p>
        </w:tc>
      </w:tr>
      <w:tr>
        <w:trPr>
          <w:trHeight w:val="175"/>
        </w:trPr>
        <w:tc>
          <w:tcPr>
            <w:tcW w:w="4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Municipal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Greater than 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(42 )</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8,992</w:t>
            </w:r>
          </w:p>
        </w:tc>
        <w:tc>
          <w:tcPr>
            <w:tcW w:w="100" w:type="dxa"/>
            <w:vAlign w:val="bottom"/>
            <w:shd w:val="clear" w:color="auto" w:fill="CFF0FC"/>
          </w:tcPr>
          <w:p>
            <w:pPr>
              <w:spacing w:after="0"/>
              <w:rPr>
                <w:sz w:val="15"/>
                <w:szCs w:val="15"/>
                <w:color w:val="auto"/>
              </w:rPr>
            </w:pPr>
          </w:p>
        </w:tc>
      </w:tr>
      <w:tr>
        <w:trPr>
          <w:trHeight w:val="176"/>
        </w:trPr>
        <w:tc>
          <w:tcPr>
            <w:tcW w:w="4860" w:type="dxa"/>
            <w:vAlign w:val="bottom"/>
          </w:tcPr>
          <w:p>
            <w:pPr>
              <w:ind w:left="200"/>
              <w:spacing w:after="0"/>
              <w:rPr>
                <w:sz w:val="20"/>
                <w:szCs w:val="20"/>
                <w:color w:val="auto"/>
              </w:rPr>
            </w:pPr>
            <w:r>
              <w:rPr>
                <w:rFonts w:ascii="Arial" w:cs="Arial" w:eastAsia="Arial" w:hAnsi="Arial"/>
                <w:sz w:val="14"/>
                <w:szCs w:val="14"/>
                <w:color w:val="auto"/>
              </w:rPr>
              <w:t>Corporate debt securities</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Greater than 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81,989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(271 )</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81,718</w:t>
            </w:r>
          </w:p>
        </w:tc>
        <w:tc>
          <w:tcPr>
            <w:tcW w:w="100" w:type="dxa"/>
            <w:vAlign w:val="bottom"/>
          </w:tcPr>
          <w:p>
            <w:pPr>
              <w:spacing w:after="0"/>
              <w:rPr>
                <w:sz w:val="15"/>
                <w:szCs w:val="15"/>
                <w:color w:val="auto"/>
              </w:rPr>
            </w:pPr>
          </w:p>
        </w:tc>
      </w:tr>
      <w:tr>
        <w:trPr>
          <w:trHeight w:val="209"/>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long-term investments</w:t>
            </w:r>
          </w:p>
        </w:tc>
        <w:tc>
          <w:tcPr>
            <w:tcW w:w="10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101,012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100,664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-1910715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-1893570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-1910715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-1893570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-1910715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-1893570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-1659255</wp:posOffset>
            </wp:positionV>
            <wp:extent cx="7747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-1659255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-1659255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-1659255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-733425</wp:posOffset>
            </wp:positionV>
            <wp:extent cx="7747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-733425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-733425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-733425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ind w:right="500" w:firstLine="509"/>
        <w:spacing w:after="0" w:line="246" w:lineRule="auto"/>
        <w:rPr>
          <w:sz w:val="20"/>
          <w:szCs w:val="20"/>
          <w:color w:val="auto"/>
        </w:rPr>
      </w:pPr>
      <w:r>
        <w:rPr>
          <w:rFonts w:ascii="Arial" w:cs="Arial" w:eastAsia="Arial" w:hAnsi="Arial"/>
          <w:sz w:val="18"/>
          <w:szCs w:val="18"/>
          <w:color w:val="auto"/>
        </w:rPr>
        <w:t>As of June 30, 2022 and December 31, 2021, the Company had $1.0 million and $1.1 million, respectively, of accrued interest on investments recorded in prepaid expenses and other assets on the unaudited condensed consolidated balance sheets.</w:t>
      </w:r>
    </w:p>
    <w:p>
      <w:pPr>
        <w:spacing w:after="0" w:line="62" w:lineRule="exact"/>
        <w:rPr>
          <w:sz w:val="20"/>
          <w:szCs w:val="20"/>
          <w:color w:val="auto"/>
        </w:rPr>
      </w:pPr>
    </w:p>
    <w:p>
      <w:pPr>
        <w:ind w:right="200" w:firstLine="509"/>
        <w:spacing w:after="0" w:line="235" w:lineRule="auto"/>
        <w:rPr>
          <w:sz w:val="20"/>
          <w:szCs w:val="20"/>
          <w:color w:val="auto"/>
        </w:rPr>
      </w:pPr>
      <w:r>
        <w:rPr>
          <w:rFonts w:ascii="Arial" w:cs="Arial" w:eastAsia="Arial" w:hAnsi="Arial"/>
          <w:sz w:val="18"/>
          <w:szCs w:val="18"/>
          <w:color w:val="auto"/>
        </w:rPr>
        <w:t>The following tables present gross unrealized losses and fair values for those investments that were in an unrealized loss position as of June 30, 2022 and December 31, 2021, aggregated by investment category and the length of time that individual securities have been in a continuous loss position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12 Months or Greater</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Total</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53"/>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3"/>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84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r>
      <w:tr>
        <w:trPr>
          <w:trHeight w:val="185"/>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Losses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Losses</w:t>
            </w:r>
          </w:p>
        </w:tc>
      </w:tr>
      <w:tr>
        <w:trPr>
          <w:trHeight w:val="196"/>
        </w:trPr>
        <w:tc>
          <w:tcPr>
            <w:tcW w:w="4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June 30, 2022</w:t>
            </w: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ind w:left="120"/>
              <w:spacing w:after="0" w:line="202" w:lineRule="exact"/>
              <w:rPr>
                <w:sz w:val="20"/>
                <w:szCs w:val="20"/>
                <w:color w:val="auto"/>
              </w:rPr>
            </w:pPr>
            <w:r>
              <w:rPr>
                <w:rFonts w:ascii="Arial" w:cs="Arial" w:eastAsia="Arial" w:hAnsi="Arial"/>
                <w:sz w:val="18"/>
                <w:szCs w:val="18"/>
                <w:color w:val="auto"/>
              </w:rPr>
              <w:t>U.S. Treasury debt securities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119,232</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(965 )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119,232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(965 )</w:t>
            </w:r>
          </w:p>
        </w:tc>
      </w:tr>
      <w:tr>
        <w:trPr>
          <w:trHeight w:val="203"/>
        </w:trPr>
        <w:tc>
          <w:tcPr>
            <w:tcW w:w="45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19,661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(278 )</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19,661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(278 )</w:t>
            </w:r>
          </w:p>
        </w:tc>
      </w:tr>
      <w:tr>
        <w:trPr>
          <w:trHeight w:val="203"/>
        </w:trPr>
        <w:tc>
          <w:tcPr>
            <w:tcW w:w="4560" w:type="dxa"/>
            <w:vAlign w:val="bottom"/>
          </w:tcPr>
          <w:p>
            <w:pPr>
              <w:ind w:left="120"/>
              <w:spacing w:after="0" w:line="202" w:lineRule="exact"/>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150,489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(1,734 )</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31,154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(33 )</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181,643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(1,767 )</w:t>
            </w:r>
          </w:p>
        </w:tc>
      </w:tr>
      <w:tr>
        <w:trPr>
          <w:trHeight w:val="203"/>
        </w:trPr>
        <w:tc>
          <w:tcPr>
            <w:tcW w:w="45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84,465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(407 )</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84,465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(407 )</w:t>
            </w:r>
          </w:p>
        </w:tc>
      </w:tr>
      <w:tr>
        <w:trPr>
          <w:trHeight w:val="20"/>
        </w:trPr>
        <w:tc>
          <w:tcPr>
            <w:tcW w:w="45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560" w:type="dxa"/>
            <w:vAlign w:val="bottom"/>
          </w:tcPr>
          <w:p>
            <w:pPr>
              <w:ind w:left="30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373,847</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(3,384 )</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31,154</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(33 )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405,001</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(3,417 )</w:t>
            </w:r>
          </w:p>
        </w:tc>
      </w:tr>
      <w:tr>
        <w:trPr>
          <w:trHeight w:val="20"/>
        </w:trPr>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U.S. Treasury debt securities</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80,444</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(198 )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80,444</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(198 )</w:t>
            </w:r>
          </w:p>
        </w:tc>
      </w:tr>
      <w:tr>
        <w:trPr>
          <w:trHeight w:val="203"/>
        </w:trPr>
        <w:tc>
          <w:tcPr>
            <w:tcW w:w="4560" w:type="dxa"/>
            <w:vAlign w:val="bottom"/>
          </w:tcPr>
          <w:p>
            <w:pPr>
              <w:ind w:left="120"/>
              <w:spacing w:after="0" w:line="202" w:lineRule="exact"/>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23,352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(48 )</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23,352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(48 )</w:t>
            </w:r>
          </w:p>
        </w:tc>
      </w:tr>
      <w:tr>
        <w:trPr>
          <w:trHeight w:val="203"/>
        </w:trPr>
        <w:tc>
          <w:tcPr>
            <w:tcW w:w="45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250,467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(458 )</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250,467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(458 )</w:t>
            </w:r>
          </w:p>
        </w:tc>
      </w:tr>
      <w:tr>
        <w:trPr>
          <w:trHeight w:val="203"/>
        </w:trPr>
        <w:tc>
          <w:tcPr>
            <w:tcW w:w="4560" w:type="dxa"/>
            <w:vAlign w:val="bottom"/>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59,863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(59 )</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59,863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(59 )</w:t>
            </w:r>
          </w:p>
        </w:tc>
      </w:tr>
      <w:tr>
        <w:trPr>
          <w:trHeight w:val="236"/>
        </w:trPr>
        <w:tc>
          <w:tcPr>
            <w:tcW w:w="456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414,126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(763</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414,126</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-1093470</wp:posOffset>
            </wp:positionV>
            <wp:extent cx="768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-1093470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-1093470</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-1093470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-1093470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-1093470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The Company reviews its investment holdings at the end of each reporting period and evaluates any unrealized losses using the expected credit loss model to determine if the unrealized loss is a result of a credit loss or other factors. The Company also evaluates its investment holdings for impairment using a variety of factors including the Company’s intent to sell the underlying securities prior to maturity and whether it is more likely than not that the Company would be required to sell the securities before the recovery of their amortized basis. During each of the three and six months ended June 30, 2022 and 2021, the Company did not recognize any impairment or realized gains or losses on sales of investments, and the Company did not record an allowance for, or recognize, any expected credit losses.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9" w:name="page20"/>
    <w:bookmarkEnd w:id="19"/>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Company’s financial instruments consist primarily of cash and cash equivalents, marketable securities, accounts receivable, stock price appreciation milestones, accounts payable, and accrued liabilities. The carrying amounts of accounts receivable, accounts payable and accrued liabilities are considered to be representative of their respective fair values because of the relatively short-term nature of those instruments.</w:t>
      </w:r>
    </w:p>
    <w:p>
      <w:pPr>
        <w:spacing w:after="0" w:line="70"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15"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securities within the fair value hierarchy.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6"/>
          <w:szCs w:val="16"/>
          <w:color w:val="auto"/>
        </w:rPr>
        <w:t>The following table presents the Company’s financial assets and liabilities measured at fair value on a recurring basis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7"/>
          </w:tcPr>
          <w:p>
            <w:pPr>
              <w:jc w:val="center"/>
              <w:ind w:right="14"/>
              <w:spacing w:after="0"/>
              <w:rPr>
                <w:sz w:val="20"/>
                <w:szCs w:val="20"/>
                <w:color w:val="auto"/>
              </w:rPr>
            </w:pPr>
            <w:r>
              <w:rPr>
                <w:rFonts w:ascii="Arial" w:cs="Arial" w:eastAsia="Arial" w:hAnsi="Arial"/>
                <w:sz w:val="14"/>
                <w:szCs w:val="14"/>
                <w:b w:val="1"/>
                <w:bCs w:val="1"/>
                <w:color w:val="auto"/>
                <w:w w:val="93"/>
              </w:rPr>
              <w:t>Fair Value Measurements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left="34"/>
              <w:spacing w:after="0"/>
              <w:rPr>
                <w:sz w:val="20"/>
                <w:szCs w:val="20"/>
                <w:color w:val="auto"/>
              </w:rPr>
            </w:pPr>
            <w:r>
              <w:rPr>
                <w:rFonts w:ascii="Arial" w:cs="Arial" w:eastAsia="Arial" w:hAnsi="Arial"/>
                <w:sz w:val="14"/>
                <w:szCs w:val="14"/>
                <w:b w:val="1"/>
                <w:bCs w:val="1"/>
                <w:color w:val="auto"/>
                <w:w w:val="93"/>
              </w:rPr>
              <w:t>Reporting Date Using</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 of June 30, 2022</w:t>
            </w: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Financial assets: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55,275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55,275</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U.S. Treasury debt securities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119,232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119,232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19,661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19,661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188,643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188,643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197,964</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197,964</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360"/>
              <w:spacing w:after="0" w:line="196" w:lineRule="exact"/>
              <w:rPr>
                <w:sz w:val="20"/>
                <w:szCs w:val="20"/>
                <w:color w:val="auto"/>
              </w:rPr>
            </w:pPr>
            <w:r>
              <w:rPr>
                <w:rFonts w:ascii="Arial" w:cs="Arial" w:eastAsia="Arial" w:hAnsi="Arial"/>
                <w:sz w:val="18"/>
                <w:szCs w:val="18"/>
                <w:color w:val="auto"/>
                <w:w w:val="92"/>
              </w:rPr>
              <w:t>Total financial assets measured at fair value on a recurring basis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580,775</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174,507</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406,268</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Financial liabilities: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Stock price appreciation milestones</w:t>
            </w:r>
          </w:p>
        </w:tc>
        <w:tc>
          <w:tcPr>
            <w:tcW w:w="2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9,928</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360"/>
              <w:spacing w:after="0" w:line="156" w:lineRule="exact"/>
              <w:rPr>
                <w:sz w:val="20"/>
                <w:szCs w:val="20"/>
                <w:color w:val="auto"/>
              </w:rPr>
            </w:pPr>
            <w:r>
              <w:rPr>
                <w:rFonts w:ascii="Arial" w:cs="Arial" w:eastAsia="Arial" w:hAnsi="Arial"/>
                <w:sz w:val="18"/>
                <w:szCs w:val="18"/>
                <w:color w:val="auto"/>
                <w:w w:val="98"/>
              </w:rPr>
              <w:t>Total financial liabilities measured at fair value on a recurring</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9,928</w:t>
            </w:r>
          </w:p>
        </w:tc>
        <w:tc>
          <w:tcPr>
            <w:tcW w:w="2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9,928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60"/>
              <w:spacing w:after="0" w:line="156" w:lineRule="exact"/>
              <w:rPr>
                <w:sz w:val="20"/>
                <w:szCs w:val="20"/>
                <w:color w:val="auto"/>
              </w:rPr>
            </w:pPr>
            <w:r>
              <w:rPr>
                <w:rFonts w:ascii="Arial" w:cs="Arial" w:eastAsia="Arial" w:hAnsi="Arial"/>
                <w:sz w:val="18"/>
                <w:szCs w:val="18"/>
                <w:color w:val="auto"/>
              </w:rPr>
              <w:t>basis</w:t>
            </w: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b w:val="1"/>
                <w:bCs w:val="1"/>
                <w:color w:val="auto"/>
              </w:rPr>
              <w:t>As of December 31, 2021</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Financial assets: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133,583</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133,583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debt securities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80,444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80,444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27,004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27,004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251,267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251,267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224,276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224,276</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 measured at fair value on a recurring basis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716,574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214,027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502,547</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Financial liabilities: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80"/>
              <w:spacing w:after="0" w:line="202" w:lineRule="exact"/>
              <w:rPr>
                <w:sz w:val="20"/>
                <w:szCs w:val="20"/>
                <w:color w:val="auto"/>
              </w:rPr>
            </w:pPr>
            <w:r>
              <w:rPr>
                <w:rFonts w:ascii="Arial" w:cs="Arial" w:eastAsia="Arial" w:hAnsi="Arial"/>
                <w:sz w:val="18"/>
                <w:szCs w:val="18"/>
                <w:color w:val="auto"/>
              </w:rPr>
              <w:t>Stock price appreciation milestones</w:t>
            </w: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24,168</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20" w:type="dxa"/>
            <w:vAlign w:val="bottom"/>
            <w:shd w:val="clear" w:color="auto" w:fill="CFF0FC"/>
          </w:tcPr>
          <w:p>
            <w:pPr>
              <w:ind w:left="360"/>
              <w:spacing w:after="0" w:line="156" w:lineRule="exact"/>
              <w:rPr>
                <w:sz w:val="20"/>
                <w:szCs w:val="20"/>
                <w:color w:val="auto"/>
              </w:rPr>
            </w:pPr>
            <w:r>
              <w:rPr>
                <w:rFonts w:ascii="Arial" w:cs="Arial" w:eastAsia="Arial" w:hAnsi="Arial"/>
                <w:sz w:val="18"/>
                <w:szCs w:val="18"/>
                <w:color w:val="auto"/>
                <w:w w:val="98"/>
              </w:rPr>
              <w:t>Total financial liabilities measured at fair value on a recurring</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2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120" w:type="dxa"/>
            <w:vAlign w:val="bottom"/>
            <w:tcBorders>
              <w:bottom w:val="single" w:sz="8" w:color="CFF0FC"/>
            </w:tcBorders>
            <w:shd w:val="clear" w:color="auto" w:fill="CFF0FC"/>
          </w:tcPr>
          <w:p>
            <w:pPr>
              <w:ind w:left="360"/>
              <w:spacing w:after="0" w:line="156" w:lineRule="exact"/>
              <w:rPr>
                <w:sz w:val="20"/>
                <w:szCs w:val="20"/>
                <w:color w:val="auto"/>
              </w:rPr>
            </w:pPr>
            <w:r>
              <w:rPr>
                <w:rFonts w:ascii="Arial" w:cs="Arial" w:eastAsia="Arial" w:hAnsi="Arial"/>
                <w:sz w:val="18"/>
                <w:szCs w:val="18"/>
                <w:color w:val="auto"/>
              </w:rPr>
              <w:t>basis</w:t>
            </w:r>
          </w:p>
        </w:tc>
        <w:tc>
          <w:tcPr>
            <w:tcW w:w="240" w:type="dxa"/>
            <w:vAlign w:val="bottom"/>
            <w:tcBorders>
              <w:bottom w:val="single" w:sz="8" w:color="auto"/>
            </w:tcBorders>
            <w:vMerge w:val="continue"/>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vMerge w:val="continue"/>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vMerge w:val="continue"/>
            <w:shd w:val="clear" w:color="auto" w:fill="CFF0FC"/>
          </w:tcPr>
          <w:p>
            <w:pPr>
              <w:spacing w:after="0"/>
              <w:rPr>
                <w:sz w:val="18"/>
                <w:szCs w:val="18"/>
                <w:color w:val="auto"/>
              </w:rPr>
            </w:pP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-2619375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-2619375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-2619375</wp:posOffset>
            </wp:positionV>
            <wp:extent cx="60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-2619375</wp:posOffset>
            </wp:positionV>
            <wp:extent cx="603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-2070735</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-2070735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-2070735</wp:posOffset>
            </wp:positionV>
            <wp:extent cx="603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-2070735</wp:posOffset>
            </wp:positionV>
            <wp:extent cx="6032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-659130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-642620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-659130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-642620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-659130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-642620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-642620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Level 1 assets consisted of money market funds and U.S. Treasury debt securities measured at fair value based on quoted prices in active markets as provided by the Company’s investment managers.</w:t>
      </w:r>
    </w:p>
    <w:p>
      <w:pPr>
        <w:spacing w:after="0" w:line="63" w:lineRule="exact"/>
        <w:rPr>
          <w:sz w:val="20"/>
          <w:szCs w:val="20"/>
          <w:color w:val="auto"/>
        </w:rPr>
      </w:pPr>
    </w:p>
    <w:p>
      <w:pPr>
        <w:jc w:val="both"/>
        <w:ind w:right="120" w:firstLine="509"/>
        <w:spacing w:after="0" w:line="284" w:lineRule="auto"/>
        <w:rPr>
          <w:sz w:val="20"/>
          <w:szCs w:val="20"/>
          <w:color w:val="auto"/>
        </w:rPr>
      </w:pPr>
      <w:r>
        <w:rPr>
          <w:rFonts w:ascii="Arial" w:cs="Arial" w:eastAsia="Arial" w:hAnsi="Arial"/>
          <w:sz w:val="16"/>
          <w:szCs w:val="16"/>
          <w:color w:val="auto"/>
        </w:rPr>
        <w:t>Level 2 assets consisted of non-U.S. government securities, municipal securities, corporate debt securities, and commercial paper measured at fair value using standard observable inputs, including reported trades, broker/dealer quotes, and bids and/or offers. The Company validates the quoted market prices provided by its investment managers by comparing the investment managers’ assessment of the fair values of the Company’s investment portfolio balance against the fair values of the Company’s investment portfolio balance obtained from an independent source.</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Level 3 assets held by the Company as of June 30, 2022.</w:t>
      </w:r>
    </w:p>
    <w:p>
      <w:pPr>
        <w:spacing w:after="0" w:line="10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Level 3 liabilities consisted of stock price appreciation milestones associated with the Amended MSK License as described in detail in Note 2. To determine the estimated fair value of the stock price appreciation milestones, the Company uses a Monte Carlo simulation methodology which models future Company common stock prices based on several key variables. The assumptions used to calculate the fair value of the stock price appreciation milestones are subject to a significant amount of judgment including the expected volatility of the Company’s common stock and estimated term, which is based in part on the last valid patent claim date. Fair value measurements are highly sensitive to changes in these inputs and significant changes could result in a significantly higher or lower fair value and resulting expense or gain. This assessment is based on several factors including the successful achievement of technological, manufacturing, and regulatory requirements.</w:t>
      </w:r>
    </w:p>
    <w:p>
      <w:pPr>
        <w:spacing w:after="0" w:line="7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A small change in the assumptions and other inputs, such as the price of the Company’s common stock, may have a relatively large change in the estimated fair value of the stock price appreciation milestones and associated liability and expense. For example,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1" w:name="page22"/>
    <w:bookmarkEnd w:id="21"/>
    <w:p>
      <w:pPr>
        <w:ind w:right="80"/>
        <w:spacing w:after="0" w:line="262" w:lineRule="auto"/>
        <w:rPr>
          <w:sz w:val="20"/>
          <w:szCs w:val="20"/>
          <w:color w:val="auto"/>
        </w:rPr>
      </w:pPr>
      <w:r>
        <w:rPr>
          <w:rFonts w:ascii="Arial" w:cs="Arial" w:eastAsia="Arial" w:hAnsi="Arial"/>
          <w:sz w:val="17"/>
          <w:szCs w:val="17"/>
          <w:color w:val="auto"/>
        </w:rPr>
        <w:t>keeping all other variables constant, a hypothetical 10% increase in the stock price at June 30, 2022 from $24.78 to $27.26 per share would have decreased the income recorded during the three months ended June 30, 2022 by $1.2 million related to the stock price appreciation milestones. Keeping all other variables constant, a hypothetical 10% decrease in the stock price at June 30, 2022 from $24.78 to $22.30 per share would have increased the income recorded during the three months ended June 30, 2022 by $1.1 million related to the stock price appreciation milestones.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changes in fair value of the Company’s Level 3 stock price appreciation milestones liability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80" w:type="dxa"/>
            <w:vAlign w:val="bottom"/>
            <w:shd w:val="clear" w:color="auto" w:fill="CFF0FC"/>
          </w:tcPr>
          <w:p>
            <w:pPr>
              <w:spacing w:after="0"/>
              <w:rPr>
                <w:sz w:val="17"/>
                <w:szCs w:val="17"/>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Changes in fair value of stock price appreciation milestones liability</w:t>
            </w:r>
          </w:p>
        </w:tc>
        <w:tc>
          <w:tcPr>
            <w:tcW w:w="5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(14,240 )</w:t>
            </w:r>
          </w:p>
        </w:tc>
      </w:tr>
      <w:tr>
        <w:trPr>
          <w:trHeight w:val="236"/>
        </w:trPr>
        <w:tc>
          <w:tcPr>
            <w:tcW w:w="7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June 30, 2022</w:t>
            </w:r>
          </w:p>
        </w:tc>
        <w:tc>
          <w:tcPr>
            <w:tcW w:w="540" w:type="dxa"/>
            <w:vAlign w:val="bottom"/>
            <w:tcBorders>
              <w:top w:val="single" w:sz="8" w:color="auto"/>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9,928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None of the Company’s non-financial assets or liabilities are recorded at fair value on a non-recurring basis. No transfers between levels have occurred during the periods presented.</w:t>
      </w:r>
    </w:p>
    <w:p>
      <w:pPr>
        <w:spacing w:after="0" w:line="275" w:lineRule="exact"/>
        <w:rPr>
          <w:sz w:val="20"/>
          <w:szCs w:val="20"/>
          <w:color w:val="auto"/>
        </w:rPr>
      </w:pPr>
    </w:p>
    <w:p>
      <w:pPr>
        <w:ind w:right="9460" w:firstLine="8"/>
        <w:spacing w:after="0" w:line="434" w:lineRule="auto"/>
        <w:tabs>
          <w:tab w:leader="none" w:pos="36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Accrued Expenses</w:t>
      </w:r>
    </w:p>
    <w:p>
      <w:pPr>
        <w:spacing w:after="0" w:line="1"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color w:val="auto"/>
        </w:rPr>
        <w:t>Current accrued expenses consist of the following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r>
      <w:tr>
        <w:trPr>
          <w:trHeight w:val="185"/>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96"/>
        </w:trPr>
        <w:tc>
          <w:tcPr>
            <w:tcW w:w="5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payroll and other employee benefits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16,554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18,358</w:t>
            </w:r>
          </w:p>
        </w:tc>
        <w:tc>
          <w:tcPr>
            <w:tcW w:w="8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Accrued clinical trial related costs</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11,684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12,344</w:t>
            </w:r>
          </w:p>
        </w:tc>
        <w:tc>
          <w:tcPr>
            <w:tcW w:w="80" w:type="dxa"/>
            <w:vAlign w:val="bottom"/>
          </w:tcPr>
          <w:p>
            <w:pPr>
              <w:spacing w:after="0"/>
              <w:rPr>
                <w:sz w:val="17"/>
                <w:szCs w:val="17"/>
                <w:color w:val="auto"/>
              </w:rPr>
            </w:pPr>
          </w:p>
        </w:tc>
      </w:tr>
      <w:tr>
        <w:trPr>
          <w:trHeight w:val="203"/>
        </w:trPr>
        <w:tc>
          <w:tcPr>
            <w:tcW w:w="5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12,286</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11,710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880" w:type="dxa"/>
            <w:vAlign w:val="bottom"/>
          </w:tcPr>
          <w:p>
            <w:pPr>
              <w:ind w:left="180"/>
              <w:spacing w:after="0" w:line="196" w:lineRule="exact"/>
              <w:rPr>
                <w:sz w:val="20"/>
                <w:szCs w:val="20"/>
                <w:color w:val="auto"/>
              </w:rPr>
            </w:pPr>
            <w:r>
              <w:rPr>
                <w:rFonts w:ascii="Arial" w:cs="Arial" w:eastAsia="Arial" w:hAnsi="Arial"/>
                <w:sz w:val="18"/>
                <w:szCs w:val="18"/>
                <w:color w:val="auto"/>
              </w:rPr>
              <w:t>Total current accrued expenses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40,524</w:t>
            </w:r>
          </w:p>
        </w:tc>
        <w:tc>
          <w:tcPr>
            <w:tcW w:w="4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42,412</w:t>
            </w:r>
          </w:p>
        </w:tc>
        <w:tc>
          <w:tcPr>
            <w:tcW w:w="80" w:type="dxa"/>
            <w:vAlign w:val="bottom"/>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-159385</wp:posOffset>
            </wp:positionV>
            <wp:extent cx="603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The Company has lease agreements for office, laboratory and manufacturing spaces that are classified as operating leases on the unaudited condensed consolidated balance sheets. These leases have terms varying from one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 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single-lease component for purposes of determining the total future lease payments.</w:t>
      </w:r>
    </w:p>
    <w:p>
      <w:pPr>
        <w:spacing w:after="0" w:line="55"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As of June 30, 2022, future undiscounted minimum contractual payments under the Company’s operating leases were $185.3 million, which will be paid over a remaining weighted-average lease term of 11.9 years. The weighted-average discount rate for the operating lease liabilities was 8.19%, which was the Company’s incremental borrowing rate at lease commencement, as the discount rates implicit in the leases could not be readily determined.</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ind w:left="3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85"/>
        </w:trPr>
        <w:tc>
          <w:tcPr>
            <w:tcW w:w="5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Straight-line lease expense</w:t>
            </w:r>
          </w:p>
        </w:tc>
        <w:tc>
          <w:tcPr>
            <w:tcW w:w="740" w:type="dxa"/>
            <w:vAlign w:val="bottom"/>
            <w:tcBorders>
              <w:top w:val="single" w:sz="8" w:color="auto"/>
            </w:tcBorders>
            <w:shd w:val="clear" w:color="auto" w:fill="CFF0FC"/>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3,865</w:t>
            </w:r>
          </w:p>
        </w:tc>
        <w:tc>
          <w:tcPr>
            <w:tcW w:w="28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3,541</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ind w:left="380"/>
              <w:spacing w:after="0" w:line="196" w:lineRule="exact"/>
              <w:rPr>
                <w:sz w:val="20"/>
                <w:szCs w:val="20"/>
                <w:color w:val="auto"/>
              </w:rPr>
            </w:pPr>
            <w:r>
              <w:rPr>
                <w:rFonts w:ascii="Arial" w:cs="Arial" w:eastAsia="Arial" w:hAnsi="Arial"/>
                <w:sz w:val="18"/>
                <w:szCs w:val="18"/>
                <w:color w:val="auto"/>
                <w:w w:val="88"/>
              </w:rPr>
              <w:t>7,680</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7,075</w:t>
            </w:r>
          </w:p>
        </w:tc>
        <w:tc>
          <w:tcPr>
            <w:tcW w:w="100" w:type="dxa"/>
            <w:vAlign w:val="bottom"/>
            <w:shd w:val="clear" w:color="auto" w:fill="CFF0FC"/>
          </w:tcPr>
          <w:p>
            <w:pPr>
              <w:spacing w:after="0"/>
              <w:rPr>
                <w:sz w:val="17"/>
                <w:szCs w:val="17"/>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678</w:t>
            </w:r>
          </w:p>
        </w:tc>
        <w:tc>
          <w:tcPr>
            <w:tcW w:w="2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w w:val="88"/>
              </w:rPr>
              <w:t>1,295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591</w:t>
            </w:r>
          </w:p>
        </w:tc>
        <w:tc>
          <w:tcPr>
            <w:tcW w:w="100" w:type="dxa"/>
            <w:vAlign w:val="bottom"/>
          </w:tcPr>
          <w:p>
            <w:pPr>
              <w:spacing w:after="0"/>
              <w:rPr>
                <w:sz w:val="17"/>
                <w:szCs w:val="17"/>
                <w:color w:val="auto"/>
              </w:rPr>
            </w:pPr>
          </w:p>
        </w:tc>
      </w:tr>
      <w:tr>
        <w:trPr>
          <w:trHeight w:val="236"/>
        </w:trPr>
        <w:tc>
          <w:tcPr>
            <w:tcW w:w="58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operating lease expense</w:t>
            </w:r>
          </w:p>
        </w:tc>
        <w:tc>
          <w:tcPr>
            <w:tcW w:w="740" w:type="dxa"/>
            <w:vAlign w:val="bottom"/>
            <w:tcBorders>
              <w:bottom w:val="single" w:sz="8" w:color="auto"/>
            </w:tcBorders>
            <w:shd w:val="clear" w:color="auto" w:fill="CFF0FC"/>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4,543</w:t>
            </w:r>
          </w:p>
        </w:tc>
        <w:tc>
          <w:tcPr>
            <w:tcW w:w="2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3,897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ind w:left="380"/>
              <w:spacing w:after="0" w:line="196" w:lineRule="exact"/>
              <w:rPr>
                <w:sz w:val="20"/>
                <w:szCs w:val="20"/>
                <w:color w:val="auto"/>
              </w:rPr>
            </w:pPr>
            <w:r>
              <w:rPr>
                <w:rFonts w:ascii="Arial" w:cs="Arial" w:eastAsia="Arial" w:hAnsi="Arial"/>
                <w:sz w:val="18"/>
                <w:szCs w:val="18"/>
                <w:color w:val="auto"/>
                <w:w w:val="88"/>
              </w:rPr>
              <w:t>8,975</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7,666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short-term lease expense was recognized during the three and six months ended June 30, 2022 and 2021.</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Future minimum lease payments under the Company’s operating leases as of June 30, 2022 are as follows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7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Lease Payments</w:t>
            </w:r>
          </w:p>
        </w:tc>
      </w:tr>
      <w:tr>
        <w:trPr>
          <w:trHeight w:val="196"/>
        </w:trPr>
        <w:tc>
          <w:tcPr>
            <w:tcW w:w="7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Remaining in 2022</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7,713</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14,498</w:t>
            </w:r>
          </w:p>
        </w:tc>
        <w:tc>
          <w:tcPr>
            <w:tcW w:w="8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14,836</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15,087</w:t>
            </w:r>
          </w:p>
        </w:tc>
        <w:tc>
          <w:tcPr>
            <w:tcW w:w="8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15,540</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16,006</w:t>
            </w:r>
          </w:p>
        </w:tc>
        <w:tc>
          <w:tcPr>
            <w:tcW w:w="80" w:type="dxa"/>
            <w:vAlign w:val="bottom"/>
          </w:tcPr>
          <w:p>
            <w:pPr>
              <w:spacing w:after="0"/>
              <w:rPr>
                <w:sz w:val="17"/>
                <w:szCs w:val="17"/>
                <w:color w:val="auto"/>
              </w:rPr>
            </w:pPr>
          </w:p>
        </w:tc>
      </w:tr>
      <w:tr>
        <w:trPr>
          <w:trHeight w:val="203"/>
        </w:trPr>
        <w:tc>
          <w:tcPr>
            <w:tcW w:w="73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101,636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380" w:type="dxa"/>
            <w:vAlign w:val="bottom"/>
          </w:tcPr>
          <w:p>
            <w:pPr>
              <w:ind w:left="180"/>
              <w:spacing w:after="0" w:line="196" w:lineRule="exact"/>
              <w:rPr>
                <w:sz w:val="20"/>
                <w:szCs w:val="20"/>
                <w:color w:val="auto"/>
              </w:rPr>
            </w:pPr>
            <w:r>
              <w:rPr>
                <w:rFonts w:ascii="Arial" w:cs="Arial" w:eastAsia="Arial" w:hAnsi="Arial"/>
                <w:sz w:val="18"/>
                <w:szCs w:val="18"/>
                <w:color w:val="auto"/>
              </w:rPr>
              <w:t>Total undiscounted lease payments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185,316</w:t>
            </w:r>
          </w:p>
        </w:tc>
        <w:tc>
          <w:tcPr>
            <w:tcW w:w="8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(73,012 )</w:t>
            </w:r>
          </w:p>
        </w:tc>
      </w:tr>
      <w:tr>
        <w:trPr>
          <w:trHeight w:val="196"/>
        </w:trPr>
        <w:tc>
          <w:tcPr>
            <w:tcW w:w="7380" w:type="dxa"/>
            <w:vAlign w:val="bottom"/>
            <w:tcBorders>
              <w:top w:val="single" w:sz="8" w:color="CFF0FC"/>
            </w:tcBorders>
          </w:tcPr>
          <w:p>
            <w:pPr>
              <w:ind w:left="180"/>
              <w:spacing w:after="0" w:line="182" w:lineRule="exact"/>
              <w:rPr>
                <w:sz w:val="20"/>
                <w:szCs w:val="20"/>
                <w:color w:val="auto"/>
              </w:rPr>
            </w:pPr>
            <w:r>
              <w:rPr>
                <w:rFonts w:ascii="Arial" w:cs="Arial" w:eastAsia="Arial" w:hAnsi="Arial"/>
                <w:sz w:val="18"/>
                <w:szCs w:val="18"/>
                <w:color w:val="auto"/>
              </w:rPr>
              <w:t>Total lease liability</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112,304</w:t>
            </w:r>
          </w:p>
        </w:tc>
        <w:tc>
          <w:tcPr>
            <w:tcW w:w="80" w:type="dxa"/>
            <w:vAlign w:val="bottom"/>
            <w:tcBorders>
              <w:top w:val="single" w:sz="8" w:color="CFF0FC"/>
            </w:tcBorders>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-424815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6660" w:firstLine="8"/>
        <w:spacing w:after="0" w:line="362" w:lineRule="auto"/>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Equity Convertible Preferred Stock</w:t>
      </w:r>
    </w:p>
    <w:p>
      <w:pPr>
        <w:spacing w:after="0" w:line="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non-voting Class A Convertible Preferred Stock (the Class A Preferred) at $13.30 per share, each of which is convertible into five shares of common stock upon certain conditions defined in the Certificate of Designation of Preferences, Rights and Limitations of the Class A Preferred filed with the Delaware Secretary of State 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w:t>
      </w:r>
    </w:p>
    <w:p>
      <w:pPr>
        <w:spacing w:after="0" w:line="60"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 xml:space="preserve">The Class A Preferred are non-voting shares and have a stated par value of $0.001 per share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among holders of the Company’s common stock and holders of the Class A Preferred, pro rata based on the number of shares held by each such holder (treated for this purpose as if the Class A Preferred had been converted to common stock).</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2019, 25,000 shares of the Class A Preferred were converted into 125,000 shares of the Company’s common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108"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January 2021, in conjunction with a public offering, the Company issued Pre-Funded Warrants, in lieu of common stock to certain investors, to purchase 257,310 shares of the Company’s common stock. The purchase price for the Pre-Funded Warrants was $85.499 per Pre-Funded Warrant, which equals the per share public offering price for the shares of common stock less the $0.001 exercise price for each such Pre-Funded Warrant. Given that the Pre-Funded Warrants are indexed to the Company’s own shares of common stock (and otherwise meet the requirements to be classified in equity), the Company recorded the consideration received from the issuance of the warrants as additional paid-in capital on the Company’s unaudited condensed consolidated balance sheets.</w:t>
      </w:r>
    </w:p>
    <w:p>
      <w:pPr>
        <w:spacing w:after="0" w:line="8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there were 257,310 Pre-Funded Warrants outstanding.</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under all equity and stock option plans is summarized as follows: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140" w:type="dxa"/>
            <w:vAlign w:val="bottom"/>
          </w:tcPr>
          <w:p>
            <w:pPr>
              <w:jc w:val="right"/>
              <w:ind w:right="255"/>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r>
      <w:tr>
        <w:trPr>
          <w:trHeight w:val="185"/>
        </w:trPr>
        <w:tc>
          <w:tcPr>
            <w:tcW w:w="616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11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Average Price</w:t>
            </w:r>
          </w:p>
        </w:tc>
        <w:tc>
          <w:tcPr>
            <w:tcW w:w="80" w:type="dxa"/>
            <w:vAlign w:val="bottom"/>
          </w:tcPr>
          <w:p>
            <w:pPr>
              <w:spacing w:after="0"/>
              <w:rPr>
                <w:sz w:val="16"/>
                <w:szCs w:val="16"/>
                <w:color w:val="auto"/>
              </w:rPr>
            </w:pP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7,708,263</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20.43</w:t>
            </w: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848,457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36.68</w:t>
            </w:r>
          </w:p>
        </w:tc>
        <w:tc>
          <w:tcPr>
            <w:tcW w:w="8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(649,901 )</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9.50</w:t>
            </w: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(160,947 )</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46.21</w:t>
            </w:r>
          </w:p>
        </w:tc>
        <w:tc>
          <w:tcPr>
            <w:tcW w:w="80" w:type="dxa"/>
            <w:vAlign w:val="bottom"/>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at June 30, 2022</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7,745,872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stock unit activity under all equity and stock option plans is summarized as follows: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4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Fair Value per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6"/>
                <w:szCs w:val="16"/>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4,008,832</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2,783,412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(485,934 )</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(295,669 )</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53.60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at June 30, 2022</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6,010,641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50.39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allocation of stock-based compensation for all stock awards is as follows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r>
      <w:tr>
        <w:trPr>
          <w:trHeight w:val="185"/>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13,570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8,624</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26,264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17,146</w:t>
            </w:r>
          </w:p>
        </w:tc>
        <w:tc>
          <w:tcPr>
            <w:tcW w:w="8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4,630</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13,609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9,084</w:t>
            </w:r>
          </w:p>
        </w:tc>
        <w:tc>
          <w:tcPr>
            <w:tcW w:w="80" w:type="dxa"/>
            <w:vAlign w:val="bottom"/>
          </w:tcPr>
          <w:p>
            <w:pPr>
              <w:spacing w:after="0"/>
              <w:rPr>
                <w:sz w:val="17"/>
                <w:szCs w:val="17"/>
                <w:color w:val="auto"/>
              </w:rPr>
            </w:pPr>
          </w:p>
        </w:tc>
      </w:tr>
      <w:tr>
        <w:trPr>
          <w:trHeight w:val="236"/>
        </w:trPr>
        <w:tc>
          <w:tcPr>
            <w:tcW w:w="46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20,542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13,254</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39,873</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26,230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6"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As of June 30, 2022, the unrecognized compensation cost related to outstanding options was $50.9 million and is expected to be recognized as expense over a weighted-average period of approximately 2.4 years.</w:t>
      </w:r>
    </w:p>
    <w:p>
      <w:pPr>
        <w:spacing w:after="0" w:line="6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As of June 30, 2022, the unrecognized compensation cost related to restricted stock units was $166.8 million which is expected to be recognized as expense over a weighted-average period of approximately 3.2 years.</w:t>
      </w:r>
    </w:p>
    <w:p>
      <w:pPr>
        <w:spacing w:after="0" w:line="6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weighted-average assumptions used in the Black-Scholes option pricing model to determine the fair value of the employee and nonemployee stock option grants were as follows:</w:t>
      </w:r>
    </w:p>
    <w:p>
      <w:pPr>
        <w:spacing w:after="0" w:line="16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6040" w:type="dxa"/>
            <w:vAlign w:val="bottom"/>
          </w:tcPr>
          <w:p>
            <w:pPr>
              <w:spacing w:after="0" w:line="196" w:lineRule="exact"/>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0.5</w:t>
            </w:r>
          </w:p>
        </w:tc>
        <w:tc>
          <w:tcPr>
            <w:tcW w:w="1200" w:type="dxa"/>
            <w:vAlign w:val="bottom"/>
            <w:gridSpan w:val="2"/>
          </w:tcPr>
          <w:p>
            <w:pPr>
              <w:jc w:val="right"/>
              <w:ind w:right="104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1140" w:type="dxa"/>
            <w:vAlign w:val="bottom"/>
          </w:tcPr>
          <w:p>
            <w:pPr>
              <w:spacing w:after="0"/>
              <w:rPr>
                <w:sz w:val="17"/>
                <w:szCs w:val="17"/>
                <w:color w:val="auto"/>
              </w:rPr>
            </w:pPr>
          </w:p>
        </w:tc>
        <w:tc>
          <w:tcPr>
            <w:tcW w:w="692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76.2 %</w:t>
            </w:r>
          </w:p>
        </w:tc>
        <w:tc>
          <w:tcPr>
            <w:tcW w:w="2520" w:type="dxa"/>
            <w:vAlign w:val="bottom"/>
            <w:gridSpan w:val="3"/>
          </w:tcPr>
          <w:p>
            <w:pPr>
              <w:jc w:val="right"/>
              <w:ind w:right="1040"/>
              <w:spacing w:after="0" w:line="202" w:lineRule="exact"/>
              <w:rPr>
                <w:sz w:val="20"/>
                <w:szCs w:val="20"/>
                <w:color w:val="auto"/>
              </w:rPr>
            </w:pPr>
            <w:r>
              <w:rPr>
                <w:rFonts w:ascii="Arial" w:cs="Arial" w:eastAsia="Arial" w:hAnsi="Arial"/>
                <w:sz w:val="18"/>
                <w:szCs w:val="18"/>
                <w:color w:val="auto"/>
              </w:rPr>
              <w:t>76.6 %</w:t>
            </w:r>
          </w:p>
        </w:tc>
      </w:tr>
      <w:tr>
        <w:trPr>
          <w:trHeight w:val="203"/>
        </w:trPr>
        <w:tc>
          <w:tcPr>
            <w:tcW w:w="1140" w:type="dxa"/>
            <w:vAlign w:val="bottom"/>
          </w:tcPr>
          <w:p>
            <w:pPr>
              <w:spacing w:after="0"/>
              <w:rPr>
                <w:sz w:val="17"/>
                <w:szCs w:val="17"/>
                <w:color w:val="auto"/>
              </w:rPr>
            </w:pPr>
          </w:p>
        </w:tc>
        <w:tc>
          <w:tcPr>
            <w:tcW w:w="6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520" w:type="dxa"/>
            <w:vAlign w:val="bottom"/>
            <w:gridSpan w:val="3"/>
          </w:tcPr>
          <w:p>
            <w:pPr>
              <w:jc w:val="right"/>
              <w:ind w:right="1040"/>
              <w:spacing w:after="0"/>
              <w:rPr>
                <w:sz w:val="20"/>
                <w:szCs w:val="20"/>
                <w:color w:val="auto"/>
              </w:rPr>
            </w:pPr>
            <w:r>
              <w:rPr>
                <w:rFonts w:ascii="Arial" w:cs="Arial" w:eastAsia="Arial" w:hAnsi="Arial"/>
                <w:sz w:val="18"/>
                <w:szCs w:val="18"/>
                <w:color w:val="auto"/>
              </w:rPr>
              <w:t>0.0 %</w:t>
            </w:r>
          </w:p>
        </w:tc>
      </w:tr>
      <w:tr>
        <w:trPr>
          <w:trHeight w:val="607"/>
        </w:trPr>
        <w:tc>
          <w:tcPr>
            <w:tcW w:w="1140" w:type="dxa"/>
            <w:vAlign w:val="bottom"/>
          </w:tcPr>
          <w:p>
            <w:pPr>
              <w:spacing w:after="0"/>
              <w:rPr>
                <w:sz w:val="24"/>
                <w:szCs w:val="24"/>
                <w:color w:val="auto"/>
              </w:rPr>
            </w:pPr>
          </w:p>
        </w:tc>
        <w:tc>
          <w:tcPr>
            <w:tcW w:w="6040" w:type="dxa"/>
            <w:vAlign w:val="bottom"/>
          </w:tcPr>
          <w:p>
            <w:pPr>
              <w:ind w:left="4400"/>
              <w:spacing w:after="0"/>
              <w:rPr>
                <w:sz w:val="20"/>
                <w:szCs w:val="20"/>
                <w:color w:val="auto"/>
              </w:rPr>
            </w:pPr>
            <w:r>
              <w:rPr>
                <w:rFonts w:ascii="Arial" w:cs="Arial" w:eastAsia="Arial" w:hAnsi="Arial"/>
                <w:sz w:val="18"/>
                <w:szCs w:val="18"/>
                <w:color w:val="auto"/>
              </w:rPr>
              <w:t>24</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60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-985520</wp:posOffset>
            </wp:positionV>
            <wp:extent cx="570039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2022 Stock Option and Incentive Plan</w:t>
      </w:r>
    </w:p>
    <w:p>
      <w:pPr>
        <w:spacing w:after="0" w:line="108"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On June 9, 2022 the Company adopted the 2022 Stock Option and Incentive Plan (the "2022 Plan"). The 2022 Plan authorizes 9.5 million shares of common stock for issuance and allows for the grant of stock options, stock appreciation rights, restricted stock awards, performance-based awards, and other awards to individuals who are then employees, officers, directors or consultants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Stockholders’ Equity Accounts</w:t>
      </w:r>
    </w:p>
    <w:p>
      <w:pPr>
        <w:spacing w:after="0" w:line="108"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following table summarizes the Company’s changes in stockholders’ equity accounts for the three and six months ended June 30, 2022 (in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3"/>
            <w:vMerge w:val="restart"/>
          </w:tcPr>
          <w:p>
            <w:pPr>
              <w:jc w:val="center"/>
              <w:ind w:right="297"/>
              <w:spacing w:after="0"/>
              <w:rPr>
                <w:sz w:val="20"/>
                <w:szCs w:val="20"/>
                <w:color w:val="auto"/>
              </w:rPr>
            </w:pPr>
            <w:r>
              <w:rPr>
                <w:rFonts w:ascii="Arial" w:cs="Arial" w:eastAsia="Arial" w:hAnsi="Arial"/>
                <w:sz w:val="13"/>
                <w:szCs w:val="13"/>
                <w:b w:val="1"/>
                <w:bCs w:val="1"/>
                <w:color w:val="auto"/>
                <w:w w:val="89"/>
              </w:rPr>
              <w:t>Convertible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vMerge w:val="restart"/>
          </w:tcPr>
          <w:p>
            <w:pPr>
              <w:jc w:val="center"/>
              <w:ind w:left="79"/>
              <w:spacing w:after="0"/>
              <w:rPr>
                <w:sz w:val="20"/>
                <w:szCs w:val="20"/>
                <w:color w:val="auto"/>
              </w:rPr>
            </w:pPr>
            <w:r>
              <w:rPr>
                <w:rFonts w:ascii="Arial" w:cs="Arial" w:eastAsia="Arial" w:hAnsi="Arial"/>
                <w:sz w:val="13"/>
                <w:szCs w:val="13"/>
                <w:b w:val="1"/>
                <w:bCs w:val="1"/>
                <w:color w:val="auto"/>
                <w:w w:val="88"/>
              </w:rPr>
              <w:t>Common</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0"/>
              </w:rPr>
              <w:t>Accumulated</w:t>
            </w: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60" w:type="dxa"/>
            <w:vAlign w:val="bottom"/>
            <w:tcBorders>
              <w:bottom w:val="single" w:sz="8" w:color="auto"/>
            </w:tcBorders>
            <w:gridSpan w:val="4"/>
          </w:tcPr>
          <w:p>
            <w:pPr>
              <w:jc w:val="center"/>
              <w:ind w:left="117"/>
              <w:spacing w:after="0"/>
              <w:rPr>
                <w:sz w:val="20"/>
                <w:szCs w:val="20"/>
                <w:color w:val="auto"/>
              </w:rPr>
            </w:pPr>
            <w:r>
              <w:rPr>
                <w:rFonts w:ascii="Arial" w:cs="Arial" w:eastAsia="Arial" w:hAnsi="Arial"/>
                <w:sz w:val="13"/>
                <w:szCs w:val="13"/>
                <w:b w:val="1"/>
                <w:bCs w:val="1"/>
                <w:color w:val="auto"/>
                <w:w w:val="88"/>
              </w:rPr>
              <w:t>Preferred Stock</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417"/>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102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5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w w:val="82"/>
              </w:rPr>
              <w:t>Shares</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6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78"/>
              </w:rPr>
              <w:t>Loss</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28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Balance at December 31, 2021</w:t>
            </w: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95,726,96</w:t>
            </w: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6"/>
              </w:rPr>
              <w:t>96</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1,448,584</w:t>
            </w:r>
          </w:p>
        </w:tc>
        <w:tc>
          <w:tcPr>
            <w:tcW w:w="200" w:type="dxa"/>
            <w:vAlign w:val="bottom"/>
            <w:vMerge w:val="restart"/>
            <w:shd w:val="clear" w:color="auto" w:fill="CFF0FC"/>
          </w:tcPr>
          <w:p>
            <w:pPr>
              <w:spacing w:after="0"/>
              <w:rPr>
                <w:sz w:val="8"/>
                <w:szCs w:val="8"/>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(762 )</w:t>
            </w:r>
          </w:p>
        </w:tc>
        <w:tc>
          <w:tcPr>
            <w:tcW w:w="10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(769,083 )</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678,838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2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2,794,549</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280" w:type="dxa"/>
            <w:vAlign w:val="bottom"/>
            <w:tcBorders>
              <w:top w:val="single" w:sz="8" w:color="CFF0FC"/>
            </w:tcBorders>
          </w:tcPr>
          <w:p>
            <w:pPr>
              <w:ind w:left="120"/>
              <w:spacing w:after="0" w:line="130" w:lineRule="exact"/>
              <w:rPr>
                <w:sz w:val="20"/>
                <w:szCs w:val="20"/>
                <w:color w:val="auto"/>
              </w:rPr>
            </w:pPr>
            <w:r>
              <w:rPr>
                <w:rFonts w:ascii="Arial" w:cs="Arial" w:eastAsia="Arial" w:hAnsi="Arial"/>
                <w:sz w:val="13"/>
                <w:szCs w:val="13"/>
                <w:color w:val="auto"/>
              </w:rPr>
              <w:t>Exercise of stock options, net of issuance costs</w:t>
            </w: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w w:val="76"/>
              </w:rPr>
              <w:t>—</w:t>
            </w:r>
          </w:p>
        </w:tc>
        <w:tc>
          <w:tcPr>
            <w:tcW w:w="2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398,415</w:t>
            </w:r>
          </w:p>
        </w:tc>
        <w:tc>
          <w:tcPr>
            <w:tcW w:w="24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3,001</w:t>
            </w:r>
          </w:p>
        </w:tc>
        <w:tc>
          <w:tcPr>
            <w:tcW w:w="20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3,001</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00" w:type="dxa"/>
            <w:vAlign w:val="bottom"/>
            <w:gridSpan w:val="2"/>
            <w:shd w:val="clear" w:color="auto" w:fill="CFF0FC"/>
          </w:tcPr>
          <w:p>
            <w:pPr>
              <w:ind w:left="120"/>
              <w:spacing w:after="0" w:line="108" w:lineRule="exact"/>
              <w:rPr>
                <w:sz w:val="20"/>
                <w:szCs w:val="20"/>
                <w:color w:val="auto"/>
              </w:rPr>
            </w:pPr>
            <w:r>
              <w:rPr>
                <w:rFonts w:ascii="Arial" w:cs="Arial" w:eastAsia="Arial" w:hAnsi="Arial"/>
                <w:sz w:val="12"/>
                <w:szCs w:val="12"/>
                <w:color w:val="auto"/>
              </w:rPr>
              <w:t>Issuance of common stock upon vesting of restricted stock</w:t>
            </w:r>
          </w:p>
        </w:tc>
        <w:tc>
          <w:tcPr>
            <w:tcW w:w="1040" w:type="dxa"/>
            <w:vAlign w:val="bottom"/>
            <w:gridSpan w:val="3"/>
            <w:vMerge w:val="restart"/>
            <w:shd w:val="clear" w:color="auto" w:fill="CFF0FC"/>
          </w:tcPr>
          <w:p>
            <w:pPr>
              <w:jc w:val="right"/>
              <w:ind w:right="857"/>
              <w:spacing w:after="0"/>
              <w:rPr>
                <w:sz w:val="20"/>
                <w:szCs w:val="20"/>
                <w:color w:val="auto"/>
              </w:rPr>
            </w:pPr>
            <w:r>
              <w:rPr>
                <w:rFonts w:ascii="Arial" w:cs="Arial" w:eastAsia="Arial" w:hAnsi="Arial"/>
                <w:sz w:val="13"/>
                <w:szCs w:val="13"/>
                <w:color w:val="auto"/>
                <w:w w:val="76"/>
              </w:rPr>
              <w:t>—</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412,707</w:t>
            </w: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units</w:t>
            </w:r>
          </w:p>
        </w:tc>
        <w:tc>
          <w:tcPr>
            <w:tcW w:w="1040" w:type="dxa"/>
            <w:vAlign w:val="bottom"/>
            <w:gridSpan w:val="3"/>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1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3"/>
          </w:tcPr>
          <w:p>
            <w:pPr>
              <w:jc w:val="right"/>
              <w:ind w:right="857"/>
              <w:spacing w:after="0"/>
              <w:rPr>
                <w:sz w:val="20"/>
                <w:szCs w:val="20"/>
                <w:color w:val="auto"/>
              </w:rPr>
            </w:pPr>
            <w:r>
              <w:rPr>
                <w:rFonts w:ascii="Arial" w:cs="Arial" w:eastAsia="Arial" w:hAnsi="Arial"/>
                <w:sz w:val="13"/>
                <w:szCs w:val="13"/>
                <w:color w:val="auto"/>
                <w:w w:val="76"/>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19,331</w:t>
            </w:r>
          </w:p>
        </w:tc>
        <w:tc>
          <w:tcPr>
            <w:tcW w:w="2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Unrealized loss on investments</w:t>
            </w:r>
          </w:p>
        </w:tc>
        <w:tc>
          <w:tcPr>
            <w:tcW w:w="1040" w:type="dxa"/>
            <w:vAlign w:val="bottom"/>
            <w:gridSpan w:val="3"/>
            <w:shd w:val="clear" w:color="auto" w:fill="CFF0FC"/>
          </w:tcPr>
          <w:p>
            <w:pPr>
              <w:jc w:val="right"/>
              <w:ind w:right="857"/>
              <w:spacing w:after="0"/>
              <w:rPr>
                <w:sz w:val="20"/>
                <w:szCs w:val="20"/>
                <w:color w:val="auto"/>
              </w:rPr>
            </w:pPr>
            <w:r>
              <w:rPr>
                <w:rFonts w:ascii="Arial" w:cs="Arial" w:eastAsia="Arial" w:hAnsi="Arial"/>
                <w:sz w:val="13"/>
                <w:szCs w:val="13"/>
                <w:color w:val="auto"/>
                <w:w w:val="76"/>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(2,088 )</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(2,088 )</w:t>
            </w:r>
          </w:p>
        </w:tc>
        <w:tc>
          <w:tcPr>
            <w:tcW w:w="0" w:type="dxa"/>
            <w:vAlign w:val="bottom"/>
          </w:tcPr>
          <w:p>
            <w:pPr>
              <w:spacing w:after="0"/>
              <w:rPr>
                <w:sz w:val="1"/>
                <w:szCs w:val="1"/>
                <w:color w:val="auto"/>
              </w:rPr>
            </w:pPr>
          </w:p>
        </w:tc>
      </w:tr>
      <w:tr>
        <w:trPr>
          <w:trHeight w:val="148"/>
        </w:trPr>
        <w:tc>
          <w:tcPr>
            <w:tcW w:w="3280" w:type="dxa"/>
            <w:vAlign w:val="bottom"/>
          </w:tcPr>
          <w:p>
            <w:pPr>
              <w:ind w:left="120"/>
              <w:spacing w:after="0"/>
              <w:rPr>
                <w:sz w:val="20"/>
                <w:szCs w:val="20"/>
                <w:color w:val="auto"/>
              </w:rPr>
            </w:pPr>
            <w:r>
              <w:rPr>
                <w:rFonts w:ascii="Arial" w:cs="Arial" w:eastAsia="Arial" w:hAnsi="Arial"/>
                <w:sz w:val="13"/>
                <w:szCs w:val="13"/>
                <w:color w:val="auto"/>
              </w:rPr>
              <w:t>Net loss</w:t>
            </w:r>
          </w:p>
        </w:tc>
        <w:tc>
          <w:tcPr>
            <w:tcW w:w="5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(65,690 )</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(65,690 )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8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Balance at March 31, 2022</w:t>
            </w: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96,538,08</w:t>
            </w: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6"/>
              </w:rPr>
              <w:t>97</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1,470,916</w:t>
            </w:r>
          </w:p>
        </w:tc>
        <w:tc>
          <w:tcPr>
            <w:tcW w:w="200" w:type="dxa"/>
            <w:vAlign w:val="bottom"/>
            <w:vMerge w:val="restart"/>
            <w:shd w:val="clear" w:color="auto" w:fill="CFF0FC"/>
          </w:tcPr>
          <w:p>
            <w:pPr>
              <w:spacing w:after="0"/>
              <w:rPr>
                <w:sz w:val="8"/>
                <w:szCs w:val="8"/>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(2,850 )</w:t>
            </w:r>
          </w:p>
        </w:tc>
        <w:tc>
          <w:tcPr>
            <w:tcW w:w="10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(834,773 )</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633,393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2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2,794,549</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280" w:type="dxa"/>
            <w:vAlign w:val="bottom"/>
            <w:tcBorders>
              <w:top w:val="single" w:sz="8" w:color="CFF0FC"/>
            </w:tcBorders>
          </w:tcPr>
          <w:p>
            <w:pPr>
              <w:ind w:left="120"/>
              <w:spacing w:after="0" w:line="130" w:lineRule="exact"/>
              <w:rPr>
                <w:sz w:val="20"/>
                <w:szCs w:val="20"/>
                <w:color w:val="auto"/>
              </w:rPr>
            </w:pPr>
            <w:r>
              <w:rPr>
                <w:rFonts w:ascii="Arial" w:cs="Arial" w:eastAsia="Arial" w:hAnsi="Arial"/>
                <w:sz w:val="13"/>
                <w:szCs w:val="13"/>
                <w:color w:val="auto"/>
              </w:rPr>
              <w:t>Exercise of stock options, net of issuance costs</w:t>
            </w: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w w:val="76"/>
              </w:rPr>
              <w:t>—</w:t>
            </w:r>
          </w:p>
        </w:tc>
        <w:tc>
          <w:tcPr>
            <w:tcW w:w="2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251,486</w:t>
            </w:r>
          </w:p>
        </w:tc>
        <w:tc>
          <w:tcPr>
            <w:tcW w:w="24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3,184</w:t>
            </w:r>
          </w:p>
        </w:tc>
        <w:tc>
          <w:tcPr>
            <w:tcW w:w="20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3,184</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00" w:type="dxa"/>
            <w:vAlign w:val="bottom"/>
            <w:gridSpan w:val="2"/>
            <w:shd w:val="clear" w:color="auto" w:fill="CFF0FC"/>
          </w:tcPr>
          <w:p>
            <w:pPr>
              <w:ind w:left="120"/>
              <w:spacing w:after="0" w:line="108" w:lineRule="exact"/>
              <w:rPr>
                <w:sz w:val="20"/>
                <w:szCs w:val="20"/>
                <w:color w:val="auto"/>
              </w:rPr>
            </w:pPr>
            <w:r>
              <w:rPr>
                <w:rFonts w:ascii="Arial" w:cs="Arial" w:eastAsia="Arial" w:hAnsi="Arial"/>
                <w:sz w:val="12"/>
                <w:szCs w:val="12"/>
                <w:color w:val="auto"/>
              </w:rPr>
              <w:t>Issuance of common stock upon vesting of restricted stock</w:t>
            </w:r>
          </w:p>
        </w:tc>
        <w:tc>
          <w:tcPr>
            <w:tcW w:w="1040" w:type="dxa"/>
            <w:vAlign w:val="bottom"/>
            <w:gridSpan w:val="3"/>
            <w:vMerge w:val="restart"/>
            <w:shd w:val="clear" w:color="auto" w:fill="CFF0FC"/>
          </w:tcPr>
          <w:p>
            <w:pPr>
              <w:jc w:val="right"/>
              <w:ind w:right="857"/>
              <w:spacing w:after="0"/>
              <w:rPr>
                <w:sz w:val="20"/>
                <w:szCs w:val="20"/>
                <w:color w:val="auto"/>
              </w:rPr>
            </w:pPr>
            <w:r>
              <w:rPr>
                <w:rFonts w:ascii="Arial" w:cs="Arial" w:eastAsia="Arial" w:hAnsi="Arial"/>
                <w:sz w:val="13"/>
                <w:szCs w:val="13"/>
                <w:color w:val="auto"/>
                <w:w w:val="76"/>
              </w:rPr>
              <w:t>—</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73,227</w:t>
            </w: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units</w:t>
            </w:r>
          </w:p>
        </w:tc>
        <w:tc>
          <w:tcPr>
            <w:tcW w:w="1040" w:type="dxa"/>
            <w:vAlign w:val="bottom"/>
            <w:gridSpan w:val="3"/>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1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3"/>
          </w:tcPr>
          <w:p>
            <w:pPr>
              <w:jc w:val="right"/>
              <w:ind w:right="857"/>
              <w:spacing w:after="0"/>
              <w:rPr>
                <w:sz w:val="20"/>
                <w:szCs w:val="20"/>
                <w:color w:val="auto"/>
              </w:rPr>
            </w:pPr>
            <w:r>
              <w:rPr>
                <w:rFonts w:ascii="Arial" w:cs="Arial" w:eastAsia="Arial" w:hAnsi="Arial"/>
                <w:sz w:val="13"/>
                <w:szCs w:val="13"/>
                <w:color w:val="auto"/>
                <w:w w:val="76"/>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20,542</w:t>
            </w:r>
          </w:p>
        </w:tc>
        <w:tc>
          <w:tcPr>
            <w:tcW w:w="2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20,542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Unrealized loss on investments</w:t>
            </w:r>
          </w:p>
        </w:tc>
        <w:tc>
          <w:tcPr>
            <w:tcW w:w="1040" w:type="dxa"/>
            <w:vAlign w:val="bottom"/>
            <w:gridSpan w:val="3"/>
            <w:shd w:val="clear" w:color="auto" w:fill="CFF0FC"/>
          </w:tcPr>
          <w:p>
            <w:pPr>
              <w:jc w:val="right"/>
              <w:ind w:right="857"/>
              <w:spacing w:after="0"/>
              <w:rPr>
                <w:sz w:val="20"/>
                <w:szCs w:val="20"/>
                <w:color w:val="auto"/>
              </w:rPr>
            </w:pPr>
            <w:r>
              <w:rPr>
                <w:rFonts w:ascii="Arial" w:cs="Arial" w:eastAsia="Arial" w:hAnsi="Arial"/>
                <w:sz w:val="13"/>
                <w:szCs w:val="13"/>
                <w:color w:val="auto"/>
                <w:w w:val="76"/>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(531 )</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(531 )</w:t>
            </w:r>
          </w:p>
        </w:tc>
        <w:tc>
          <w:tcPr>
            <w:tcW w:w="0" w:type="dxa"/>
            <w:vAlign w:val="bottom"/>
          </w:tcPr>
          <w:p>
            <w:pPr>
              <w:spacing w:after="0"/>
              <w:rPr>
                <w:sz w:val="1"/>
                <w:szCs w:val="1"/>
                <w:color w:val="auto"/>
              </w:rPr>
            </w:pPr>
          </w:p>
        </w:tc>
      </w:tr>
      <w:tr>
        <w:trPr>
          <w:trHeight w:val="148"/>
        </w:trPr>
        <w:tc>
          <w:tcPr>
            <w:tcW w:w="3280" w:type="dxa"/>
            <w:vAlign w:val="bottom"/>
          </w:tcPr>
          <w:p>
            <w:pPr>
              <w:ind w:left="120"/>
              <w:spacing w:after="0"/>
              <w:rPr>
                <w:sz w:val="20"/>
                <w:szCs w:val="20"/>
                <w:color w:val="auto"/>
              </w:rPr>
            </w:pPr>
            <w:r>
              <w:rPr>
                <w:rFonts w:ascii="Arial" w:cs="Arial" w:eastAsia="Arial" w:hAnsi="Arial"/>
                <w:sz w:val="13"/>
                <w:szCs w:val="13"/>
                <w:color w:val="auto"/>
              </w:rPr>
              <w:t>Net loss</w:t>
            </w:r>
          </w:p>
        </w:tc>
        <w:tc>
          <w:tcPr>
            <w:tcW w:w="5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(76,105 )</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(76,105 )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8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Balance at June 30, 2022</w:t>
            </w: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96,862,79</w:t>
            </w:r>
          </w:p>
        </w:tc>
        <w:tc>
          <w:tcPr>
            <w:tcW w:w="2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6"/>
              </w:rPr>
              <w:t>97</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1,494,642</w:t>
            </w:r>
          </w:p>
        </w:tc>
        <w:tc>
          <w:tcPr>
            <w:tcW w:w="200" w:type="dxa"/>
            <w:vAlign w:val="bottom"/>
            <w:vMerge w:val="restart"/>
            <w:shd w:val="clear" w:color="auto" w:fill="CFF0FC"/>
          </w:tcPr>
          <w:p>
            <w:pPr>
              <w:spacing w:after="0"/>
              <w:rPr>
                <w:sz w:val="8"/>
                <w:szCs w:val="8"/>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(3,381 )</w:t>
            </w:r>
          </w:p>
        </w:tc>
        <w:tc>
          <w:tcPr>
            <w:tcW w:w="10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(910,878 )</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580,483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2,794,549</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1160" w:type="dxa"/>
            <w:vAlign w:val="bottom"/>
            <w:gridSpan w:val="2"/>
            <w:vMerge w:val="continue"/>
            <w:shd w:val="clear" w:color="auto" w:fill="CFF0FC"/>
          </w:tcPr>
          <w:p>
            <w:pPr>
              <w:spacing w:after="0"/>
              <w:rPr>
                <w:sz w:val="15"/>
                <w:szCs w:val="15"/>
                <w:color w:val="auto"/>
              </w:rPr>
            </w:pPr>
          </w:p>
        </w:tc>
        <w:tc>
          <w:tcPr>
            <w:tcW w:w="1020" w:type="dxa"/>
            <w:vAlign w:val="bottom"/>
            <w:gridSpan w:val="2"/>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-1533525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-1516380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-1533525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-1516380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-1533525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-1516380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-1533525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-1516380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-1533525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-1516380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-1533525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-1516380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-1533525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-1516380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-779145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-762635</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-779145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-762635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-779145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-762635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-779145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-762635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-779145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-762635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-779145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-762635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-779145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-762635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-25400</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-25400</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following table summarizes the Company’s changes in stockholders’ equity accounts for the three and six months ended June 30, 2021 (in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1580" w:type="dxa"/>
            <w:vAlign w:val="bottom"/>
            <w:gridSpan w:val="3"/>
            <w:vMerge w:val="restart"/>
          </w:tcPr>
          <w:p>
            <w:pPr>
              <w:jc w:val="right"/>
              <w:ind w:right="317"/>
              <w:spacing w:after="0"/>
              <w:rPr>
                <w:sz w:val="20"/>
                <w:szCs w:val="20"/>
                <w:color w:val="auto"/>
              </w:rPr>
            </w:pPr>
            <w:r>
              <w:rPr>
                <w:rFonts w:ascii="Arial" w:cs="Arial" w:eastAsia="Arial" w:hAnsi="Arial"/>
                <w:sz w:val="13"/>
                <w:szCs w:val="13"/>
                <w:b w:val="1"/>
                <w:bCs w:val="1"/>
                <w:color w:val="auto"/>
              </w:rPr>
              <w:t>Convertible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Common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2"/>
              </w:rPr>
              <w:t>Other</w:t>
            </w:r>
          </w:p>
        </w:tc>
        <w:tc>
          <w:tcPr>
            <w:tcW w:w="102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Preferred Stock</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2"/>
                <w:szCs w:val="12"/>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1020" w:type="dxa"/>
            <w:vAlign w:val="bottom"/>
            <w:gridSpan w:val="3"/>
            <w:vMerge w:val="continue"/>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6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3"/>
                <w:szCs w:val="13"/>
                <w:b w:val="1"/>
                <w:bCs w:val="1"/>
                <w:color w:val="auto"/>
                <w:w w:val="89"/>
              </w:rPr>
              <w:t>Gain (Loss)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97"/>
              <w:spacing w:after="0" w:line="142"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26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Balance at December 31, 2020</w:t>
            </w:r>
          </w:p>
        </w:tc>
        <w:tc>
          <w:tcPr>
            <w:tcW w:w="64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2,794,54</w:t>
            </w:r>
          </w:p>
        </w:tc>
        <w:tc>
          <w:tcPr>
            <w:tcW w:w="240" w:type="dxa"/>
            <w:vAlign w:val="bottom"/>
            <w:vMerge w:val="restart"/>
            <w:shd w:val="clear" w:color="auto" w:fill="CFF0FC"/>
          </w:tcPr>
          <w:p>
            <w:pPr>
              <w:spacing w:after="0"/>
              <w:rPr>
                <w:sz w:val="8"/>
                <w:szCs w:val="8"/>
                <w:color w:val="auto"/>
              </w:rPr>
            </w:pPr>
          </w:p>
        </w:tc>
        <w:tc>
          <w:tcPr>
            <w:tcW w:w="700" w:type="dxa"/>
            <w:vAlign w:val="bottom"/>
            <w:vMerge w:val="restart"/>
            <w:shd w:val="clear" w:color="auto" w:fill="CFF0FC"/>
          </w:tcPr>
          <w:p>
            <w:pPr>
              <w:jc w:val="right"/>
              <w:ind w:right="557"/>
              <w:spacing w:after="0"/>
              <w:rPr>
                <w:sz w:val="20"/>
                <w:szCs w:val="20"/>
                <w:color w:val="auto"/>
              </w:rPr>
            </w:pPr>
            <w:r>
              <w:rPr>
                <w:rFonts w:ascii="Arial" w:cs="Arial" w:eastAsia="Arial" w:hAnsi="Arial"/>
                <w:sz w:val="13"/>
                <w:szCs w:val="13"/>
                <w:color w:val="auto"/>
                <w:w w:val="82"/>
              </w:rPr>
              <w:t>$</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87,722,2</w:t>
            </w:r>
          </w:p>
        </w:tc>
        <w:tc>
          <w:tcPr>
            <w:tcW w:w="220" w:type="dxa"/>
            <w:vAlign w:val="bottom"/>
            <w:vMerge w:val="restart"/>
            <w:shd w:val="clear" w:color="auto" w:fill="CFF0FC"/>
          </w:tcPr>
          <w:p>
            <w:pPr>
              <w:spacing w:after="0"/>
              <w:rPr>
                <w:sz w:val="8"/>
                <w:szCs w:val="8"/>
                <w:color w:val="auto"/>
              </w:rPr>
            </w:pPr>
          </w:p>
        </w:tc>
        <w:tc>
          <w:tcPr>
            <w:tcW w:w="680" w:type="dxa"/>
            <w:vAlign w:val="bottom"/>
            <w:vMerge w:val="restart"/>
            <w:shd w:val="clear" w:color="auto" w:fill="CFF0FC"/>
          </w:tcPr>
          <w:p>
            <w:pPr>
              <w:jc w:val="right"/>
              <w:ind w:right="537"/>
              <w:spacing w:after="0"/>
              <w:rPr>
                <w:sz w:val="20"/>
                <w:szCs w:val="20"/>
                <w:color w:val="auto"/>
              </w:rPr>
            </w:pPr>
            <w:r>
              <w:rPr>
                <w:rFonts w:ascii="Arial" w:cs="Arial" w:eastAsia="Arial" w:hAnsi="Arial"/>
                <w:sz w:val="13"/>
                <w:szCs w:val="13"/>
                <w:color w:val="auto"/>
                <w:w w:val="82"/>
              </w:rPr>
              <w:t>$</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6"/>
              </w:rPr>
              <w:t>88</w:t>
            </w:r>
          </w:p>
        </w:tc>
        <w:tc>
          <w:tcPr>
            <w:tcW w:w="200" w:type="dxa"/>
            <w:vAlign w:val="bottom"/>
            <w:vMerge w:val="restart"/>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941,216</w:t>
            </w:r>
          </w:p>
        </w:tc>
        <w:tc>
          <w:tcPr>
            <w:tcW w:w="20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20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(556,932 )</w:t>
            </w: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384,445</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2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220" w:type="dxa"/>
            <w:vAlign w:val="bottom"/>
            <w:vMerge w:val="continue"/>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80" w:type="dxa"/>
            <w:vAlign w:val="bottom"/>
            <w:vMerge w:val="continue"/>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260" w:type="dxa"/>
            <w:vAlign w:val="bottom"/>
            <w:tcBorders>
              <w:top w:val="single" w:sz="8" w:color="CFF0FC"/>
            </w:tcBorders>
          </w:tcPr>
          <w:p>
            <w:pPr>
              <w:ind w:left="120"/>
              <w:spacing w:after="0" w:line="130" w:lineRule="exact"/>
              <w:rPr>
                <w:sz w:val="20"/>
                <w:szCs w:val="20"/>
                <w:color w:val="auto"/>
              </w:rPr>
            </w:pPr>
            <w:r>
              <w:rPr>
                <w:rFonts w:ascii="Arial" w:cs="Arial" w:eastAsia="Arial" w:hAnsi="Arial"/>
                <w:sz w:val="13"/>
                <w:szCs w:val="13"/>
                <w:color w:val="auto"/>
              </w:rPr>
              <w:t>Exercise of stock options, net of issuance costs</w:t>
            </w: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613,015</w:t>
            </w:r>
          </w:p>
        </w:tc>
        <w:tc>
          <w:tcPr>
            <w:tcW w:w="2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1</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5,647</w:t>
            </w: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color w:val="auto"/>
              </w:rPr>
              <w:t>5,648</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FF0FC"/>
          </w:tcPr>
          <w:p>
            <w:pPr>
              <w:ind w:left="120"/>
              <w:spacing w:after="0" w:line="108" w:lineRule="exact"/>
              <w:rPr>
                <w:sz w:val="20"/>
                <w:szCs w:val="20"/>
                <w:color w:val="auto"/>
              </w:rPr>
            </w:pPr>
            <w:r>
              <w:rPr>
                <w:rFonts w:ascii="Arial" w:cs="Arial" w:eastAsia="Arial" w:hAnsi="Arial"/>
                <w:sz w:val="12"/>
                <w:szCs w:val="12"/>
                <w:color w:val="auto"/>
              </w:rPr>
              <w:t>Issuance of common stock upon vesting of restricted stock</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430,620</w:t>
            </w: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units</w:t>
            </w: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12,976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FF0FC"/>
          </w:tcPr>
          <w:p>
            <w:pPr>
              <w:ind w:left="120"/>
              <w:spacing w:after="0" w:line="108" w:lineRule="exact"/>
              <w:rPr>
                <w:sz w:val="20"/>
                <w:szCs w:val="20"/>
                <w:color w:val="auto"/>
              </w:rPr>
            </w:pPr>
            <w:r>
              <w:rPr>
                <w:rFonts w:ascii="Arial" w:cs="Arial" w:eastAsia="Arial" w:hAnsi="Arial"/>
                <w:sz w:val="12"/>
                <w:szCs w:val="12"/>
                <w:color w:val="auto"/>
                <w:w w:val="97"/>
              </w:rPr>
              <w:t>Public offering of common stock and issuance of pre-funded</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5,122,80</w:t>
            </w: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432,440</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432,445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warrants, net of issuance costs</w:t>
            </w: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20"/>
              <w:spacing w:after="0"/>
              <w:rPr>
                <w:sz w:val="20"/>
                <w:szCs w:val="20"/>
                <w:color w:val="auto"/>
              </w:rPr>
            </w:pPr>
            <w:r>
              <w:rPr>
                <w:rFonts w:ascii="Arial" w:cs="Arial" w:eastAsia="Arial" w:hAnsi="Arial"/>
                <w:sz w:val="13"/>
                <w:szCs w:val="13"/>
                <w:color w:val="auto"/>
              </w:rPr>
              <w:t>Unrealized loss on investments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(330 )</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(330 )</w:t>
            </w: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loss</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(45,089 )</w:t>
            </w: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(45,089 )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260" w:type="dxa"/>
            <w:vAlign w:val="bottom"/>
          </w:tcPr>
          <w:p>
            <w:pPr>
              <w:ind w:left="20"/>
              <w:spacing w:after="0" w:line="102" w:lineRule="exact"/>
              <w:rPr>
                <w:sz w:val="20"/>
                <w:szCs w:val="20"/>
                <w:color w:val="auto"/>
              </w:rPr>
            </w:pPr>
            <w:r>
              <w:rPr>
                <w:rFonts w:ascii="Arial" w:cs="Arial" w:eastAsia="Arial" w:hAnsi="Arial"/>
                <w:sz w:val="10"/>
                <w:szCs w:val="10"/>
                <w:color w:val="auto"/>
              </w:rPr>
              <w:t>Balance at March 31, 2021</w:t>
            </w:r>
          </w:p>
        </w:tc>
        <w:tc>
          <w:tcPr>
            <w:tcW w:w="640" w:type="dxa"/>
            <w:vAlign w:val="bottom"/>
          </w:tcPr>
          <w:p>
            <w:pPr>
              <w:jc w:val="right"/>
              <w:spacing w:after="0" w:line="102" w:lineRule="exact"/>
              <w:rPr>
                <w:sz w:val="20"/>
                <w:szCs w:val="20"/>
                <w:color w:val="auto"/>
              </w:rPr>
            </w:pPr>
            <w:r>
              <w:rPr>
                <w:rFonts w:ascii="Arial" w:cs="Arial" w:eastAsia="Arial" w:hAnsi="Arial"/>
                <w:sz w:val="10"/>
                <w:szCs w:val="10"/>
                <w:color w:val="auto"/>
              </w:rPr>
              <w:t>2,794,54</w:t>
            </w:r>
          </w:p>
        </w:tc>
        <w:tc>
          <w:tcPr>
            <w:tcW w:w="240" w:type="dxa"/>
            <w:vAlign w:val="bottom"/>
            <w:vMerge w:val="restart"/>
          </w:tcPr>
          <w:p>
            <w:pPr>
              <w:spacing w:after="0"/>
              <w:rPr>
                <w:sz w:val="8"/>
                <w:szCs w:val="8"/>
                <w:color w:val="auto"/>
              </w:rPr>
            </w:pPr>
          </w:p>
        </w:tc>
        <w:tc>
          <w:tcPr>
            <w:tcW w:w="700" w:type="dxa"/>
            <w:vAlign w:val="bottom"/>
            <w:vMerge w:val="restart"/>
          </w:tcPr>
          <w:p>
            <w:pPr>
              <w:jc w:val="right"/>
              <w:ind w:right="557"/>
              <w:spacing w:after="0"/>
              <w:rPr>
                <w:sz w:val="20"/>
                <w:szCs w:val="20"/>
                <w:color w:val="auto"/>
              </w:rPr>
            </w:pPr>
            <w:r>
              <w:rPr>
                <w:rFonts w:ascii="Arial" w:cs="Arial" w:eastAsia="Arial" w:hAnsi="Arial"/>
                <w:sz w:val="13"/>
                <w:szCs w:val="13"/>
                <w:color w:val="auto"/>
                <w:w w:val="82"/>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10"/>
                <w:szCs w:val="10"/>
                <w:color w:val="auto"/>
              </w:rPr>
              <w:t>93,888,6</w:t>
            </w:r>
          </w:p>
        </w:tc>
        <w:tc>
          <w:tcPr>
            <w:tcW w:w="220" w:type="dxa"/>
            <w:vAlign w:val="bottom"/>
            <w:vMerge w:val="restart"/>
          </w:tcPr>
          <w:p>
            <w:pPr>
              <w:spacing w:after="0"/>
              <w:rPr>
                <w:sz w:val="8"/>
                <w:szCs w:val="8"/>
                <w:color w:val="auto"/>
              </w:rPr>
            </w:pPr>
          </w:p>
        </w:tc>
        <w:tc>
          <w:tcPr>
            <w:tcW w:w="680" w:type="dxa"/>
            <w:vAlign w:val="bottom"/>
            <w:vMerge w:val="restart"/>
          </w:tcPr>
          <w:p>
            <w:pPr>
              <w:jc w:val="right"/>
              <w:ind w:right="537"/>
              <w:spacing w:after="0"/>
              <w:rPr>
                <w:sz w:val="20"/>
                <w:szCs w:val="20"/>
                <w:color w:val="auto"/>
              </w:rPr>
            </w:pPr>
            <w:r>
              <w:rPr>
                <w:rFonts w:ascii="Arial" w:cs="Arial" w:eastAsia="Arial" w:hAnsi="Arial"/>
                <w:sz w:val="13"/>
                <w:szCs w:val="13"/>
                <w:color w:val="auto"/>
                <w:w w:val="82"/>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w w:val="96"/>
              </w:rPr>
              <w:t>94</w:t>
            </w:r>
          </w:p>
        </w:tc>
        <w:tc>
          <w:tcPr>
            <w:tcW w:w="20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1,392,279</w:t>
            </w:r>
          </w:p>
        </w:tc>
        <w:tc>
          <w:tcPr>
            <w:tcW w:w="20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(260 )</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(602,021 )</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790,095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79</w:t>
            </w: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60" w:type="dxa"/>
            <w:vAlign w:val="bottom"/>
            <w:shd w:val="clear" w:color="auto" w:fill="CFF0FC"/>
          </w:tcPr>
          <w:p>
            <w:pPr>
              <w:ind w:left="120"/>
              <w:spacing w:after="0" w:line="130" w:lineRule="exact"/>
              <w:rPr>
                <w:sz w:val="20"/>
                <w:szCs w:val="20"/>
                <w:color w:val="auto"/>
              </w:rPr>
            </w:pPr>
            <w:r>
              <w:rPr>
                <w:rFonts w:ascii="Arial" w:cs="Arial" w:eastAsia="Arial" w:hAnsi="Arial"/>
                <w:sz w:val="13"/>
                <w:szCs w:val="13"/>
                <w:color w:val="auto"/>
              </w:rPr>
              <w:t>Exercise of stock options, net of issuance costs</w:t>
            </w:r>
          </w:p>
        </w:tc>
        <w:tc>
          <w:tcPr>
            <w:tcW w:w="64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368,947</w:t>
            </w: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3,681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0" w:lineRule="exact"/>
              <w:rPr>
                <w:sz w:val="20"/>
                <w:szCs w:val="20"/>
                <w:color w:val="auto"/>
              </w:rPr>
            </w:pPr>
            <w:r>
              <w:rPr>
                <w:rFonts w:ascii="Arial" w:cs="Arial" w:eastAsia="Arial" w:hAnsi="Arial"/>
                <w:sz w:val="13"/>
                <w:szCs w:val="13"/>
                <w:color w:val="auto"/>
              </w:rPr>
              <w:t>3,681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60" w:type="dxa"/>
            <w:vAlign w:val="bottom"/>
          </w:tcPr>
          <w:p>
            <w:pPr>
              <w:ind w:left="120"/>
              <w:spacing w:after="0" w:line="108" w:lineRule="exact"/>
              <w:rPr>
                <w:sz w:val="20"/>
                <w:szCs w:val="20"/>
                <w:color w:val="auto"/>
              </w:rPr>
            </w:pPr>
            <w:r>
              <w:rPr>
                <w:rFonts w:ascii="Arial" w:cs="Arial" w:eastAsia="Arial" w:hAnsi="Arial"/>
                <w:sz w:val="12"/>
                <w:szCs w:val="12"/>
                <w:color w:val="auto"/>
              </w:rPr>
              <w:t>Issuance of common stock upon vesting of restricted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color w:val="auto"/>
              </w:rPr>
              <w:t>7,500</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260" w:type="dxa"/>
            <w:vAlign w:val="bottom"/>
          </w:tcPr>
          <w:p>
            <w:pPr>
              <w:ind w:left="120"/>
              <w:spacing w:after="0"/>
              <w:rPr>
                <w:sz w:val="20"/>
                <w:szCs w:val="20"/>
                <w:color w:val="auto"/>
              </w:rPr>
            </w:pPr>
            <w:r>
              <w:rPr>
                <w:rFonts w:ascii="Arial" w:cs="Arial" w:eastAsia="Arial" w:hAnsi="Arial"/>
                <w:sz w:val="13"/>
                <w:szCs w:val="13"/>
                <w:color w:val="auto"/>
              </w:rPr>
              <w:t>units</w:t>
            </w: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Stock-based compensation</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20"/>
              <w:spacing w:after="0"/>
              <w:rPr>
                <w:sz w:val="20"/>
                <w:szCs w:val="20"/>
                <w:color w:val="auto"/>
              </w:rPr>
            </w:pPr>
            <w:r>
              <w:rPr>
                <w:rFonts w:ascii="Arial" w:cs="Arial" w:eastAsia="Arial" w:hAnsi="Arial"/>
                <w:sz w:val="13"/>
                <w:szCs w:val="13"/>
                <w:color w:val="auto"/>
              </w:rPr>
              <w:t>Unrealized gain on investments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loss</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(55,133 )</w:t>
            </w: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(55,133 )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260" w:type="dxa"/>
            <w:vAlign w:val="bottom"/>
          </w:tcPr>
          <w:p>
            <w:pPr>
              <w:ind w:left="20"/>
              <w:spacing w:after="0" w:line="102" w:lineRule="exact"/>
              <w:rPr>
                <w:sz w:val="20"/>
                <w:szCs w:val="20"/>
                <w:color w:val="auto"/>
              </w:rPr>
            </w:pPr>
            <w:r>
              <w:rPr>
                <w:rFonts w:ascii="Arial" w:cs="Arial" w:eastAsia="Arial" w:hAnsi="Arial"/>
                <w:sz w:val="10"/>
                <w:szCs w:val="10"/>
                <w:color w:val="auto"/>
              </w:rPr>
              <w:t>Balance at June 30, 2021</w:t>
            </w:r>
          </w:p>
        </w:tc>
        <w:tc>
          <w:tcPr>
            <w:tcW w:w="640" w:type="dxa"/>
            <w:vAlign w:val="bottom"/>
          </w:tcPr>
          <w:p>
            <w:pPr>
              <w:jc w:val="right"/>
              <w:spacing w:after="0" w:line="102" w:lineRule="exact"/>
              <w:rPr>
                <w:sz w:val="20"/>
                <w:szCs w:val="20"/>
                <w:color w:val="auto"/>
              </w:rPr>
            </w:pPr>
            <w:r>
              <w:rPr>
                <w:rFonts w:ascii="Arial" w:cs="Arial" w:eastAsia="Arial" w:hAnsi="Arial"/>
                <w:sz w:val="10"/>
                <w:szCs w:val="10"/>
                <w:color w:val="auto"/>
              </w:rPr>
              <w:t>2,794,54</w:t>
            </w:r>
          </w:p>
        </w:tc>
        <w:tc>
          <w:tcPr>
            <w:tcW w:w="240" w:type="dxa"/>
            <w:vAlign w:val="bottom"/>
            <w:vMerge w:val="restart"/>
          </w:tcPr>
          <w:p>
            <w:pPr>
              <w:spacing w:after="0"/>
              <w:rPr>
                <w:sz w:val="8"/>
                <w:szCs w:val="8"/>
                <w:color w:val="auto"/>
              </w:rPr>
            </w:pPr>
          </w:p>
        </w:tc>
        <w:tc>
          <w:tcPr>
            <w:tcW w:w="700" w:type="dxa"/>
            <w:vAlign w:val="bottom"/>
            <w:vMerge w:val="restart"/>
          </w:tcPr>
          <w:p>
            <w:pPr>
              <w:jc w:val="right"/>
              <w:ind w:right="557"/>
              <w:spacing w:after="0"/>
              <w:rPr>
                <w:sz w:val="20"/>
                <w:szCs w:val="20"/>
                <w:color w:val="auto"/>
              </w:rPr>
            </w:pPr>
            <w:r>
              <w:rPr>
                <w:rFonts w:ascii="Arial" w:cs="Arial" w:eastAsia="Arial" w:hAnsi="Arial"/>
                <w:sz w:val="13"/>
                <w:szCs w:val="13"/>
                <w:color w:val="auto"/>
                <w:w w:val="82"/>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10"/>
                <w:szCs w:val="10"/>
                <w:color w:val="auto"/>
              </w:rPr>
              <w:t>94,265,1</w:t>
            </w:r>
          </w:p>
        </w:tc>
        <w:tc>
          <w:tcPr>
            <w:tcW w:w="220" w:type="dxa"/>
            <w:vAlign w:val="bottom"/>
            <w:vMerge w:val="restart"/>
          </w:tcPr>
          <w:p>
            <w:pPr>
              <w:spacing w:after="0"/>
              <w:rPr>
                <w:sz w:val="8"/>
                <w:szCs w:val="8"/>
                <w:color w:val="auto"/>
              </w:rPr>
            </w:pPr>
          </w:p>
        </w:tc>
        <w:tc>
          <w:tcPr>
            <w:tcW w:w="680" w:type="dxa"/>
            <w:vAlign w:val="bottom"/>
            <w:vMerge w:val="restart"/>
          </w:tcPr>
          <w:p>
            <w:pPr>
              <w:jc w:val="right"/>
              <w:ind w:right="537"/>
              <w:spacing w:after="0"/>
              <w:rPr>
                <w:sz w:val="20"/>
                <w:szCs w:val="20"/>
                <w:color w:val="auto"/>
              </w:rPr>
            </w:pPr>
            <w:r>
              <w:rPr>
                <w:rFonts w:ascii="Arial" w:cs="Arial" w:eastAsia="Arial" w:hAnsi="Arial"/>
                <w:sz w:val="13"/>
                <w:szCs w:val="13"/>
                <w:color w:val="auto"/>
                <w:w w:val="82"/>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w w:val="96"/>
              </w:rPr>
              <w:t>94</w:t>
            </w:r>
          </w:p>
        </w:tc>
        <w:tc>
          <w:tcPr>
            <w:tcW w:w="20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1,409,214</w:t>
            </w:r>
          </w:p>
        </w:tc>
        <w:tc>
          <w:tcPr>
            <w:tcW w:w="20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(86 )</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(657,154 )</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752,071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w:t>
            </w:r>
          </w:p>
        </w:tc>
        <w:tc>
          <w:tcPr>
            <w:tcW w:w="2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-1704975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-1687830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-1704975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-1687830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-1704975</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-1687830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-1704975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-1687830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-1704975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-1687830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-1704975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-1687830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-1704975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-1687830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-956310</wp:posOffset>
            </wp:positionV>
            <wp:extent cx="7683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-956310</wp:posOffset>
            </wp:positionV>
            <wp:extent cx="7683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-956310</wp:posOffset>
            </wp:positionV>
            <wp:extent cx="7747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-956310</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-956310</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-956310</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-956310</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-956310</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-201930</wp:posOffset>
            </wp:positionV>
            <wp:extent cx="7683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-201930</wp:posOffset>
            </wp:positionV>
            <wp:extent cx="7683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-201930</wp:posOffset>
            </wp:positionV>
            <wp:extent cx="7747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-201930</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-201930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-201930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-201930</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-201930</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2021 and the related Management’s Discussion and Analysis of Financial Condition and Results of Operations, which are contained in our Annual Report on Form 10-K filed with the Securities and Exchange Commission on February 28, 2022.</w:t>
      </w:r>
    </w:p>
    <w:p>
      <w:pPr>
        <w:spacing w:after="0" w:line="80"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Item 1A of Part II below. Except as required by law, we undertake no obligation to update these forward-looking statements to reflect events or circumstances after the date of this report or to reflect actual outcomes.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a clinical-stage biopharmaceutical company dedicated to the development of programmed cellular immunotherapies for patients with cancer.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 are developing first-in-class cell therapy product candidates based on a simple notion: we believe that better cell therapies start with better cells.</w:t>
      </w:r>
    </w:p>
    <w:p>
      <w:pPr>
        <w:spacing w:after="0" w:line="99"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To create better cell therapies, we use a therapeutic approach that we generally refer to as cell programming. We use human induced pluripotent stem cells (iPSCs) to generate a clonal master iPSC line having preferred biological properties, and we direct the fate of the clonal master iPSC line to create our cell therapy product candidate. Analogous to master cell lines used to manufacture biopharmaceutical drug products such as monoclonal antibodies, we believe clonal master iPSC lines can be used as a renewable source for manufacturing cell therapy products which are well-defined and uniform in composition, can be repeatedly mass produced at significant scale in a cost-effective manner, and can be delivered off-the-shelf to treat many patients. Utilizing these therapeutic approaches, we program cells of the blood and immune system and are advancing a pipeline of programmed cellular immunotherapies, including off-the-shelf natural killer (NK) and T-cell product candidates derived from clonal master iPSC lines for the treatment of cancer.</w:t>
      </w:r>
    </w:p>
    <w:p>
      <w:pPr>
        <w:spacing w:after="0" w:line="8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have entered into a research collaboration and license agreement with the Regents of the University of Minnesota to develop off-the-shelf, engineered NK-cell cancer immunotherapies derived from clonal master iPSC lines. Additionally, we have entered into a research collaboration and license agreement with Memorial Sloan Kettering Cancer Center (MSK) to develop off-the-shelf, engineered T-cell cancer immunotherapies derived from clonal master iPSC lines.</w:t>
      </w:r>
    </w:p>
    <w:p>
      <w:pPr>
        <w:spacing w:after="0" w:line="80"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September 2018, we entered into a collaboration and option agreement with Ono Pharmaceutical Co. Ltd. (Ono) for the joint development and commercialization of off-the-shelf, iPSC-derived chimeric antigen receptor (CAR) T-cell product candidates (Ono Agreement) for the treatment of cancer. In June 2022, we entered into an amendment (Ono Amendment) to the Ono Agreement to expand the collaboration to include the research and development of off-the-shelf, iPSC-derived CAR NK-cell product candidates and pursuant to the Ono Amendment, Ono agreed to provide novel binding domains targeting a second solid tumor antigen under the collaboration.</w:t>
      </w:r>
    </w:p>
    <w:p>
      <w:pPr>
        <w:spacing w:after="0" w:line="8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April 2020, we entered into a collaboration and option agreement with Janssen Biotech, Inc. (Janssen), part of the Janssen Pharmaceutical Companies of Johnson &amp; Johnson (Janssen Agreement), for the development and commercialization of off-the-shelf, iPSC-derived CAR NK- and CAR T-cell product candidates for the treatment of cancer.</w:t>
      </w:r>
    </w:p>
    <w:p>
      <w:pPr>
        <w:spacing w:after="0" w:line="7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were incorporated in Delaware in 2007, and are headquartered in San Diego, CA. Since our inception in 2007, we have devoted substantially all of our resources to our cell programming approach and the research and development of our product candidates, the creation, licensing and protection of related intellectual property, and the provision of general and administrative support for these activities. To date, we have funded our operations primarily through the public and private sale of common stock, the private placement of preferred stock and convertible notes, commercial bank debt and revenues from collaboration activities and grants.</w:t>
      </w:r>
    </w:p>
    <w:p>
      <w:pPr>
        <w:spacing w:after="0" w:line="81"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We have never been profitable and have incurred net losses in each year since inception. Substantially all of our net losses resulted from costs 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increase substantially in connection with our ongoing and planned activities as we: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ind w:left="1020" w:right="24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conduct our ongoing and planned clinical trials of our product candidates, which may include higher clinical trial expenses associated with arrangements we enter into with clinical research organizations (CROs) for the execution and management of certain clinical trials;</w:t>
      </w:r>
    </w:p>
    <w:p>
      <w:pPr>
        <w:spacing w:after="0" w:line="16" w:lineRule="exact"/>
        <w:rPr>
          <w:rFonts w:ascii="Arial" w:cs="Arial" w:eastAsia="Arial" w:hAnsi="Arial"/>
          <w:sz w:val="16"/>
          <w:szCs w:val="16"/>
          <w:color w:val="auto"/>
        </w:rPr>
      </w:pPr>
    </w:p>
    <w:p>
      <w:pPr>
        <w:ind w:left="1020" w:right="260" w:hanging="503"/>
        <w:spacing w:after="0" w:line="24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IND-enabling preclinical development;</w:t>
      </w:r>
    </w:p>
    <w:p>
      <w:pPr>
        <w:spacing w:after="0" w:line="79"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procure laboratory equipment, materials and supplies for the manufacture of our product candidates and the conduct of our research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preclinical and clinical research to investigate the therapeutic activity of our product candidates;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research, development and manufacturing activities, including under our sponsored research and collaboration agreements with Janssen and Ono;</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prosecute, protect, expand and enforce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with regulatory authorities for the development of, and seek regulatory approvals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out business operations at our new corporate headquarters, including internal GMP production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manufacturing, regulatory, quality control and technical personnel to advance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scientific personnel to advance our research and development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personnel to build out our commercialization, marketing and medical teams; and</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general and administrative personnel to continue operating as a public company and support our operations and develop commercial infrastructure for potential commercialization of our product candidates.</w:t>
      </w:r>
    </w:p>
    <w:p>
      <w:pPr>
        <w:spacing w:after="0" w:line="17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do not expect to generate any meaningful product sales or royalty revenue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w:t>
      </w:r>
    </w:p>
    <w:p>
      <w:pPr>
        <w:spacing w:after="0" w:line="175" w:lineRule="exact"/>
        <w:rPr>
          <w:sz w:val="20"/>
          <w:szCs w:val="20"/>
          <w:color w:val="auto"/>
        </w:rPr>
      </w:pPr>
    </w:p>
    <w:p>
      <w:pPr>
        <w:ind w:right="120" w:firstLine="509"/>
        <w:spacing w:after="0" w:line="251" w:lineRule="auto"/>
        <w:rPr>
          <w:sz w:val="20"/>
          <w:szCs w:val="20"/>
          <w:color w:val="auto"/>
        </w:rPr>
      </w:pPr>
      <w:r>
        <w:rPr>
          <w:rFonts w:ascii="Arial" w:cs="Arial" w:eastAsia="Arial" w:hAnsi="Arial"/>
          <w:sz w:val="17"/>
          <w:szCs w:val="17"/>
          <w:color w:val="auto"/>
        </w:rPr>
        <w:t>Due to the global outbreak of SARS-CoV-2, the strain of coronavirus that causes Coronavirus disease 2019 (COVID-19), we continued to experience impacts on certain aspects of our business, including our clinical trial, manufacturing, and research and development activities, during the six months ended June 30, 2022. While our business sites have remained open, we have continued to offer flexible work arrangements in the interests of maintaining the health and safety of our employees. In addition, the COVID-19 pandemic has continued to impact the timing of our ongoing clinical studies, with slower site activation, patient enrollment and treatment in certain of our clinical studies as a result of precautionary measures taken by some clinical trial sites to protect both site staff and patients from possible COVID-19 exposure. We also continue to experience delays in obtaining equipment, materials, and supplies needed to maintain our operations and manufacture our product candidates as a result of production shortages experienced by our suppliers as a result of the COVID-19 pandemic. The scope and duration of these delays and disruptions, and the ultimate impacts of the COVID-19 pandemic on our operations, remain uncertain, and depend on continuously changing circumstances, including the emergence of new variants of the virus, such as the Omicron BA.4 and BA.5 variants. We are continuing to actively monitor the situation and may take further precautionary and preemptive actions as may be required by federal, state or local authorities or that we determine are in the best interests of public health and safety and that of our patient community, employees, partners, and stockholders. We cannot predict the effects that such actions, or the impact of the ongoing COVID-19 pandemic, including the emergence of new variants of the virus, on global business operations and economic conditions, may have on our business, strategy, collaborations, or financial and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conduct substantially all of our activities through Fate Therapeutics, Inc., a Delaware corporation, at our facilities headquartered in San Diego, California. Fate Therapeutics, Inc. owns 100% of the voting shares of Tfinity Therapeutics, Inc. (Tfinity), incorporated in the United States, 100% of the voting shares of Fate Therapeutics Ltd. (Fate Ltd.), incorporated in the United Kingdom, and 100% of the voting shares of Fate Therapeutics B.V. (Fate B.V.), incorporated in the Netherlands. The following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right="180"/>
        <w:spacing w:after="0" w:line="324" w:lineRule="auto"/>
        <w:rPr>
          <w:sz w:val="20"/>
          <w:szCs w:val="20"/>
          <w:color w:val="auto"/>
        </w:rPr>
      </w:pPr>
      <w:r>
        <w:rPr>
          <w:rFonts w:ascii="Arial" w:cs="Arial" w:eastAsia="Arial" w:hAnsi="Arial"/>
          <w:sz w:val="16"/>
          <w:szCs w:val="16"/>
          <w:color w:val="auto"/>
        </w:rPr>
        <w:t>information is presented on a consolidated basis to include the accounts of Fate Therapeutics, Inc., Tfinity, Fate B.V., and Fate Ltd. To date, the aggregate operations of our subsidiaries have not been significant and all intercompany transactions and balances have been eliminated in consolidation.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To date, we have not generated any revenues from therapeutic product sales. Our revenues have been derived from collaboration agreements and government grants.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Janssen Biotech, Inc.</w:t>
      </w:r>
    </w:p>
    <w:p>
      <w:pPr>
        <w:spacing w:after="0" w:line="104"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On April 2, 2020 (the Janssen Agreement Effective Date), we entered into a Collaboration and Option Agreement (the Janssen Agreement) with Janssen Biotech, Inc. (Janssen), part of the Janssen Pharmaceutical Companies of Johnson &amp; Johnson. Additionally, on the Janssen Agreement Effective Date, we entered into a Stock Purchase Agreement (the Stock Purchase Agreement) with Johnson &amp; Johnson Innovation - JJDC, Inc. (JJDC). Under the terms of the Janssen Agreement and the Stock Purchase Agreement taken together, we received $100.0 million, of which $50.0 million is an upfront cash payment and $50.0 million is in the form of an equity investment by JJDC. Additionally, we are entitled to receive fees for the conduct of all research, preclinical development and IND-enabling activities performed by us under the Janssen Agreement.</w:t>
      </w:r>
    </w:p>
    <w:p>
      <w:pPr>
        <w:spacing w:after="0" w:line="67"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determined the common stock purchase by JJDC represented a premium of $9.93 per share, or $16.0 million in aggregate (the Equity Premium), and the remaining $34.0 million was recorded as issuance of common stock in shareholders’ equity.</w:t>
      </w:r>
    </w:p>
    <w:p>
      <w:pPr>
        <w:spacing w:after="0" w:line="63"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 xml:space="preserve">We concluded that certain units of account within the Janssen Agreement represented a customer relationship, and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we determined that the initial transaction price under the Janssen Agreement equals $66.0 million, consisting of the upfront, non-refundable and non-creditable payment of $50.0 million and the Equity Premium of $16.0 million. In addition, we identified our potential performance obligations under the Janssen Agreement, including our grant to Janssen of a license to certain of our intellectual property subject to certain conditions, our conduct of research and development services, and our participation in various joint oversight committees. We determined that our grant of a license to Janssen and our conduct of research and development services should be accounted for as one combined performance obligation, and that the combined performance obligation is transferred over the expected term of the conduct of the research and development services, which is estimated to be four years. Additionally, we determined that participation in the various joint oversight committees did not constitute a performance obligation as our participation in the various joint oversight committees does not transfer a service.</w:t>
      </w:r>
    </w:p>
    <w:p>
      <w:pPr>
        <w:spacing w:after="0" w:line="61"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During the six months ended June 30, 2022, we achieved two additional research milestones under the Janssen Agreement and received a $3.0 million cash payment per milestone achieved, for a total of $6.0 million received.</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During the six months ended June 30, 2022, Janssen elected to exercise a commercial option for a development candidate with respect to a particular Janssen Antigen (as defined under the Janssen Agreement), and as a result, we earned and received an Option Exercise Payment (as defined under the Janssen Agreement) of $10.0 million cash under the Janssen Agreement.</w:t>
      </w:r>
    </w:p>
    <w:p>
      <w:pPr>
        <w:spacing w:after="0" w:line="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During the three and six months ended June 30, 2022, we recognized $18.1 million and $34.1 million, respectively, of collaboration revenue under the Janssen Agreement. During the three and six months ended June 30, 2021, we recognized $10.9 million and $19.5 million, respectively, of collaboration revenue under the Janssen Agreement, respectively. As of June 30, 2022, aggregate deferred revenue related to the Janssen Agreement was $51.4 million.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Ono Pharmaceutical Co., Ltd.</w:t>
      </w:r>
    </w:p>
    <w:p>
      <w:pPr>
        <w:spacing w:after="0" w:line="104" w:lineRule="exact"/>
        <w:rPr>
          <w:sz w:val="20"/>
          <w:szCs w:val="20"/>
          <w:color w:val="auto"/>
        </w:rPr>
      </w:pPr>
    </w:p>
    <w:p>
      <w:pPr>
        <w:jc w:val="both"/>
        <w:ind w:right="480" w:firstLine="509"/>
        <w:spacing w:after="0" w:line="284" w:lineRule="auto"/>
        <w:rPr>
          <w:sz w:val="20"/>
          <w:szCs w:val="20"/>
          <w:color w:val="auto"/>
        </w:rPr>
      </w:pPr>
      <w:r>
        <w:rPr>
          <w:rFonts w:ascii="Arial" w:cs="Arial" w:eastAsia="Arial" w:hAnsi="Arial"/>
          <w:sz w:val="16"/>
          <w:szCs w:val="16"/>
          <w:color w:val="auto"/>
        </w:rPr>
        <w:t>On September 14, 2018, we entered into a Collaboration and Option Agreement (the Ono Agreement) with Ono for the joint development and commercialization of two off-the-shelf iPSC-derived CAR T-cell product candidates (Candidate 1 and Candidate 2). Pursuant to the terms of the Ono Agreement, we received an upfront, non-refundable and non-creditable payment of $10.0 million. Additionally, we are entitled to receive fees for the conduct of research and development under a joint development plan, which fees are estimated to be $20.0 million in aggregate.</w:t>
      </w:r>
    </w:p>
    <w:p>
      <w:pPr>
        <w:spacing w:after="0" w:line="47"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concluded that certain units of account within the Ono Agreement represented a customer relationship and in accordance with ASC 606, we determined that the initial transaction price under the Ono Agreement equals $30.0 million, consisting of the upfront, non-refundable and non-creditable payment of $10.0 million and the aggregate estimated research and development fees of $20.0 million. In addition, we identified our performance obligations under the Ono Agreement, including our grant to Ono of a license to certain of our intellectual property subject to certain conditions, our conduct of research services, and our participation in a joint steering committee. We determined that all performance obligations should be accounted for as one combined performance obligation since no individual performance obligation is distinct, and that the combined performance obligation is transferred over the expected term of the conduct of the research services, which is estimated to be four years.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jc w:val="both"/>
        <w:ind w:firstLine="509"/>
        <w:spacing w:after="0" w:line="276" w:lineRule="auto"/>
        <w:rPr>
          <w:sz w:val="20"/>
          <w:szCs w:val="20"/>
          <w:color w:val="auto"/>
        </w:rPr>
      </w:pPr>
      <w:r>
        <w:rPr>
          <w:rFonts w:ascii="Arial" w:cs="Arial" w:eastAsia="Arial" w:hAnsi="Arial"/>
          <w:sz w:val="16"/>
          <w:szCs w:val="16"/>
          <w:color w:val="auto"/>
        </w:rPr>
        <w:t>On December 4, 2020, we entered into a letter agreement (the Ono Letter Agreement) with Ono in connection with the Ono Agreement. Pursuant to the Ono Letter Agreement, Ono delivered to us proprietary antigen binding domains targeting an antigen expressed on certain solid tumors and nominated such antigen binding domains as the Ono Antigen Binding Domain for incorporation into Candidate 2. In connection with such nomination, Ono paid us a milestone fee of $10.0 million for further research and development of Candidate 2 under the Ono Agreement, and Ono continues to maintain its option to Candidate 2 under the Ono Agreement. In addition, together with Ono, we agreed to the termination of the Ono Agreement with respect to Candidate 1. We retain all rights, in our sole discretion, to research, develop and commercialize Candidate 1 throughout the world without any obligation to Ono.</w:t>
      </w:r>
    </w:p>
    <w:p>
      <w:pPr>
        <w:spacing w:after="0" w:line="2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On June 28, 2022, we entered into an amendment to the Ono Agreement (the Ono Amendment). Pursuant to the Ono Amendment, the scope of the collaboration was expanded to include the research and development of CAR-targeted natural killer (NK) cell candidates derived from engineered master induced pluripotent stem cells (iPSC). Additionally, pursuant to the Ono Amendment, Ono will contribute novel binding domains targeting a second solid tumor antigen (Candidate 3). We will continue to receive committed research and development funding from Ono through September 2024, and we are jointly conducting research and development activities under a joint development plan, with the goal of advancing collaboration candidates targeting such solid tumor antigen to a pre-defined preclinical milestone. Under the Ono Amendment, aggregate estimated research and development fees have been increased by approximately $9.3 million, for a total estimated $29.3 million in aggregate research and development fees over the course of the joint development plan, subject to Ono exercising its option to continue the research term for a candidate targeting the second solid tumor antigen.</w:t>
      </w:r>
    </w:p>
    <w:p>
      <w:pPr>
        <w:spacing w:after="0" w:line="60"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During the three and six months ended June 30, 2022, we recognized $0.4 million and $2.9 million, respectively, of collaboration revenue under the Ono Agreement. During the three and six months ended June 30, 2021, we recognized $2.5 million and $5.0 million, respectively, of collaboration revenue under the Ono Agreement.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Research and development expenses consist of costs associated with the research, preclinical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spacing w:after="0" w:line="80"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salaries and employee-related costs, including stock-based compensation;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under clinical trial agreements with investigative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 including our product candidates;</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conducting our preclinical, process and scale-up development, manufacturing, clinical and regulatory activities, including fees paid to third-party professional consultants, service providers and suppliers;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for our research, development and manufacturing activities, including under our collaboration agreements;</w:t>
      </w:r>
    </w:p>
    <w:p>
      <w:pPr>
        <w:spacing w:after="0" w:line="103"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for laboratory equipment, materials and supplies for the manufacture of our product candidates and the conduct of our research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to license and maintain intellectual property;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facilities, depreciation and other expenses including allocated expenses for rent and maintenance of facilities.</w:t>
      </w:r>
    </w:p>
    <w:p>
      <w:pPr>
        <w:spacing w:after="0" w:line="212"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We plan to increase our current level of research and development expenses for the foreseeable future as we continue the clinical and preclinical development and the manufacture of our product candidates, research and develop our iPSC product platform, and perform our obligations under collaboration agreements including under our agreements with Janssen, Ono, University of Minnesota and MSK. Our current planned research and development activities over the next twelve months consist primarily of the following:</w:t>
      </w:r>
    </w:p>
    <w:p>
      <w:pPr>
        <w:spacing w:after="0" w:line="80" w:lineRule="exact"/>
        <w:rPr>
          <w:sz w:val="20"/>
          <w:szCs w:val="20"/>
          <w:color w:val="auto"/>
        </w:rPr>
      </w:pPr>
    </w:p>
    <w:p>
      <w:pPr>
        <w:ind w:left="1020" w:right="3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clinical trials of our product candidates, including through the engagement of CROs to manage various aspects of our clinical trials;</w:t>
      </w:r>
    </w:p>
    <w:p>
      <w:pPr>
        <w:spacing w:after="0" w:line="62" w:lineRule="exact"/>
        <w:rPr>
          <w:rFonts w:ascii="Arial" w:cs="Arial" w:eastAsia="Arial" w:hAnsi="Arial"/>
          <w:sz w:val="18"/>
          <w:szCs w:val="18"/>
          <w:color w:val="auto"/>
        </w:rPr>
      </w:pPr>
    </w:p>
    <w:p>
      <w:pPr>
        <w:ind w:left="1020" w:right="160" w:hanging="503"/>
        <w:spacing w:after="0" w:line="270"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conducting GMP production, including through the use of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IND-enabling preclinical development;</w:t>
      </w:r>
    </w:p>
    <w:p>
      <w:pPr>
        <w:spacing w:after="0" w:line="55" w:lineRule="exact"/>
        <w:rPr>
          <w:rFonts w:ascii="Arial" w:cs="Arial" w:eastAsia="Arial" w:hAnsi="Arial"/>
          <w:sz w:val="17"/>
          <w:szCs w:val="17"/>
          <w:color w:val="auto"/>
        </w:rPr>
      </w:pPr>
    </w:p>
    <w:p>
      <w:pPr>
        <w:ind w:left="1020" w:right="5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procuring laboratory equipment, materials and supplies for the manufacture of our product candidates and the conduct of our research activities;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29" w:name="page30"/>
    <w:bookmarkEnd w:id="29"/>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preclinical and clinical research to investigate the therapeutic activity of our product candidates; and</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research, development and manufacturing activities, including under our sponsored research and collaboration agreements with Janssen and Ono.</w:t>
      </w:r>
    </w:p>
    <w:p>
      <w:pPr>
        <w:spacing w:after="0" w:line="6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Due to the inherently unpredictable nature of preclinical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preclinical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the ongoing COVID-19 pandemic and the ongoing conflict in Ukraine on our business and operations, and our expenditures may be increased by delays or disruptions due to the COVID-19 pandemic or the ongoing conflict in Ukraine, including as a result of actions we take in the near term to ensure business continuity and protect against possible supply chain shortages.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 administrative expenses will increase in the future as we increase our research and development activities, maintain compliance with exchange listing and SEC requirements, protect and enforce our intellectual property, and continue to operate as a public company.</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right="280" w:firstLine="509"/>
        <w:spacing w:after="0" w:line="294" w:lineRule="auto"/>
        <w:rPr>
          <w:sz w:val="20"/>
          <w:szCs w:val="20"/>
          <w:color w:val="auto"/>
        </w:rPr>
      </w:pPr>
      <w:r>
        <w:rPr>
          <w:rFonts w:ascii="Arial" w:cs="Arial" w:eastAsia="Arial" w:hAnsi="Arial"/>
          <w:sz w:val="16"/>
          <w:szCs w:val="16"/>
          <w:color w:val="auto"/>
        </w:rPr>
        <w:t>Other income (expense) consists of changes in the fair value of stock price appreciation milestones associated with the Amended and Restated Exclusive License Agreement dated May 15, 2018 (the Amended MSK License) with Memorial Sloan Kettering Cancer Center (MSK), interest income earned on cash and cash equivalents and interest income from investments (including the amortization of discounts and premiums).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 License, contracts containing leases,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estimates and judgments involved in our accounting policies as described in Item 7 of our Annual Report on Form 10-K for the year ended December 31, 2021 continue to be our critical accounting policies and there have been no other material changes to our critical accounting policies during the six months ended June 30, 2022.</w:t>
      </w:r>
    </w:p>
    <w:p>
      <w:pPr>
        <w:spacing w:after="0" w:line="74"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See Note 1 to the unaudited condensed consolidated financial statements for a summary of critical accounting policies and information related to recent accounting pronouncements.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2022 and 2021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4"/>
              </w:rPr>
              <w:t>(Decrease)</w:t>
            </w:r>
          </w:p>
        </w:tc>
        <w:tc>
          <w:tcPr>
            <w:tcW w:w="80" w:type="dxa"/>
            <w:vAlign w:val="bottom"/>
          </w:tcPr>
          <w:p>
            <w:pPr>
              <w:spacing w:after="0"/>
              <w:rPr>
                <w:sz w:val="14"/>
                <w:szCs w:val="14"/>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18,549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13,412</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5,137</w:t>
            </w:r>
          </w:p>
        </w:tc>
        <w:tc>
          <w:tcPr>
            <w:tcW w:w="8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81,307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48,023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33,284</w:t>
            </w:r>
          </w:p>
        </w:tc>
        <w:tc>
          <w:tcPr>
            <w:tcW w:w="8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20,351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12,168</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8,183</w:t>
            </w:r>
          </w:p>
        </w:tc>
        <w:tc>
          <w:tcPr>
            <w:tcW w:w="80" w:type="dxa"/>
            <w:vAlign w:val="bottom"/>
            <w:shd w:val="clear" w:color="auto" w:fill="CFF0FC"/>
          </w:tcPr>
          <w:p>
            <w:pPr>
              <w:spacing w:after="0"/>
              <w:rPr>
                <w:sz w:val="17"/>
                <w:szCs w:val="17"/>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(8,354 )</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15,358</w:t>
            </w:r>
          </w:p>
        </w:tc>
        <w:tc>
          <w:tcPr>
            <w:tcW w:w="80" w:type="dxa"/>
            <w:vAlign w:val="bottom"/>
          </w:tcPr>
          <w:p>
            <w:pPr>
              <w:spacing w:after="0"/>
              <w:rPr>
                <w:sz w:val="20"/>
                <w:szCs w:val="20"/>
                <w:color w:val="auto"/>
              </w:rPr>
            </w:pPr>
          </w:p>
        </w:tc>
      </w:tr>
    </w:tbl>
    <w:p>
      <w:pPr>
        <w:spacing w:after="0" w:line="160"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i w:val="1"/>
          <w:iCs w:val="1"/>
          <w:color w:val="auto"/>
        </w:rPr>
        <w:t xml:space="preserve">Collaboration Revenue. </w:t>
      </w:r>
      <w:r>
        <w:rPr>
          <w:rFonts w:ascii="Arial" w:cs="Arial" w:eastAsia="Arial" w:hAnsi="Arial"/>
          <w:sz w:val="18"/>
          <w:szCs w:val="18"/>
          <w:color w:val="auto"/>
        </w:rPr>
        <w:t>During the three months ended June 30, 2022 and 2021, we recognized revenue of $18.5 million and $13.4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under our collaboration agreements with Janssen and Ono.</w:t>
      </w:r>
    </w:p>
    <w:p>
      <w:pPr>
        <w:spacing w:after="0" w:line="63" w:lineRule="exact"/>
        <w:rPr>
          <w:sz w:val="20"/>
          <w:szCs w:val="20"/>
          <w:color w:val="auto"/>
        </w:rPr>
      </w:pPr>
    </w:p>
    <w:p>
      <w:pPr>
        <w:jc w:val="both"/>
        <w:ind w:right="100" w:firstLine="509"/>
        <w:spacing w:after="0" w:line="32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$81.3 million for the three months ended June 30,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$48.0 million for the three months ended June 30, 2021. The increase in research and development expenses was attributable primarily to the following:</w:t>
      </w:r>
    </w:p>
    <w:p>
      <w:pPr>
        <w:spacing w:after="0" w:line="16" w:lineRule="exact"/>
        <w:rPr>
          <w:sz w:val="20"/>
          <w:szCs w:val="20"/>
          <w:color w:val="auto"/>
        </w:rPr>
      </w:pPr>
    </w:p>
    <w:p>
      <w:pPr>
        <w:ind w:left="1020" w:right="9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$13.0 million increase in employee compensation and benefits expense, including $4.9 million increase in employee stock-based compensation expense;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$9.0 million increase in third-party professional consultant and clinical trial related expense; and</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$8.6 million increase in expenditures for laboratory materials and supplies relating to the manufacture of our product candidates and the conduct of our research activities, including under our collaboration agreements.</w:t>
      </w:r>
    </w:p>
    <w:p>
      <w:pPr>
        <w:spacing w:after="0" w:line="63"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were $20.4 million for the three months ended June 30, 2022,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$12.2 million for the three months ended June 30, 2021. The increase in general and administrative expenses was attributable primarily to a $4.3 million increase in employee compensation and benefits expense, including $2.3 million increase in employee stock-based compensation expense, $1.0 million increase in patent and legal expenses, and a $1.0 million increase in facility lease and related expenses.</w:t>
      </w:r>
    </w:p>
    <w:p>
      <w:pPr>
        <w:spacing w:after="0" w:line="6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was $7.0 million and ($8.4) million for the three months ended June 30, 2022 and 2021,</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During the three months ended June 30, 2022, we recorded $5.9 million in income attributable to the change in fair value of the stock price appreciation milestones under the Amended MSK License. Other income (expense), net for the three months ended June 30, 2022 also consisted of interest income earned on cash and cash equivalents and interest income from investments (including the amortization of discounts and premiums).</w:t>
      </w:r>
    </w:p>
    <w:p>
      <w:pPr>
        <w:spacing w:after="0" w:line="47"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During the three months ended June 30, 2021, we recorded $8.7 million in other expense attributable to the change in fair value of the stock price appreciation milestones under the Amended MSK License. Other income (expense), net for the three months ended June 30, 2021 also consisted of interest income earned on cash and cash equivalents and interest income from investments (including the amortization of discounts and premiums).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six months ended June 30, 2022 and 2021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Collaboration revenue</w:t>
            </w: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36,963</w:t>
            </w:r>
          </w:p>
        </w:tc>
        <w:tc>
          <w:tcPr>
            <w:tcW w:w="28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24,552</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12,411</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expense</w:t>
            </w: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153,446</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87"/>
              </w:rPr>
              <w:t>92,873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60,573</w:t>
            </w:r>
          </w:p>
        </w:tc>
        <w:tc>
          <w:tcPr>
            <w:tcW w:w="10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41,093</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24,668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16,425</w:t>
            </w:r>
          </w:p>
        </w:tc>
        <w:tc>
          <w:tcPr>
            <w:tcW w:w="100" w:type="dxa"/>
            <w:vAlign w:val="bottom"/>
            <w:shd w:val="clear" w:color="auto" w:fill="CFF0FC"/>
          </w:tcPr>
          <w:p>
            <w:pPr>
              <w:spacing w:after="0"/>
              <w:rPr>
                <w:sz w:val="17"/>
                <w:szCs w:val="17"/>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15,781</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(7,233 )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23,014</w:t>
            </w:r>
          </w:p>
        </w:tc>
        <w:tc>
          <w:tcPr>
            <w:tcW w:w="100" w:type="dxa"/>
            <w:vAlign w:val="bottom"/>
          </w:tcPr>
          <w:p>
            <w:pPr>
              <w:spacing w:after="0"/>
              <w:rPr>
                <w:sz w:val="20"/>
                <w:szCs w:val="20"/>
                <w:color w:val="auto"/>
              </w:rPr>
            </w:pPr>
          </w:p>
        </w:tc>
      </w:tr>
    </w:tbl>
    <w:p>
      <w:pPr>
        <w:spacing w:after="0" w:line="268"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i w:val="1"/>
          <w:iCs w:val="1"/>
          <w:color w:val="auto"/>
        </w:rPr>
        <w:t xml:space="preserve">Collaboration Revenue. </w:t>
      </w:r>
      <w:r>
        <w:rPr>
          <w:rFonts w:ascii="Arial" w:cs="Arial" w:eastAsia="Arial" w:hAnsi="Arial"/>
          <w:sz w:val="18"/>
          <w:szCs w:val="18"/>
          <w:color w:val="auto"/>
        </w:rPr>
        <w:t>During the six months ended June 30, 2022 and 2021, we recognized revenue of $37.0 million and $24.6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under our collaboration agreements with Janssen and Ono.</w:t>
      </w:r>
    </w:p>
    <w:p>
      <w:pPr>
        <w:spacing w:after="0" w:line="63"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$153.4 million for the six months ended June 30,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$92.9 million for the six months ended June 30, 2021. The increase in research and development expenses was attributable primarily to the following:</w:t>
      </w:r>
    </w:p>
    <w:p>
      <w:pPr>
        <w:spacing w:after="0" w:line="16" w:lineRule="exact"/>
        <w:rPr>
          <w:sz w:val="20"/>
          <w:szCs w:val="20"/>
          <w:color w:val="auto"/>
        </w:rPr>
      </w:pPr>
    </w:p>
    <w:p>
      <w:pPr>
        <w:ind w:left="1020" w:right="9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$24.8 million increase in employee compensation and benefits expense, including $9.1 million increase in employee stock-based compensation expense;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1" w:name="page32"/>
    <w:bookmarkEnd w:id="31"/>
    <w:p>
      <w:pPr>
        <w:ind w:left="1020" w:right="3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$16.3 million increase in expenditures for laboratory materials and supplies relating to the manufacture of our product candidates and the conduct of our research activities, including under our collaboration agreements;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$13.0 million increase in third-party professional consultant and clinical trial related expense.</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were $41.1 million for the six months ended June 30,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$24.7 million for the six months ended June 30, 2021. The increase in general and administrative expenses was attributable primarily to a $9.3 million increase in employee compensation and benefits expense, including $4.5 million increase in employee stock-based compensation expense, $1.3 million in patent and legal expenses, and a $1.2 million increase in office supplies and related expenses.</w:t>
      </w:r>
    </w:p>
    <w:p>
      <w:pPr>
        <w:spacing w:after="0" w:line="64"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was $15.8 million and ($7.2) million for the six months ended June 30, 2022 and 2021,</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During the six months ended June 30, 2022 we recorded $14.2 million in income attributable to the change in fair value of the stock price appreciation milestones under the Amended MSK License. Other income (expense), net for the six months ended June 30, 2022 also consisted of interest income earned on cash and cash equivalents and interest income from investments (including the amortization of discounts and premiums).</w:t>
      </w:r>
    </w:p>
    <w:p>
      <w:pPr>
        <w:spacing w:after="0" w:line="47"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During the six months ended June 30, 2021, we recorded $8.0 million in other expense attributable to the change in fair value of the stock price appreciation milestones under the Amended MSK License. Other income (expense), net for the six months ended June 30, 2021 also consisted of interest income earned on cash and cash equivalents and interest income from investments (including the amortization of discounts and premiums).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We have incurred losses and negative cash flows from operations since inception. As of June 30, 2022, we had an accumulated deficit of $910.9 million and we anticipate that we will continue to incur net losses for the foreseeable future.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six months ended June 30, 2022, cash used in operating activities was $117.8 million compared to cash used in operating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$59.2 million during the six months ended June 30, 2021. The primary driver of this change in cash used in operating activities was our increase in net loss,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an increase in non-cash stock-based compensation expense.</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Janssen Biotech, Inc.</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April 2, 2020 (the Janssen Agreement Effective Date), we entered into the Janssen Agreement with Janssen to develop iPSC-derived CAR NK-and CAR T-cell product candidates for the treatment of cancer. Additionally, on the Janssen Agreement Effective Date, we entered into the Stock Purchase Agreement with JJDC. Under the terms of the Janssen Agreement and the Stock Purchase Agreement taken together, we received $100.0 million as of the Janssen Agreement Effective Date, of which $50.0 million is an upfront cash payment and $50.0 million is in the form of an equity investment by JJDC. Of the $50.0 million equity investment, $16.0 million represented a premium over the fair value of our common stock and was classified under operating activities.</w:t>
      </w:r>
    </w:p>
    <w:p>
      <w:pPr>
        <w:spacing w:after="0" w:line="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are entitled to receive fees for the conduct of all research, preclinical development and IND-enabling activities performed by us under the Janssen Agreement. Additionally, we are eligible to receive (i) with respect to the first Janssen Cancer Target, payments of up to $898.0 million upon the achievement of specified development, regulatory and sales milestones (the Janssen Milestone Payments) for the first Collaboration Candidate, and up to $460.0 million in Janssen Milestone Payments for each additional Collaboration Candidate, directed to the first Janssen Cancer Target; and (ii) with respect to each of the second, third and fourth Janssen Cancer Targets, payments of up to $706.0 million in Janssen Milestone Payments for each of the first Collaboration Candidates, and up to $340.0 million in Janssen Milestone Payments for each additional Collaboration Candidate, directed to the applicable Janssen Cancer Target, where certain Janssen Milestone Payments are subject to reduction in the event we elect to co-commercialize and share equally in the profits and losses in the United States of a respective Collaboration Candidate. We are further eligible to receive double-digit tiered royalties ranging up to the mid-teens on net sales of Collaboration Candidates that are commercialized by Janssen under the Janssen Agreement, subject to reduction under certain circumstances.</w:t>
      </w:r>
    </w:p>
    <w:p>
      <w:pPr>
        <w:spacing w:after="0" w:line="72" w:lineRule="exact"/>
        <w:rPr>
          <w:sz w:val="20"/>
          <w:szCs w:val="20"/>
          <w:color w:val="auto"/>
        </w:rPr>
      </w:pPr>
    </w:p>
    <w:p>
      <w:pPr>
        <w:jc w:val="both"/>
        <w:ind w:right="340" w:firstLine="509"/>
        <w:spacing w:after="0" w:line="243" w:lineRule="auto"/>
        <w:rPr>
          <w:sz w:val="20"/>
          <w:szCs w:val="20"/>
          <w:color w:val="auto"/>
        </w:rPr>
      </w:pPr>
      <w:r>
        <w:rPr>
          <w:rFonts w:ascii="Arial" w:cs="Arial" w:eastAsia="Arial" w:hAnsi="Arial"/>
          <w:sz w:val="18"/>
          <w:szCs w:val="18"/>
          <w:color w:val="auto"/>
        </w:rPr>
        <w:t>During the six months ended June 30, 2022, we achieved two additional research milestones under the Janssen Agreement and received a $3.0 million cash payment per milestone, for a total of $6.0 million. Additionally, during the six months ended June 30, 2022, Janssen elected to exercise a commercial option for a development candidate, and we received an Option Exercise Payment of $10.0 million. As of June 30, 2022, no royalties have been paid to us.</w:t>
      </w:r>
    </w:p>
    <w:p>
      <w:pPr>
        <w:spacing w:after="0" w:line="80" w:lineRule="exact"/>
        <w:rPr>
          <w:sz w:val="20"/>
          <w:szCs w:val="20"/>
          <w:color w:val="auto"/>
        </w:rPr>
      </w:pPr>
    </w:p>
    <w:p>
      <w:pPr>
        <w:ind w:right="260" w:firstLine="509"/>
        <w:spacing w:after="0" w:line="324" w:lineRule="auto"/>
        <w:rPr>
          <w:sz w:val="20"/>
          <w:szCs w:val="20"/>
          <w:color w:val="auto"/>
        </w:rPr>
      </w:pPr>
      <w:r>
        <w:rPr>
          <w:rFonts w:ascii="Arial" w:cs="Arial" w:eastAsia="Arial" w:hAnsi="Arial"/>
          <w:sz w:val="16"/>
          <w:szCs w:val="16"/>
          <w:color w:val="auto"/>
        </w:rPr>
        <w:t xml:space="preserve">In connection with the Janssen Agreement, we have incurred $15.6 million in sublicense fees to certain of our existing licensors, all of which has been paid as of June 30, 2022. The $15.6 million in sublicense consideration represents an asset under ASC 340, </w:t>
      </w:r>
      <w:r>
        <w:rPr>
          <w:rFonts w:ascii="Arial" w:cs="Arial" w:eastAsia="Arial" w:hAnsi="Arial"/>
          <w:sz w:val="16"/>
          <w:szCs w:val="16"/>
          <w:i w:val="1"/>
          <w:iCs w:val="1"/>
          <w:color w:val="auto"/>
        </w:rPr>
        <w:t>Other Assets and Deferred Costs.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Agreement with Ono Pharmaceutical Co., Ltd.</w:t>
      </w:r>
    </w:p>
    <w:p>
      <w:pPr>
        <w:spacing w:after="0" w:line="10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On September 14, 2018, we entered into the Ono Agreement with Ono for the joint development and commercialization of two off-the-shelf, iPSC-derived CAR T-cell product candidates (each a Candidate and collectively the Candidates). Under the terms of the Ono Agreement, Ono paid to us an upfront, non-refundable and non-creditable payment of $10.0 million. Additionally, as consideration for our conduct of research and preclinical development under a joint development plan, Ono pays us annual research and development fees set forth in the annual budget included in the joint development plan, which fees are estimated to be $20.0 million in aggregate over the course of the joint development plan. Further, under the terms of the Ono Agreement, Ono had agreed to pay us up to an additional $40.0 million, subject to the achievement of a preclinical milestone and the exercise by Ono of its options to obtain exclusive licenses to develop and commercialize the Candidates. Such fees are in addition to the upfront payment and research and development fees.</w:t>
      </w:r>
    </w:p>
    <w:p>
      <w:pPr>
        <w:spacing w:after="0" w:line="86"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On December 4, 2020, we entered into the Ono Letter Agreement with Ono in connection with the Ono Agreement. Pursuant to the Ono Letter Agreement, Ono delivered to us proprietary antigen binding domains targeting an antigen expressed on certain solid tumors and nominated such antigen binding domains as the Ono Antigen Binding Domain for incorporation into Candidate 2. In connection with such nomination, Ono paid us a milestone fee of $10.0 million in December 2020 for further research and development of Candidate 2 under the Ono Agreement, and Ono continues to maintain its option to Candidate 2 under the Ono Agreement. In addition, the Ono Letter Agreement terminated further development with respect to Candidate 1.</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June 28, 2022, we entered into the Ono Amendment, which expanded the scope of the collaboration to include the research and development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CAR-targeted NK cells, and pursuant to which Ono agreed to contribute novel binding domains targeting a second solid tumor antigen (Candidate 3).</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Under the Ono Amendment, aggregate estimated research and development fees have been increased by approximately $9.3 million, for a total estimated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$29.3 million in aggregate research and development fees over the course of the joint development plan, subject to Ono exercising its option to continue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research term for a candidate targeting the second solid tumor antigen.</w:t>
      </w:r>
    </w:p>
    <w:p>
      <w:pPr>
        <w:spacing w:after="0" w:line="8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Pursuant to the Ono Amendment, we and Ono are jointly conducting research and development activities under a joint development plan, with the goal of advancing Candidate 2 and Candidate 3 to a pre-defined preclinical milestone. We have granted to Ono, during a specified period of time, an option to obtain an exclusive license under certain intellectual property rights to develop and commercialize each remaining candidate in all territories of the world, with us retaining the right to co-develop and co-commercialize in the United States and Europe under a joint arrangement whereby we are eligible to share at least 50% of the profits and losses (the Option).</w:t>
      </w:r>
    </w:p>
    <w:p>
      <w:pPr>
        <w:spacing w:after="0" w:line="81"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Under the terms of the Ono Amendment, subject to Ono’s exercise of the Option for Candidate 2 or Candidate 3 and to the achievement of certain clinical, regulatory and commercial milestones (the Ono Milestones) with respect to the Candidate in specified territories, we are entitled to receive an aggregate of up to $843.0 million in additional milestone payments for each Candidate, with the applicable milestone payments for the United States and Europe subject to reduction by 50% if the Company elects to co-develop and co-commercialize the Candidate as described above. As of June 30, 2022, we have not received any milestone payments other than the $10.0 million associated with the Ono Letter Agreement in December 2020. We are also eligible to receive tiered royalties (Royalties) ranging from the mid-single digits to the low-double digits based on annual net sales by Ono for each Candidate in specified territories, with such royalties subject to certain reductions. As of June 30, 2022, no royalties have been paid to us.</w:t>
      </w:r>
    </w:p>
    <w:p>
      <w:pPr>
        <w:spacing w:after="0" w:line="55"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 xml:space="preserve">In connection with the Ono Agreement, Ono Letter Agreement, and Ono Amendment, we have incurred $4.0 million in sublicense fees to certain of our existing licensors. The $4.0 million in sublicense consideration represents an asset under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xml:space="preserve"> As of June 30, 2022, all such consideration has been paid.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Memorial Sloan Kettering Cancer Center License Agreement</w:t>
      </w:r>
    </w:p>
    <w:p>
      <w:pPr>
        <w:spacing w:after="0" w:line="104" w:lineRule="exact"/>
        <w:rPr>
          <w:sz w:val="20"/>
          <w:szCs w:val="20"/>
          <w:color w:val="auto"/>
        </w:rPr>
      </w:pPr>
    </w:p>
    <w:p>
      <w:pPr>
        <w:jc w:val="both"/>
        <w:ind w:right="120" w:firstLine="509"/>
        <w:spacing w:after="0" w:line="243" w:lineRule="auto"/>
        <w:rPr>
          <w:sz w:val="20"/>
          <w:szCs w:val="20"/>
          <w:color w:val="auto"/>
        </w:rPr>
      </w:pPr>
      <w:r>
        <w:rPr>
          <w:rFonts w:ascii="Arial" w:cs="Arial" w:eastAsia="Arial" w:hAnsi="Arial"/>
          <w:sz w:val="18"/>
          <w:szCs w:val="18"/>
          <w:color w:val="auto"/>
        </w:rPr>
        <w:t>On May 15, 2018, we entered into the Amended MSK License with MSK. The Amended MSK License amends and restates the Exclusive License Agreement entered into between us and MSK on August 19, 2016, pursuant to which we entered into an exclusive license agreement with MSK for rights relating to compositions and methods covering iPSC-derived cellular immunotherapy, including T-cells and NK-cells derived from iPSCs engineered with CARs.</w:t>
      </w:r>
    </w:p>
    <w:p>
      <w:pPr>
        <w:spacing w:after="0" w:line="80"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Pursuant to the Amended MSK License, MSK granted us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We have the right to grant sublicenses to certain licensed rights in accordance with the terms of the Amended MSK License, in which case we are obligated to pay MSK a percentage of certain sublicense income received.</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event a licensed product achieves a specified clinical milestone, MSK is then eligible to receive certain milestone payments totaling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$75.0 million based on the price of our common stock, where the amount of such payments owed to MSK is contingent upon certain increases in the price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following the date of achievement of such clinical milestone. These payments are based on common stock price multiples, with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numerator being the fair value of the ten-trading day trailing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3" w:name="page34"/>
    <w:bookmarkEnd w:id="33"/>
    <w:p>
      <w:pPr>
        <w:ind w:right="60"/>
        <w:spacing w:after="0" w:line="284" w:lineRule="auto"/>
        <w:rPr>
          <w:sz w:val="20"/>
          <w:szCs w:val="20"/>
          <w:color w:val="auto"/>
        </w:rPr>
      </w:pPr>
      <w:r>
        <w:rPr>
          <w:rFonts w:ascii="Arial" w:cs="Arial" w:eastAsia="Arial" w:hAnsi="Arial"/>
          <w:sz w:val="16"/>
          <w:szCs w:val="16"/>
          <w:color w:val="auto"/>
        </w:rPr>
        <w:t>average closing price of our common stock and the denominator being the ten-trading day trailing average closing price our common stock as of the effective date of the Amended MSK License, adjusted for any stock splits, cash dividends, stock dividends, other distributions, combinations, recapitalizations, or similar events. Under the terms of the Amended MSK License, upon a change of control of the Company, in certain circumstances, we may be required to pay a portion of these payments to MSK based on the price of our common stock in connection with such change of control.</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June 30, 2022, we recorded a liability of $9.9 million associated with the stock price appreciation milestones for the Amended MSK License. In July 2021, we achieved a specified clinical milestone for a licensed product under the Amended MSK License and our ten-trading day trailing average common stock price exceeded the first, pre-specified threshold. As a result, we remitted payment to MSK of $20.0 million during the year ended December 31, 2021.</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six months ended June 30, 2022, investing activities provided cash of $33.3 million compared to cash used by investing activities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$473.3 million during the six months ended June 30, 2021. The change was primarily attributable to a decrease in the purchases of investments of $196.1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million during the six months ended June 30, 2022 compared to the purchase of investments of $629.2 million during the six months ended June 30, 2021.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All other investing activities for the periods presented were attributable to the purchase of property and equipment.</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For the six months ended June 30, 2022, financing activities provided cash of $6.2 million, which primarily consisted of the issuance of common stock from equity incentive plans pursuant to the exercise of employee stock options.</w:t>
      </w:r>
    </w:p>
    <w:p>
      <w:pPr>
        <w:spacing w:after="0" w:line="6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For the six months ended June 30, 2021, financing activities provided cash of $441.8 million, which consisted of $432.4 million of net proceeds from our January 2021 public offering of common stock and issuance of pre-funded warrants and $9.3 million received from the issuance of common stock from equity incentive plans pursuant to the exercise of employee stock options.</w:t>
      </w:r>
    </w:p>
    <w:p>
      <w:pPr>
        <w:spacing w:after="0" w:line="74" w:lineRule="exact"/>
        <w:rPr>
          <w:sz w:val="20"/>
          <w:szCs w:val="20"/>
          <w:color w:val="auto"/>
        </w:rPr>
      </w:pPr>
    </w:p>
    <w:p>
      <w:pPr>
        <w:ind w:right="280" w:firstLine="509"/>
        <w:spacing w:after="0" w:line="270" w:lineRule="auto"/>
        <w:rPr>
          <w:sz w:val="20"/>
          <w:szCs w:val="20"/>
          <w:color w:val="auto"/>
        </w:rPr>
      </w:pPr>
      <w:r>
        <w:rPr>
          <w:rFonts w:ascii="Arial" w:cs="Arial" w:eastAsia="Arial" w:hAnsi="Arial"/>
          <w:sz w:val="17"/>
          <w:szCs w:val="17"/>
          <w:color w:val="auto"/>
        </w:rPr>
        <w:t>From our inception through June 30, 2022, we have funded our consolidated operations primarily through the public and private sale of common stock, the issuance of warrants, the private placement of preferred stock and convertible notes, commercial bank debt and revenues from collaboration activities and grants. As of June 30, 2022, we had aggregate cash and cash equivalents and investments of $580.8 million.</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Public Offering of Common Stock</w:t>
      </w:r>
    </w:p>
    <w:p>
      <w:pPr>
        <w:spacing w:after="0" w:line="10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In January 2021, we completed a public offering of common stock in which investors, certain of which are affiliated with a director of ours, purchased 5.1 million shares of our common stock at a price of $85.50 per share under a shelf registration statement. In addition, we issued pre-funded warrants, in lieu of common stock to certain investors, to purchase 257,310 shares of our common stock (Pre-Funded Warrants). The purchase price of for the Pre-Funded Warrants was $85.499 per Pre-Funded Warrant, which equals the per share public offering price for the shares of common stock less the $0.001 exercise price for each such Pre-Funded Warrant. See Note 8 for additional detail. Gross proceeds from the public offering and the issuance of the Pre-Funded Warrants were $460.0 million. After giving effect to $27.6 million in underwriting discounts, commissions and expenses related to the public offering and the issuance of Pre-Funded Warrants, net proceeds were $432.4 million.</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California Institute for Regenerative Medicine Award</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On April 5, 2018, we executed an award agreement with the CIRM pursuant to which CIRM awarded us $4.0 million to advance our FT516 product candidate into a first-in-human clinical trial (the Award). Pursuant to the terms of the Award, we are eligible to receive five disbursements in varying amounts totaling $4.0 million throughout the project period of the Award. In November 2019, we submitted an IND application for FT516 in advanced solid tumors. As of June 30, 2022, we have received aggregate disbursements under the Award in the amount of $4.0 million.</w:t>
      </w:r>
    </w:p>
    <w:p>
      <w:pPr>
        <w:spacing w:after="0" w:line="6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The Award is subject to certain co-funding requirements by us. We, in our sole discretion, have the option to treat the Award either as a loan or as a grant. In the event we elect to treat the Award as a loan, we will be obligated to repay i) 60%, ii) 80%, iii) 100% or iv) 100% plus interest at 7% plus LIBOR, of the total Award to CIRM, where such repayment rate is dependent upon the phase of clinical development of FT516 at the time of our election. If we do not elect to treat the Award as a loan within 10 years of the date of the Award, the Award will be considered a grant and we will be obligated to pay to CIRM a royalty on commercial sales of FT516 until such royalty payments equal nine times the total amount awarded to us under the Award.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i w:val="1"/>
          <w:iCs w:val="1"/>
          <w:color w:val="auto"/>
        </w:rPr>
        <w:t>Registration Statement on Form S-3</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November 2021, we filed an automatic shelf registration statement (File No. 333-260772), which became effective upon filing. The shelf registration statement allows us to issue certain securities, including shares of our common stock, from time to time. The specific terms of any offering under the automatic shelf registration statement are established at the time of such offering. Additionally, we entered into a sales agreement with Jefferies Group LLC (Jefferies) with respect to an at-the-market offering program, under which we may offer and sell, from time to time at our sole discretion, shares of our common stock having an aggregate offering price of up to $350.0 million through Jefferies as the sales agent, pursuant to this automatic shelf registration statement.</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Capital Requirements</w:t>
      </w:r>
    </w:p>
    <w:p>
      <w:pPr>
        <w:spacing w:after="0" w:line="10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We anticipate that we will continue to incur losses for the foreseeable future, and we expect the losses to increase as we continue the research, manufacture and development of, and seek regulatory approvals for, our product candidates and conduct additional research, manufacturing and development activities pursuant to our collaboration agreements with Janssen and Ono. Our product candidates have not yet achieved regulatory approval and we may not be successful in achieving commercialization of our product candidates.</w:t>
      </w:r>
    </w:p>
    <w:p>
      <w:pPr>
        <w:spacing w:after="0" w:line="6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believe our existing cash and cash equivalents and investments as of June 30, 2022 will be sufficient to fund our projected operating requirements for at least the next twelve months. However, we are subject to all the risks and uncertainties incident in the research, manufacture and development of therapeutic products. For example, the FDA or other regulatory authorities may require us to generate additional data or conduct additional preclinical studies, manufacturing activities, or clinical trials, or may impose other requirements beyond those that we currently anticipate. Additionally, it is possible for a product candidate to show promising results in preclinical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spacing w:after="0" w:line="72"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will require additional capital for the research, manufacture and development of our product candidates and to perform our obligations under our collaboration agreements, and we may need to seek additional funds sooner than expected due to any changes in our business, operations, financial condition or prospects, including any impacts of the COVID-19 pandemic, inflation rates and global economic conditions, and the ongoing conflict in Ukraine. We expect to finance our capital requirements in the foreseeable future through the sale of public or private equity or debt securities.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while the full impact of the COVID-19 pandemic, inflation rates, and the ongoing conflict in Ukraine on our business, operations, financial condition and prospects, and on the global economy, are currently unknown and difficult to predict, the pandemic has caused significant disruptions and created uncertainties in the global financial markets, and the economic impacts of the pandemic, rising inflation rates and global economic conditions, or the Ukrainian conflict could materially and adversely affect our ability to raise capital through equity or debt financings in the future.</w:t>
      </w:r>
    </w:p>
    <w:p>
      <w:pPr>
        <w:spacing w:after="0" w:line="6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Our forecast of the period of time through which our existing cash and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81"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initiation, timing, progress, size, duration, costs and results of our clinical trials and preclinical studies for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the nature of product candidates that we pursue;</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to and cost of establishing internal GMP production capabilities to support the clinical and potential commercial manufacture of our product candidates at our new corporate headquarters;</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GMP production, process and scale-up development and technology transfer activities for the manufacture of our product candidates, including the cost of laboratory equipment, materials and supplies to support these activities;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5" w:name="page36"/>
    <w:bookmarkEnd w:id="35"/>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cost and outcome of seeking and obtaining regulatory approvals;</w:t>
      </w:r>
    </w:p>
    <w:p>
      <w:pPr>
        <w:spacing w:after="0" w:line="103"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 in connection with the stock price appreciation milestones;</w:t>
      </w:r>
    </w:p>
    <w:p>
      <w:pPr>
        <w:spacing w:after="0" w:line="73"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milestones are achieved under our collaboration agreements with Ono and Janssen, and any other strategic partnership or collaboration agreements that we may enter into in the future, and the time to achievement of such milestones and our receipt of any associated milestone payments;</w:t>
      </w:r>
    </w:p>
    <w:p>
      <w:pPr>
        <w:spacing w:after="0" w:line="7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 and the cost of enforcing any of our other contractual rights;</w:t>
      </w:r>
    </w:p>
    <w:p>
      <w:pPr>
        <w:spacing w:after="0" w:line="62"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including our need and ability to hire additional employees and procure additional equipment, materials and supplies;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establishment and continuation of collaborations and strategic alliances;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terms of future in-licensing and out-licensing transactions; and</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establishing sales, marketing, manufacturing and distribution capabilities for, and the pricing and reimbursement of, any products for which we may receive regulatory approval.</w:t>
      </w:r>
    </w:p>
    <w:p>
      <w:pPr>
        <w:spacing w:after="0" w:line="6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addition, we are closely monitoring ongoing developments in connection with the COVID-19 pandemic, inflation rates and global economic conditions, and the ongoing conflict in Ukraine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 manufacturing and development operations, or otherwise capitalize on our business opportunities, because we lack sufficient capital, our business, operations, financial condition and prospects could be materially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jc w:val="both"/>
        <w:ind w:right="340" w:firstLine="509"/>
        <w:spacing w:after="0" w:line="294" w:lineRule="auto"/>
        <w:rPr>
          <w:sz w:val="20"/>
          <w:szCs w:val="20"/>
          <w:color w:val="auto"/>
        </w:rPr>
      </w:pPr>
      <w:r>
        <w:rPr>
          <w:rFonts w:ascii="Arial" w:cs="Arial" w:eastAsia="Arial" w:hAnsi="Arial"/>
          <w:sz w:val="16"/>
          <w:szCs w:val="16"/>
          <w:color w:val="auto"/>
        </w:rPr>
        <w:t>We lease certain office, laboratory, and manufacturing space under non-cancelable operating leases. In addition to rent, our leases are subject to certain fixed fees. The leases are also subject to additional variable charges for common area maintenance, property taxes, property insurance and other variable costs. See Note 7 of the unaudited condensed consolidated financial statements for additional detail surrounding our lease obligations.</w:t>
      </w:r>
    </w:p>
    <w:p>
      <w:pPr>
        <w:spacing w:after="0" w:line="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entered into a license agreement with MSK under which we obtained rights relating to compositions and methods covering iPSC-derived cellular immunotherapy, including T-cells and NK-cells derived from iPSCs engineered with CARs. In the event a licensed product achieves a specified clinical milestone, MSK is then eligible to receive certain milestone payments totaling up to $75.0 million based on the price of our common stock, where the amount of such payments owed to MSK are contingent upon certain increases in the price of our common stock following the date of achievement of such clinical milestone. In July 2021, we achieved the specified clinical milestone for a licensed product under the Amended MSK License and our ten-trading day trailing average common stock price exceeded the first, pre-specified threshold. As a result, we remitted payment to MSK for the first milestone payment of $20.0 million. See Note 2 of the unaudited condensed consolidated financial statements for additional detail surrounding our stock price appreciation milestone obligations.</w:t>
      </w:r>
    </w:p>
    <w:p>
      <w:pPr>
        <w:spacing w:after="0" w:line="86"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We have no material contractual obligations not fully recorded on our unaudited condensed consolidated balance sheets or fully disclosed in the notes to the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08"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Inflation has increased during the periods covered by this Quarterly Report, and is expected to continue to increase for the near future. Inflationary factors, such as increases in the prices of material, interest rates and cost of labor may adversely affect our operating results. Although we do not believe that inflation has had a material impact on our financial position or results of operations to date, we may experience some effect in the near future, especially if inflation rates continue to rise.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We are exposed to market risk related to changes in interest rates. As of June 30, 2022, our cash and cash equivalents consisted of cash and money market mutual funds, and our investments consisted of United States treasuries, non-U.S. government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line="243" w:lineRule="auto"/>
        <w:rPr>
          <w:sz w:val="20"/>
          <w:szCs w:val="20"/>
          <w:color w:val="auto"/>
        </w:rPr>
      </w:pPr>
      <w:r>
        <w:rPr>
          <w:rFonts w:ascii="Arial" w:cs="Arial" w:eastAsia="Arial" w:hAnsi="Arial"/>
          <w:sz w:val="18"/>
          <w:szCs w:val="18"/>
          <w:color w:val="auto"/>
        </w:rPr>
        <w:t>municipal securities, corporate debt securities and commercial paper with maturities ranging from three to thirty-six months from the date of acquisition. Our primary exposure to market risk is interest income sensitivity, which is affected by changes in the general level of U.S. interest rates. However, because of the low risk profile of the instruments in our portfolio, a 10% change in market interest rates would not have a material impact on our financial condition and/or results of operations.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Price Sensitivity</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entered into an amended and restated license agreement with MSK under which we obtained rights relating to compositions and methods covering iPSC-derived cellular immunotherapy, including T-cells and NK-cells derived from iPSCs engineered with CARs. MSK is eligible to receive certain milestone payments totaling up to $75.0 million in the event a licensed product achieves a specified clinical milestone, where the amount of such payments owed to MSK is contingent upon certain increases in the price of our common stock following the date of achievement of such clinical milestone. As of June 30, 2022, the estimated fair value of the stock price appreciation milestones for the remaining milestones was $9.9 million.</w:t>
      </w:r>
    </w:p>
    <w:p>
      <w:pPr>
        <w:spacing w:after="0" w:line="66"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Changes in the price of our common stock as of each balance sheet date may cause a relatively large change in the estimated fair value of the stock price appreciation milestones and the associated liability and resulting expense or gain. See Note 5 to our unaudited condensed consolidated financial statements for a related sensitivity analysis.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04"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our chief financial officer, who serve as our principal executive officer and our principal financial officer, respectively, of the effectiveness of the design and operation of our disclosure controls and procedures, as defined in Rules 13a-15(e) and 15d-15(e)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 Based on this evaluation, our principal executive officer and principal financial officer each concluded that our disclosure controls and procedures were effective at the reasonable assurance level as of June 30, 2022.</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There were no changes in our internal controls over financial reporting that occurred during our latest fiscal quarter that have materially affected, or are reasonably likely to materially affect, our internal controls over financial reporting.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On May 13, 2022, we filed a six-count complaint in San Diego Superior Court against Shoreline Biosciences, Inc. (Shoreline) and its two founders, Dr. Dan S. Kaufman (Kaufman) and Dr. Kleanthis G. Xanthopoulos. Our claims stem from Kaufman’s founding of and participation in Shoreline’s business, in breach of his exclusivity obligations pursuant to a Scientific Advisor Agreement between Kaufman and the Company to us as our scientific advisor. Our claims include actions for breach of contract, breach of implied covenant of good faith and fair dealing, fraud and deceit, tortious interference, restitution for unfair business practices and unjust enrichment. We are seeking monetary damages.</w:t>
      </w:r>
    </w:p>
    <w:p>
      <w:pPr>
        <w:spacing w:after="0" w:line="6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On May 13, 2022, we and Whitehead Institute for Biomedical Research (Whitehead) filed a second lawsuit in the U.S. District Court for the Southern District of California against Shoreline and Kaufman seeking damages for the defendants’ infringement of U.S. Patent Nos. 8,071,369, 8,932,856, 8,951,797, 8,940,536, 9,169,490, and 10,457,917 (the Whitehead Patents). The Whitehead Patents, which we exclusively license from Whitehead, relate to key compositions and methods for reprogramming human somatic cells to a pluripotent state in the generation of induced pluripotent stem cells (iPSCs). Shoreline and Kaufman have each filed answers to our complaint denying infringement and alleging invalidity of the Whitehead Patents.</w:t>
      </w:r>
    </w:p>
    <w:p>
      <w:pPr>
        <w:spacing w:after="0" w:line="5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Both lawsuits are in their early stages and remain pending. From time to time, we may be subject to various other legal proceedings and claims that arise in the ordinary course of our business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Regulation of Our Product Candidates</w:t>
      </w:r>
    </w:p>
    <w:p>
      <w:pPr>
        <w:spacing w:after="0" w:line="21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If we fail to complete the preclinical or clinical development of, or to obtain regulatory approval for, our product candidates, our business would be significantly harmed.</w:t>
      </w:r>
    </w:p>
    <w:p>
      <w:pPr>
        <w:spacing w:after="0" w:line="63"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All of our product candidates are currently in research or early clinical development. We have not completed clinical development of or obtained regulatory approval for any of our product candidates. Only a small percentage of research and development programs ultimately result in commercially successful products, and we cannot assure you that any of our product candidates will demonstrate the safety, purity and potency, or efficacy profiles necessary to support further preclinical study, clinical development or regulatory approval.</w:t>
      </w:r>
    </w:p>
    <w:p>
      <w:pPr>
        <w:spacing w:after="0" w:line="80"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may delay or cancel our ongoing and planned clinical development activities or research and development activities for any of our product candidates for a variety of reasons, including:</w:t>
      </w:r>
    </w:p>
    <w:p>
      <w:pPr>
        <w:spacing w:after="0" w:line="63" w:lineRule="exact"/>
        <w:rPr>
          <w:sz w:val="20"/>
          <w:szCs w:val="20"/>
          <w:color w:val="auto"/>
        </w:rPr>
      </w:pPr>
    </w:p>
    <w:p>
      <w:pPr>
        <w:ind w:left="1020" w:right="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determining that a product candidate is ineffective, causes harmful side effects, or otherwise presents unacceptable safety risks during clinical trials or has an unfavorable toxicity profile in preclinical studies to support clinical investigation;</w:t>
      </w:r>
    </w:p>
    <w:p>
      <w:pPr>
        <w:spacing w:after="0" w:line="62"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FDA for the conduct of clinical trials or for marketing approval;</w:t>
      </w:r>
    </w:p>
    <w:p>
      <w:pPr>
        <w:spacing w:after="0" w:line="73" w:lineRule="exact"/>
        <w:rPr>
          <w:rFonts w:ascii="Arial" w:cs="Arial" w:eastAsia="Arial" w:hAnsi="Arial"/>
          <w:sz w:val="18"/>
          <w:szCs w:val="18"/>
          <w:color w:val="auto"/>
        </w:rPr>
      </w:pPr>
    </w:p>
    <w:p>
      <w:pPr>
        <w:ind w:left="1020" w:hanging="503"/>
        <w:spacing w:after="0" w:line="276"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prioritization of other of our product candidates for advancement or the emergence of competing product candidates developed by others, including a decision to cease research and development of any existing product candidate due to the potential obsolescence of our product candidate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 consistent or more cost effective manufacturing process, or more a favorable commercial profile, including greater market acceptance or commercial potential, or more advantageous intellectual property position;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8" w:name="page39"/>
    <w:bookmarkEnd w:id="38"/>
    <w:p>
      <w:pPr>
        <w:jc w:val="both"/>
        <w:ind w:left="1020" w:right="40" w:hanging="503"/>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and delays in trial execution associated with our testing of multiple product candidates in the same indication in different clinical trials, as well as competition from biotechnology and pharmaceutical companies, universities, and other research institutions for patients and clinical trial sites;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proprietary rights of third parties, which may preclude us from developing, manufacturing or commercializing a product candidate;</w:t>
      </w:r>
    </w:p>
    <w:p>
      <w:pPr>
        <w:spacing w:after="0" w:line="115" w:lineRule="exact"/>
        <w:rPr>
          <w:rFonts w:ascii="Arial" w:cs="Arial" w:eastAsia="Arial" w:hAnsi="Arial"/>
          <w:sz w:val="17"/>
          <w:szCs w:val="17"/>
          <w:color w:val="auto"/>
        </w:rPr>
      </w:pPr>
    </w:p>
    <w:p>
      <w:pPr>
        <w:ind w:left="1020" w:right="5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determining that a product candidate may be uneconomical to develop, manufacture, or commercialize, or may fail to achieve market acceptance or an adequate pricing and reimbursement profile;</w:t>
      </w:r>
    </w:p>
    <w:p>
      <w:pPr>
        <w:spacing w:after="0" w:line="62" w:lineRule="exact"/>
        <w:rPr>
          <w:rFonts w:ascii="Arial" w:cs="Arial" w:eastAsia="Arial" w:hAnsi="Arial"/>
          <w:sz w:val="18"/>
          <w:szCs w:val="18"/>
          <w:color w:val="auto"/>
        </w:rPr>
      </w:pPr>
    </w:p>
    <w:p>
      <w:pPr>
        <w:ind w:left="1020" w:right="80" w:hanging="503"/>
        <w:spacing w:after="0" w:line="32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inability to secure or maintain relationships with strategic partners that may be necessary for advancement of a product candidate into or through clinical development, regulatory approval and commercialization in any particular indication(s) or geographic territory(ies); or</w:t>
      </w:r>
    </w:p>
    <w:p>
      <w:pPr>
        <w:spacing w:after="0" w:line="16"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establishing predictive preclinical models for demonstration of safety and efficacy of a product candidate in one or more potential therapeutic areas for clinical development.</w:t>
      </w:r>
    </w:p>
    <w:p>
      <w:pPr>
        <w:spacing w:after="0" w:line="17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preclinical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data from our clinical trials and our manufacturing operations are sufficient to support approval. In addition, the approval by 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final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preclinical studies and clinical trials that we currently do not anticipate, including as a result of changes in the standard of care. If we fail to complete preclinical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delays in initiating, conducting or completing our clinical trials, and we may not be able to initiate, conduct or complete them at all.</w:t>
      </w:r>
    </w:p>
    <w:p>
      <w:pPr>
        <w:spacing w:after="0" w:line="12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 Current and future clinical trials of our product candidates may be delayed, unsuccessful or terminated, or not initiated at all, as a result of many factors, including factors related to:</w:t>
      </w:r>
    </w:p>
    <w:p>
      <w:pPr>
        <w:spacing w:after="0" w:line="81" w:lineRule="exact"/>
        <w:rPr>
          <w:sz w:val="20"/>
          <w:szCs w:val="20"/>
          <w:color w:val="auto"/>
        </w:rPr>
      </w:pPr>
    </w:p>
    <w:p>
      <w:pPr>
        <w:ind w:left="1020" w:right="6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identifying eligible patients for participation in clinical trials of our product candidates, due in part to our focus on the development of certain of our product candidates for the treatment of rare diseases;</w:t>
      </w:r>
    </w:p>
    <w:p>
      <w:pPr>
        <w:spacing w:after="0" w:line="62" w:lineRule="exact"/>
        <w:rPr>
          <w:rFonts w:ascii="Arial" w:cs="Arial" w:eastAsia="Arial" w:hAnsi="Arial"/>
          <w:sz w:val="18"/>
          <w:szCs w:val="18"/>
          <w:color w:val="auto"/>
        </w:rPr>
      </w:pPr>
    </w:p>
    <w:p>
      <w:pPr>
        <w:ind w:left="1020" w:right="140" w:hanging="503"/>
        <w:spacing w:after="0" w:line="259"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enrolling a sufficient number of suitable patients to conduct clinical trials of our product candidates, including difficulties resulting from patients enrolling in studies of therapeutic product candidates sponsored by us or our competitors and difficulties resulting from patient availability as a result of mandated travel restrictions, prioritization of hospital and other medical resources toward pandemic efforts, policies and procedures implemented at clinical sites with respect to the conduct of clinical trials, and other precautionary measures taken in treating patients or in practicing medicine in response to the ongoing COVID-19 pandemic;</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determining suitable doses and schedules of our novel cell product candidates for evaluation in clinical trials;</w:t>
      </w:r>
    </w:p>
    <w:p>
      <w:pPr>
        <w:spacing w:after="0" w:line="103" w:lineRule="exact"/>
        <w:rPr>
          <w:rFonts w:ascii="Arial" w:cs="Arial" w:eastAsia="Arial" w:hAnsi="Arial"/>
          <w:sz w:val="18"/>
          <w:szCs w:val="18"/>
          <w:color w:val="auto"/>
        </w:rPr>
      </w:pPr>
    </w:p>
    <w:p>
      <w:pPr>
        <w:ind w:left="1020" w:right="44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9" w:name="page40"/>
    <w:bookmarkEnd w:id="39"/>
    <w:p>
      <w:pPr>
        <w:ind w:left="1020" w:right="12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obtaining agreement from regulatory authorities on the preclinical safety and efficacy data, the manufacturing requirements, and the clinical trial design and parameters necessary for an IND application to go into effect to initiate and conduct clinical trials for any of our current product candidates and any other product candidates that we may identify;</w:t>
      </w:r>
    </w:p>
    <w:p>
      <w:pPr>
        <w:spacing w:after="0" w:line="7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unexpected safety issues or adverse events in any ongoing or future clinical trials of our product candidates, including in trials of our product candidates conducted by investigator-sponsors;</w:t>
      </w:r>
    </w:p>
    <w:p>
      <w:pPr>
        <w:spacing w:after="0" w:line="62" w:lineRule="exact"/>
        <w:rPr>
          <w:rFonts w:ascii="Arial" w:cs="Arial" w:eastAsia="Arial" w:hAnsi="Arial"/>
          <w:sz w:val="18"/>
          <w:szCs w:val="18"/>
          <w:color w:val="auto"/>
        </w:rPr>
      </w:pPr>
    </w:p>
    <w:p>
      <w:pPr>
        <w:ind w:left="1020" w:right="28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spacing w:after="0" w:line="73" w:lineRule="exact"/>
        <w:rPr>
          <w:rFonts w:ascii="Arial" w:cs="Arial" w:eastAsia="Arial" w:hAnsi="Arial"/>
          <w:sz w:val="18"/>
          <w:szCs w:val="18"/>
          <w:color w:val="auto"/>
        </w:rPr>
      </w:pPr>
    </w:p>
    <w:p>
      <w:pPr>
        <w:ind w:left="1020" w:right="240" w:hanging="503"/>
        <w:spacing w:after="0" w:line="29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governmental or regulatory delays, including any delays due to limitations on the availability of governmental and regulatory agency personnel to review regulatory filings, conduct site inspections or engage in discussions with us as a result of the ongoing COVID-19 pandemic, failure to obtain regulatory approval, or uncertainty or changes in U.S. or foreign regulatory requirements, policy or guidelines;</w:t>
      </w:r>
    </w:p>
    <w:p>
      <w:pPr>
        <w:spacing w:after="0" w:line="39" w:lineRule="exact"/>
        <w:rPr>
          <w:rFonts w:ascii="Arial" w:cs="Arial" w:eastAsia="Arial" w:hAnsi="Arial"/>
          <w:sz w:val="16"/>
          <w:szCs w:val="16"/>
          <w:color w:val="auto"/>
        </w:rPr>
      </w:pPr>
    </w:p>
    <w:p>
      <w:pPr>
        <w:ind w:left="1020" w:hanging="503"/>
        <w:spacing w:after="0" w:line="24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clinical trial conduct at our clinical trial sites resulting from prioritization of hospital and other medical resources toward COVID-19 pandemic efforts, policies and procedures implemented at clinical sites with respect to the conduct of clinical trials including those relating to site initiation, study monitoring, and data collection and analysis, and other precautionary measures taken in treating patients or in practicing medicine in response to the COVID-19 pandemic;</w:t>
      </w:r>
    </w:p>
    <w:p>
      <w:pPr>
        <w:spacing w:after="0" w:line="79"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reaching agreement on acceptable terms with third-party service providers and clinical trial sites, the terms of which can be subject to extensive negotiation and may vary significantly among different service providers and clinical trial sites;</w:t>
      </w:r>
    </w:p>
    <w:p>
      <w:pPr>
        <w:spacing w:after="0" w:line="62" w:lineRule="exact"/>
        <w:rPr>
          <w:rFonts w:ascii="Arial" w:cs="Arial" w:eastAsia="Arial" w:hAnsi="Arial"/>
          <w:sz w:val="18"/>
          <w:szCs w:val="18"/>
          <w:color w:val="auto"/>
        </w:rPr>
      </w:pPr>
    </w:p>
    <w:p>
      <w:pPr>
        <w:ind w:left="1020" w:right="60" w:hanging="503"/>
        <w:spacing w:after="0" w:line="29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by us or third parties that we contract with, to manufacture certain of our product candidates consistently, and in sufficient quantities, in accordance with our protocol-specified manufacturing requirements and applicable regulatory requirements;</w:t>
      </w:r>
    </w:p>
    <w:p>
      <w:pPr>
        <w:spacing w:after="0" w:line="38" w:lineRule="exact"/>
        <w:rPr>
          <w:rFonts w:ascii="Arial" w:cs="Arial" w:eastAsia="Arial" w:hAnsi="Arial"/>
          <w:sz w:val="17"/>
          <w:szCs w:val="17"/>
          <w:color w:val="auto"/>
        </w:rPr>
      </w:pPr>
    </w:p>
    <w:p>
      <w:pPr>
        <w:ind w:left="1020" w:right="1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or the failure of investigators, third-party service providers, or clinical trial sites, to ensure the proper and timely conduct of and analysis of data from clinical trials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reach agreement on clinical trial design and parameters with regulatory authorities, investigators, and IRBs;</w:t>
      </w:r>
    </w:p>
    <w:p>
      <w:pPr>
        <w:spacing w:after="0" w:line="10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the COVID-19 pandemic and the ongoing conflict in Ukraine;</w:t>
      </w:r>
    </w:p>
    <w:p>
      <w:pPr>
        <w:spacing w:after="0" w:line="73" w:lineRule="exact"/>
        <w:rPr>
          <w:rFonts w:ascii="Arial" w:cs="Arial" w:eastAsia="Arial" w:hAnsi="Arial"/>
          <w:sz w:val="18"/>
          <w:szCs w:val="18"/>
          <w:color w:val="auto"/>
        </w:rPr>
      </w:pPr>
    </w:p>
    <w:p>
      <w:pPr>
        <w:ind w:left="1020" w:right="160" w:hanging="503"/>
        <w:spacing w:after="0" w:line="24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or delays by us or by our clinical sites to obtain sufficient quantities of components and supplies necessary for the conduct of our clinical trials, including any inability to obtain agents such as cyclophosphamide or fludarabine which are required to condition patients for treatment with our product candidates, or certain monoclonal antibodies which are intended for administration to patients in combination with our product candidates in certain of our clinical trials;</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distributing our product candidates to clinical trial sites, or failure to establish effective protocols for the supply and transport of our product candidates;</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conducting clinical trials or manufacturing of our product candidates being greater than we anticipate, including due to rising inflation rates, or the timelines for these activities being longer than we anticipate;</w:t>
      </w:r>
    </w:p>
    <w:p>
      <w:pPr>
        <w:spacing w:after="0" w:line="62" w:lineRule="exact"/>
        <w:rPr>
          <w:rFonts w:ascii="Arial" w:cs="Arial" w:eastAsia="Arial" w:hAnsi="Arial"/>
          <w:sz w:val="18"/>
          <w:szCs w:val="18"/>
          <w:color w:val="auto"/>
        </w:rPr>
      </w:pPr>
    </w:p>
    <w:p>
      <w:pPr>
        <w:ind w:left="1020" w:right="400" w:hanging="503"/>
        <w:spacing w:after="0" w:line="32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authorities or data monitoring committees requiring or recommending suspension, termination or a clinical hold for various reasons, including concerns about patient safety or the safety of novel therapeutics derived from pluripotent or genome edited therapies;</w:t>
      </w:r>
    </w:p>
    <w:p>
      <w:pPr>
        <w:spacing w:after="0" w:line="16" w:lineRule="exact"/>
        <w:rPr>
          <w:rFonts w:ascii="Arial" w:cs="Arial" w:eastAsia="Arial" w:hAnsi="Arial"/>
          <w:sz w:val="16"/>
          <w:szCs w:val="16"/>
          <w:color w:val="auto"/>
        </w:rPr>
      </w:pPr>
    </w:p>
    <w:p>
      <w:pPr>
        <w:ind w:left="1020" w:right="2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serious, life-threatening diseases of the patients enrolled in our clinical trials, who may die or suffer adverse medical events during the course of the trials for reasons that may not be related to our product candidates;</w:t>
      </w:r>
    </w:p>
    <w:p>
      <w:pPr>
        <w:spacing w:after="0" w:line="62"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patients to complete clinical trials or adhere to study protocols due to safety issues, side effects, disruptions in study conduct, including study monitoring, data collection and analysis, restrictions on hospital visits or travel relating to the COVID-19 pandemic, or other reasons; and</w:t>
      </w:r>
    </w:p>
    <w:p>
      <w:pPr>
        <w:spacing w:after="0" w:line="7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of competitive agents that may materially alter the standard of care on which a clinical development plan was based, which may require new or additional trials, or render our product candidates or clinical trial designs obsolete.</w:t>
      </w:r>
    </w:p>
    <w:p>
      <w:pPr>
        <w:spacing w:after="0" w:line="6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If there are delays in initiating or conducting any clinical trials of our product candidates or any of these clinical trials are terminated before completion, the commercial prospects of our product candidates will be harmed. In addition, any delays in initiating, conducting or completing our clinical trials or adjustments to certain of our study protocols and procedures, including as a result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right="160"/>
        <w:spacing w:after="0" w:line="259" w:lineRule="auto"/>
        <w:rPr>
          <w:sz w:val="20"/>
          <w:szCs w:val="20"/>
          <w:color w:val="auto"/>
        </w:rPr>
      </w:pPr>
      <w:r>
        <w:rPr>
          <w:rFonts w:ascii="Arial" w:cs="Arial" w:eastAsia="Arial" w:hAnsi="Arial"/>
          <w:sz w:val="17"/>
          <w:szCs w:val="17"/>
          <w:color w:val="auto"/>
        </w:rPr>
        <w:t>any shortage of materials or agents necessary to conduct our studies or as a result of the COVID-19 pandemic,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 of regulatory approval of our product candidates. Any of these occurrences would significantly harm our business, prospects, financial condition, results of operations, and market price of shares of our common stock.</w:t>
      </w:r>
    </w:p>
    <w:p>
      <w:pPr>
        <w:spacing w:after="0" w:line="282"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b w:val="1"/>
          <w:bCs w:val="1"/>
          <w:i w:val="1"/>
          <w:iCs w:val="1"/>
          <w:color w:val="auto"/>
        </w:rPr>
        <w:t>The manufacture and distribution of our cell product candidates, particularly our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spacing w:after="0" w:line="66"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manufacture and supply of our cell product candidates involve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in some cases genetically engineering these iPSCs, and differentiating the iPSCs to obtain the desired cell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8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several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86"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We may make changes or be required by the FDA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7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manufacturing processes for any products that we may develop are subject to FDA and foreign regulatory authority approval requirements, and we will need to meet, and our CMOs or other third party manufacturers will need to meet, all applicable FDA and foreign regulatory authority requirements on an ongoing basis. Our existing product candidates are currently manufactured by us or by third-party cell processing facilities or CMOs, including facilities operated by or affiliated with our clinical sites,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our CMOs or other third-party manufacturers are unable to reliably produce products to specifications acceptable to the FDA or other regulatory authorities, we may not obtain or maintain the regulatory approvals we need to commercialize such products. Even if we obtain regulatory approval for any of our product candidates, there is no assurance that either we or our CMOs or other third-party manufacturers will be able to manufacture the approved product to specifications acceptable to the FDA or other regulatory authorities, to produce it in sufficient quantities to meet the requirements for the potential launch of the product, or to meet potential future demand. Additionally, changes in regulatory requirements may require us or our third-party manufacturers to perform additional studies or to modify protocols, processes, materials or facilities for the manufacture of our product candidates or any components thereof. Any of these challenges could delay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jc w:val="both"/>
        <w:ind w:right="320"/>
        <w:spacing w:after="0" w:line="248" w:lineRule="auto"/>
        <w:rPr>
          <w:sz w:val="20"/>
          <w:szCs w:val="20"/>
          <w:color w:val="auto"/>
        </w:rPr>
      </w:pPr>
      <w:r>
        <w:rPr>
          <w:rFonts w:ascii="Arial" w:cs="Arial" w:eastAsia="Arial" w:hAnsi="Arial"/>
          <w:sz w:val="18"/>
          <w:szCs w:val="18"/>
          <w:color w:val="auto"/>
        </w:rPr>
        <w:t>initiation or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2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63"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plan to globally develop our product candidates. Accordingly, we expect that it will be subject to additional risks related to operating in foreign countries, including:</w:t>
      </w:r>
    </w:p>
    <w:p>
      <w:pPr>
        <w:spacing w:after="0" w:line="63"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the U.S. and shipping the product candidate to the patient abroad;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04"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These and other risks associated with our potential international operations may materially adversely affect our ability to attain or maintain profitable operations, which could have a material adverse effect on our business and results of operations.</w:t>
      </w:r>
    </w:p>
    <w:p>
      <w:pPr>
        <w:spacing w:after="0" w:line="27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A disruption to our manufacturing operations, or our or our third-party suppliers’ or manufacturers’ inability to manufacture sufficient quantities of our product candidates at acceptable quality levels or costs, or at all, would materially and adversely affect our business</w:t>
      </w:r>
      <w:r>
        <w:rPr>
          <w:rFonts w:ascii="Arial" w:cs="Arial" w:eastAsia="Arial" w:hAnsi="Arial"/>
          <w:sz w:val="17"/>
          <w:szCs w:val="17"/>
          <w:color w:val="auto"/>
        </w:rPr>
        <w:t>.</w:t>
      </w:r>
    </w:p>
    <w:p>
      <w:pPr>
        <w:spacing w:after="0" w:line="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 of our product candidates to be manufactured or processed on a commercial scale and may not be able to do so for any of our product candidates.</w:t>
      </w:r>
    </w:p>
    <w:p>
      <w:pPr>
        <w:spacing w:after="0" w:line="83"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are substantially dependent on our own internal manufacturing facilities in San Diego, California for the production of our product candidates, and we rely, and expect to continue to rely, on third parties for the manufacture of certain components and also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2" w:name="page43"/>
    <w:bookmarkEnd w:id="42"/>
    <w:p>
      <w:pPr>
        <w:ind w:right="260"/>
        <w:spacing w:after="0" w:line="261" w:lineRule="auto"/>
        <w:rPr>
          <w:sz w:val="20"/>
          <w:szCs w:val="20"/>
          <w:color w:val="auto"/>
        </w:rPr>
      </w:pPr>
      <w:r>
        <w:rPr>
          <w:rFonts w:ascii="Arial" w:cs="Arial" w:eastAsia="Arial" w:hAnsi="Arial"/>
          <w:sz w:val="18"/>
          <w:szCs w:val="18"/>
          <w:color w:val="auto"/>
        </w:rPr>
        <w:t>to produce such product candidates or materials in a timely manner and on commercially reasonable terms, or at all. This would significantly impact our ability to develop, obtain regulatory approval for or market our product candidates, if approved.</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Because we rely on our own manufacturing facility to produce our product candidates and on third parties for the manufacture of certain components and the product candidates themselves, we are required to transfer certain manufacturing process know-how and certain intermediates to third parties, including larger-scale facilities operated by a CMO or by us, to facilitate manufacture of our product candidates for clinical trials and 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for manufacturing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 product candidates with material previously produced and used in testing. Any inability to manufacture comparable drug product by us or our CMOs could delay the continued development of our product candidates.</w:t>
      </w:r>
    </w:p>
    <w:p>
      <w:pPr>
        <w:spacing w:after="0" w:line="72"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In addition to relying on third parties for the manufacture of our product candidates, we also manufacture certain of our product candidates ourselves, and intend to manufacture some or all of the clinical supply of our iPSC-derived NK-cell and T-cell product candidates for our ongoing and planned clinical trials. To do so, we will need to scale up our own manufacturing operations, as we do not currently have the infrastructure or capability internally to manufacture sufficient quantities of each of our product candidates to support the conduct of each of our clinical trials or commercialization of each of our product candidates, if approved. Accordingly, we will be required to make significant investments to expand our existing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w:t>
      </w:r>
    </w:p>
    <w:p>
      <w:pPr>
        <w:spacing w:after="0" w:line="55"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facility shutdowns due to the ongoing COVID-19 pandemic, the ongoing conflict in Ukraine, natural disasters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For example, in response to the COVID-19 pandemic, we or our third-party manufacturers have been, and may from time to time be required to limit our or their on-site staff’s availability to conduct manufacturing activities at our or their respective facilities, and we and our third-party manufacturers may encounter problems with shortages of qualified personnel and key contractors, and delays or pauses in the production and delivery of laboratory equipment, materials and supplies necessary for the manufacture of our product candidates. These problems may include workforce reductions, employee absenteeism and attrition, and supply chain failures or delays relating to the COVID-19 pandemic or other events affecting raw material supply or manufacturing capabilities. Since the beginning of the COVID-19 pandemic, three vaccines for COVID-19 have been granted Emergency Use Authorization by the FDA, and two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 candidates needed for our clinical trials, which could lead to delays in these trials. Further, delays in regulatory inspections, commissioning and receiving regulatory approvals for our manufacturing capabilities or facilities, including new facilities, as a result of limited governmental resources due to the COVID-19 pandemic or otherwise, could delay our development plans, including the initiation and conduct of our ongoing and planned clinical trials. In addition, we and our third-party manufacturers may have limited manufacturing capacity for certain product candidates or components, and we may fail to locate suitable additional or replacement manufacturing capacity, including for the manufacture of our product candidates in compliance with cGMP or cGTP, on a reasonable basis or at all. Any such failure could be the basis for the FDA to issue a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62" w:lineRule="exact"/>
        <w:rPr>
          <w:sz w:val="20"/>
          <w:szCs w:val="20"/>
          <w:color w:val="auto"/>
        </w:rPr>
      </w:pPr>
    </w:p>
    <w:p>
      <w:pPr>
        <w:ind w:right="120" w:firstLine="509"/>
        <w:spacing w:after="0" w:line="225" w:lineRule="auto"/>
        <w:rPr>
          <w:sz w:val="20"/>
          <w:szCs w:val="20"/>
          <w:color w:val="auto"/>
        </w:rPr>
      </w:pPr>
      <w:r>
        <w:rPr>
          <w:rFonts w:ascii="Arial" w:cs="Arial" w:eastAsia="Arial" w:hAnsi="Arial"/>
          <w:sz w:val="18"/>
          <w:szCs w:val="18"/>
          <w:color w:val="auto"/>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applicable standards or specifications with consistent and acceptable production yields and costs. In addition, if contaminants are discovered in our supply of product candidates or in our manufacturing facilities or those of our third-party suppliers and manufacturers, such manufacturing facilities may need to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spacing w:after="0" w:line="246" w:lineRule="auto"/>
        <w:rPr>
          <w:sz w:val="20"/>
          <w:szCs w:val="20"/>
          <w:color w:val="auto"/>
        </w:rPr>
      </w:pPr>
      <w:r>
        <w:rPr>
          <w:rFonts w:ascii="Arial" w:cs="Arial" w:eastAsia="Arial" w:hAnsi="Arial"/>
          <w:sz w:val="18"/>
          <w:szCs w:val="18"/>
          <w:b w:val="1"/>
          <w:bCs w:val="1"/>
          <w:i w:val="1"/>
          <w:iCs w:val="1"/>
          <w:color w:val="auto"/>
        </w:rPr>
        <w:t>We are subject to risks associated with the ongoing spread of the coronavirus, SARS-CoV-2, and the global COVID-19 pandemic could seriously impact the research and development of our product candidates.</w:t>
      </w:r>
    </w:p>
    <w:p>
      <w:pPr>
        <w:spacing w:after="0" w:line="62" w:lineRule="exact"/>
        <w:rPr>
          <w:sz w:val="20"/>
          <w:szCs w:val="20"/>
          <w:color w:val="auto"/>
        </w:rPr>
      </w:pPr>
    </w:p>
    <w:p>
      <w:pPr>
        <w:ind w:right="60" w:firstLine="509"/>
        <w:spacing w:after="0" w:line="237" w:lineRule="auto"/>
        <w:rPr>
          <w:sz w:val="20"/>
          <w:szCs w:val="20"/>
          <w:color w:val="auto"/>
        </w:rPr>
      </w:pPr>
      <w:r>
        <w:rPr>
          <w:rFonts w:ascii="Arial" w:cs="Arial" w:eastAsia="Arial" w:hAnsi="Arial"/>
          <w:sz w:val="17"/>
          <w:szCs w:val="17"/>
          <w:color w:val="auto"/>
        </w:rPr>
        <w:t>The ongoing COVID-19 pandemic has broadly affected the global economy, resulted in significant travel and work restrictions in many regions and put a significant strain on healthcare resources. The pandemic has had, and we expect it will continue to have, an impact on our operations and on the operations of our collaborators, third-party contractors and other entities, including governmental agencies with which we interact. In particular, state and local regulations requiring during certain periods that a significant portion of our employees work remotely has had an impact on our operations and research and development of our product candidates. We have also experienced delays in obtaining materials and supplies needed to maintain our operations and manufacture our product candidates as a result of production shortages experienced by our suppliers. Additionally, at times we have been subject to temporary pauses in enrollment and dosing implemented by some clinical trial sites due to COVID-19, and some clinical trial sites have also restricted initiation of new trials at times as well as visits by sponsors and clinical research organizations (CROs) for ongoing trials to protect both site staff and patients from possible COVID-19 exposure.</w:t>
      </w:r>
    </w:p>
    <w:p>
      <w:pPr>
        <w:spacing w:after="0" w:line="72" w:lineRule="exact"/>
        <w:rPr>
          <w:sz w:val="20"/>
          <w:szCs w:val="20"/>
          <w:color w:val="auto"/>
        </w:rPr>
      </w:pPr>
    </w:p>
    <w:p>
      <w:pPr>
        <w:ind w:right="40" w:firstLine="509"/>
        <w:spacing w:after="0" w:line="225" w:lineRule="auto"/>
        <w:rPr>
          <w:sz w:val="20"/>
          <w:szCs w:val="20"/>
          <w:color w:val="auto"/>
        </w:rPr>
      </w:pPr>
      <w:r>
        <w:rPr>
          <w:rFonts w:ascii="Arial" w:cs="Arial" w:eastAsia="Arial" w:hAnsi="Arial"/>
          <w:sz w:val="18"/>
          <w:szCs w:val="18"/>
          <w:color w:val="auto"/>
        </w:rPr>
        <w:t>The COVID-19 pandemic, including the emergence of new variants, has impacted, and may in the future impact, the clinical development of our product candidates if we are subject to restrictions or limitations on, or delays in, the performance of study procedures (particularly any procedures that may be deemed non-essential), participant dosing, distribution of our product candidates or clinical trial materials, study monitoring, or site inspections and data analysis, including as a result of changes in hospital or research institution policies, federal, state or local regulations, prioritization of hospital and other medical resources toward pandemic efforts, reduced availability of site staff supporting the conduct of clinical trials, heightened risks of exposure of study participants, principal investigators or site staff to COVID-19 if an outbreak occurs in their geographic region, or other reasons related to the pandemic. Quarantine or other travel limitations (whether voluntary or required) also may impede participant movement, affect access to study sites, or interrupt healthcare services.</w:t>
      </w:r>
    </w:p>
    <w:p>
      <w:pPr>
        <w:spacing w:after="0" w:line="68"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color w:val="auto"/>
        </w:rPr>
        <w:t>Furthermore, the pandemic could cause delays in review and response times by the FDA and other regulatory agencies, or such health regulatory agencies may refuse to accept data from our clinical trials due to mitigation strategies we implement in response to the COVID-19 pandemic and current regulatory guidance. In addition, our ability to manufacture and ship our product candidates for our clinical trials may be impacted if we, or any third parties which manufacture and supply materials used in either the manufacture of our product candidates or the conduct of our research and development activities, or which perform certain testing relating to our product candidates, are adversely impacted by restrictions resulting from the coronavirus outbreak. There is also the potential that manufacturing facilities, equipment, and materials required for manufacture or administration of our product candidates could be commandeered under the Defense Production Act of 1950, or equivalent foreign legislation, which may make it more difficult to obtain materials, equipment, or manufacturing slots necessary for the clinical supply of our product candidates.</w:t>
      </w:r>
    </w:p>
    <w:p>
      <w:pPr>
        <w:spacing w:after="0" w:line="69" w:lineRule="exact"/>
        <w:rPr>
          <w:sz w:val="20"/>
          <w:szCs w:val="20"/>
          <w:color w:val="auto"/>
        </w:rPr>
      </w:pPr>
    </w:p>
    <w:p>
      <w:pPr>
        <w:ind w:right="200" w:firstLine="509"/>
        <w:spacing w:after="0" w:line="258" w:lineRule="auto"/>
        <w:rPr>
          <w:sz w:val="20"/>
          <w:szCs w:val="20"/>
          <w:color w:val="auto"/>
        </w:rPr>
      </w:pPr>
      <w:r>
        <w:rPr>
          <w:rFonts w:ascii="Arial" w:cs="Arial" w:eastAsia="Arial" w:hAnsi="Arial"/>
          <w:sz w:val="16"/>
          <w:szCs w:val="16"/>
          <w:color w:val="auto"/>
        </w:rPr>
        <w:t>The extent to which the pandemic affects our operations and the research and development of our product candidates will depend on continuously changing circumstances, which are highly uncertain and cannot be predicted with confidence, such as the duration of the pandemic, including the emergence of new variants of the virus, such as the Omicron BA.4 and BA.5 variants, which may impact rates of infection and vaccination efforts, developments or perceptions regarding the safety of vaccines, future waves of infection, and the effectiveness of actions taken to contain the pandemic or mitigate its impact, including vaccination campaigns. While the ultimate impact of the COVID-19 pandemic on our business is highly uncertain, any negative impacts that materialize could materially adversely affect our clinical development and operations, financial performance and stock price.</w:t>
      </w:r>
    </w:p>
    <w:p>
      <w:pPr>
        <w:spacing w:after="0" w:line="27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Because our approach to the development of product candidates is based on novel and unproven technologies, it is subject to a substantial degree of technological uncertainty and we may not succeed in developing any of our product candidates.</w:t>
      </w:r>
    </w:p>
    <w:p>
      <w:pPr>
        <w:spacing w:after="0" w:line="62" w:lineRule="exact"/>
        <w:rPr>
          <w:sz w:val="20"/>
          <w:szCs w:val="20"/>
          <w:color w:val="auto"/>
        </w:rPr>
      </w:pPr>
    </w:p>
    <w:p>
      <w:pPr>
        <w:ind w:right="20" w:firstLine="509"/>
        <w:spacing w:after="0" w:line="251" w:lineRule="auto"/>
        <w:rPr>
          <w:sz w:val="20"/>
          <w:szCs w:val="20"/>
          <w:color w:val="auto"/>
        </w:rPr>
      </w:pPr>
      <w:r>
        <w:rPr>
          <w:rFonts w:ascii="Arial" w:cs="Arial" w:eastAsia="Arial" w:hAnsi="Arial"/>
          <w:sz w:val="16"/>
          <w:szCs w:val="16"/>
          <w:color w:val="auto"/>
        </w:rPr>
        <w:t xml:space="preserve">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The development of such complex cell therapies is a relatively new and emerging field, and the scientific research that forms the basis of our efforts to discover and develop iPSC-derived and genome edited cellular immunotherapies is ongoing.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 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 candidates, and we may never know precisely how they function </w:t>
      </w:r>
      <w:r>
        <w:rPr>
          <w:rFonts w:ascii="Arial" w:cs="Arial" w:eastAsia="Arial" w:hAnsi="Arial"/>
          <w:sz w:val="16"/>
          <w:szCs w:val="16"/>
          <w:i w:val="1"/>
          <w:iCs w:val="1"/>
          <w:color w:val="auto"/>
        </w:rPr>
        <w:t>in vivo</w:t>
      </w:r>
      <w:r>
        <w:rPr>
          <w:rFonts w:ascii="Arial" w:cs="Arial" w:eastAsia="Arial" w:hAnsi="Arial"/>
          <w:sz w:val="16"/>
          <w:szCs w:val="16"/>
          <w:color w:val="auto"/>
        </w:rPr>
        <w:t>. Moreover, our genome editing approach may cause unintended changes to the DNA such as a non-target site gene editing, a large deletion or a DNA translocation, any of which could lead to oncogenesis or other adverse effects. As with any new biologic or product developed using novel technologies, our product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4" w:name="page45"/>
    <w:bookmarkEnd w:id="44"/>
    <w:p>
      <w:pPr>
        <w:ind w:right="380"/>
        <w:spacing w:after="0" w:line="246" w:lineRule="auto"/>
        <w:rPr>
          <w:sz w:val="20"/>
          <w:szCs w:val="20"/>
          <w:color w:val="auto"/>
        </w:rPr>
      </w:pPr>
      <w:r>
        <w:rPr>
          <w:rFonts w:ascii="Arial" w:cs="Arial" w:eastAsia="Arial" w:hAnsi="Arial"/>
          <w:sz w:val="18"/>
          <w:szCs w:val="18"/>
          <w:color w:val="auto"/>
        </w:rPr>
        <w:t>candidates have an unknown immunogenicity profile. As a result, our cellular immunotherapy product candidates may trigger immune responses that inhibit their therapeutic effects or cause adverse side effects. In addition, one or more of our product candidates may:</w:t>
      </w:r>
    </w:p>
    <w:p>
      <w:pPr>
        <w:spacing w:after="0" w:line="170"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found ineffective or cause harmful side effects during preclinical studies or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 to receive necessary regulatory approvals on a timely basis or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precluded from commercialization by proprietary rights of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difficult to manufacture on a large scale;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uneconomical to commercialize or fail to achieve market acceptance.</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3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7"/>
          <w:szCs w:val="17"/>
          <w:color w:val="auto"/>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 potential patients who might be eligible for enrollment in one of our clinical trials may instead choose to enroll in a trial being conducted by one of our competitors.</w:t>
      </w:r>
    </w:p>
    <w:p>
      <w:pPr>
        <w:spacing w:after="0" w:line="66"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Our ability, and the ability of investigators, to enroll patients in our ongoing and planned clinical trials of our product candidates is affected by factors including:</w:t>
      </w:r>
    </w:p>
    <w:p>
      <w:pPr>
        <w:spacing w:after="0" w:line="63"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identify, solicit and recruit a sufficient number of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relatively small size and nature of the patient populations for certain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eligibility criteria for the trials in question;</w:t>
      </w:r>
    </w:p>
    <w:p>
      <w:pPr>
        <w:spacing w:after="0" w:line="103"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perceived risks and benefits of the product candidate under study, including any perceived risks associated with iPSC-derived product candidates, which we believe are the first ever iPSC-derived cell therapies cleared by the FDA for clinical investigation in the United States;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competing therapies and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03" w:lineRule="exact"/>
        <w:rPr>
          <w:rFonts w:ascii="Arial" w:cs="Arial" w:eastAsia="Arial" w:hAnsi="Arial"/>
          <w:sz w:val="18"/>
          <w:szCs w:val="18"/>
          <w:color w:val="auto"/>
        </w:rPr>
      </w:pPr>
    </w:p>
    <w:p>
      <w:pPr>
        <w:jc w:val="both"/>
        <w:ind w:left="1020" w:right="40" w:hanging="503"/>
        <w:spacing w:after="0" w:line="32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availability of time and resources at the limited number of institutions at which our clinical trials are or will be conducted, including any constraints on resources, or policies and procedures implemented, at hospitals and clinical trial sites as a result of the COVID-19 pandemic;</w:t>
      </w:r>
    </w:p>
    <w:p>
      <w:pPr>
        <w:spacing w:after="0" w:line="16" w:lineRule="exact"/>
        <w:rPr>
          <w:rFonts w:ascii="Arial" w:cs="Arial" w:eastAsia="Arial" w:hAnsi="Arial"/>
          <w:sz w:val="16"/>
          <w:szCs w:val="16"/>
          <w:color w:val="auto"/>
        </w:rPr>
      </w:pPr>
    </w:p>
    <w:p>
      <w:pPr>
        <w:ind w:left="1020" w:right="18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cells suitable for the manufacture of our clinical product candidates from eligible and qualified donors for certain of our product candidates;</w:t>
      </w:r>
    </w:p>
    <w:p>
      <w:pPr>
        <w:spacing w:after="0" w:line="62"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components and agents necessary to enroll and treat prospective patients in our clinical trials, including agents such as cyclophosphamide and fludarabine which are required to condition patients, or monoclonal antibodies which are intended for administration to patients in combination with our product candidates, in certain of our clinical trials;</w:t>
      </w:r>
    </w:p>
    <w:p>
      <w:pPr>
        <w:spacing w:after="0" w:line="73" w:lineRule="exact"/>
        <w:rPr>
          <w:rFonts w:ascii="Arial" w:cs="Arial" w:eastAsia="Arial" w:hAnsi="Arial"/>
          <w:sz w:val="18"/>
          <w:szCs w:val="18"/>
          <w:color w:val="auto"/>
        </w:rPr>
      </w:pPr>
    </w:p>
    <w:p>
      <w:pPr>
        <w:ind w:left="1020" w:right="720" w:hanging="503"/>
        <w:spacing w:after="0" w:line="29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including through remote monitoring if required as a result of precautionary changes implemented at certain clinical trial sites as a result of the COVID-19 pandemic;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 addition, certain of our clinical trial sites at times have delayed or paused patient enrollment in clinical trials as a result of the COVID-19 pandemic, and quarantines or other travel limitations relating to the COVID-19 pandemic may impede patient movement and affect access to study sites, which may further impact patient enrollment in our clinical trials. The extent and duration of such</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22" w:right="439" w:bottom="1440" w:gutter="0" w:footer="0" w:header="0"/>
        </w:sectPr>
      </w:pPr>
    </w:p>
    <w:bookmarkStart w:id="45" w:name="page46"/>
    <w:bookmarkEnd w:id="45"/>
    <w:p>
      <w:pPr>
        <w:jc w:val="both"/>
        <w:ind w:right="340"/>
        <w:spacing w:after="0" w:line="294" w:lineRule="auto"/>
        <w:rPr>
          <w:sz w:val="20"/>
          <w:szCs w:val="20"/>
          <w:color w:val="auto"/>
        </w:rPr>
      </w:pPr>
      <w:r>
        <w:rPr>
          <w:rFonts w:ascii="Arial" w:cs="Arial" w:eastAsia="Arial" w:hAnsi="Arial"/>
          <w:sz w:val="16"/>
          <w:szCs w:val="16"/>
          <w:color w:val="auto"/>
        </w:rPr>
        <w:t>delays and disruptions, and the overall impact on the timing and conduct of our clinical trials, are uncertain.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spacing w:after="0" w:line="255" w:lineRule="exact"/>
        <w:rPr>
          <w:sz w:val="20"/>
          <w:szCs w:val="20"/>
          <w:color w:val="auto"/>
        </w:rPr>
      </w:pPr>
    </w:p>
    <w:p>
      <w:pPr>
        <w:ind w:right="80"/>
        <w:spacing w:after="0" w:line="356" w:lineRule="auto"/>
        <w:rPr>
          <w:sz w:val="20"/>
          <w:szCs w:val="20"/>
          <w:color w:val="auto"/>
        </w:rPr>
      </w:pPr>
      <w:r>
        <w:rPr>
          <w:rFonts w:ascii="Arial" w:cs="Arial" w:eastAsia="Arial" w:hAnsi="Arial"/>
          <w:sz w:val="15"/>
          <w:szCs w:val="15"/>
          <w:b w:val="1"/>
          <w:bCs w:val="1"/>
          <w:i w:val="1"/>
          <w:iCs w:val="1"/>
          <w:color w:val="auto"/>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spacing w:after="0" w:line="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The FDA may require us to generate additional preclinical, product, manufacturing, or clinical data as a condition to continuing our current clinical trials, or initiating and conducting any future clinical trials of our current product candidates or other cell product candidates that we may identify. Additionally, the FDA may in the future have comments, or impose requirements, on the conduct of our clinical trials or the initiation of clinical trials or any of our other iPSC-derived cell product candidates, including the protocols, 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may cause delays in the initiation or conduct of the current or future clinical trials for our product candidates and subsequent development activities for our product candidates,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w:t>
      </w:r>
    </w:p>
    <w:p>
      <w:pPr>
        <w:spacing w:after="0" w:line="72"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Further, if the results of our clinical trials are inconclusive, or if there are safety concerns or adverse events associated with our existing product candidates or any other product candidates we may identify, we may:</w:t>
      </w:r>
    </w:p>
    <w:p>
      <w:pPr>
        <w:spacing w:after="0" w:line="63"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delayed in obtaining, or unable to obtain, regulatory approval for such product candidates;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required to amend the protocols for our clinical trials, perform additional nonclinical studies or clinical trials to support approval or be subject to additional post-marketing testing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or contraindications; or</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a product candidate is approved, have regulatory authorities withdraw their approval of the product or impose restrictions on its use.</w:t>
      </w:r>
    </w:p>
    <w:p>
      <w:pPr>
        <w:spacing w:after="0" w:line="63"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3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focus on the development of programmed cellular immunotherapies for patients with cancer,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right="940"/>
        <w:spacing w:after="0" w:line="291" w:lineRule="auto"/>
        <w:rPr>
          <w:sz w:val="20"/>
          <w:szCs w:val="20"/>
          <w:color w:val="auto"/>
        </w:rPr>
      </w:pPr>
      <w:r>
        <w:rPr>
          <w:rFonts w:ascii="Arial" w:cs="Arial" w:eastAsia="Arial" w:hAnsi="Arial"/>
          <w:sz w:val="17"/>
          <w:szCs w:val="17"/>
          <w:b w:val="1"/>
          <w:bCs w:val="1"/>
          <w:i w:val="1"/>
          <w:iCs w:val="1"/>
          <w:color w:val="auto"/>
        </w:rPr>
        <w:t>We study our product candidates in patient populations with significant comorbidities that may result in deaths or serious adverse events or unacceptable side effects and require us to abandon or limit our clinical development activities.</w:t>
      </w:r>
    </w:p>
    <w:p>
      <w:pPr>
        <w:spacing w:after="0" w:line="39"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Patients treated with our current product candidates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spacing w:after="0" w:line="28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w:t>
      </w:r>
    </w:p>
    <w:p>
      <w:pPr>
        <w:spacing w:after="0" w:line="7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preclinical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early clinical or preclinical stage, we are currently assessing safety in humans and have not yet been able to assess the long-term effects of treatment. Animal models and assays may not accurately predict the safety and efficacy of our product candidates in our target patient populations, and appropriate models and assays may not exist for demonstrating the safety and purity of our product candidates, as required by the FDA and other regulatory authorities for ongoing clinical development and regulatory approval.</w:t>
      </w:r>
    </w:p>
    <w:p>
      <w:pPr>
        <w:spacing w:after="0" w:line="76" w:lineRule="exact"/>
        <w:rPr>
          <w:sz w:val="20"/>
          <w:szCs w:val="20"/>
          <w:color w:val="auto"/>
        </w:rPr>
      </w:pPr>
    </w:p>
    <w:p>
      <w:pPr>
        <w:ind w:right="220" w:firstLine="509"/>
        <w:spacing w:after="0" w:line="274" w:lineRule="auto"/>
        <w:rPr>
          <w:sz w:val="20"/>
          <w:szCs w:val="20"/>
          <w:color w:val="auto"/>
        </w:rPr>
      </w:pPr>
      <w:r>
        <w:rPr>
          <w:rFonts w:ascii="Arial" w:cs="Arial" w:eastAsia="Arial" w:hAnsi="Arial"/>
          <w:sz w:val="16"/>
          <w:szCs w:val="16"/>
          <w:color w:val="auto"/>
        </w:rPr>
        <w:t>The preclinical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Additionally, due to the uncertainties associated with the preclinical and clinical development, manufacture, and regulatory requirements for approval of our product candidates, we may be required to modify or change our preclinical and clinical development plans or our manufacturing activities and plans, or be required to meet stricter regulatory requirements for approval. Any such modifications or changes could delay or prevent our ability to develop, manufacture, obtain regulatory approval or commercialize our product candidates, which would adversely affect our business, financial condition and results of operations.</w:t>
      </w:r>
    </w:p>
    <w:p>
      <w:pPr>
        <w:spacing w:after="0" w:line="55"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Cellular immunotherapies, and iPSC-derived cell therapies in particular, represent relatively new therapeutic areas, and the FDA has cautioned consumers about potential safety risks associated with cell therapies. To date, there are relatively few approved cell therapies, and the development of any cell therapy may be placed on hold by the FDA upon the detection of any unexpected safety event to evaluate the potential relevance of such novel technology to the occurrence of such safety event, highlighting the technical and regulatory risk of working with new technology. As a result, the regulatory approval process for product candidates such as ours is uncertain and may be more expensive and take longer than the approval process for cell therapy product candidates based on other, better known or more extensively studied technologies and therapeutic approaches.</w:t>
      </w:r>
    </w:p>
    <w:p>
      <w:pPr>
        <w:spacing w:after="0" w:line="53"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Regulatory requirements in the United States and in other countries governing cell therapy products have changed frequently and the FDA or other regulatory bodies may change the requirements, or identify different regulatory pathways, for approval for any of our product candidates. For example, within the FDA, the Center for Biologics Evaluation and Research, or CBER, restructured and created a new Office of Tissues and Advanced Therapies to better align its oversight activities with FDA Centers for Drugs and Medical Devices. It is possible that over time new or different divisions may be established or be granted the responsibility for regulating cell and/or gene therapy products, including iPSC-derived cell products, such as ours. As a result, we may be required to change our regulatory strategy or to modify our applications for regulatory approval, which could delay and impair our ability to complete the preclinical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We also must comply with applicable requirements, and if we fail to do so, we may be required to delay or discontinue development of our product candidates. Delays or unexpected costs in obtaining, or the failure to obtain, the regulatory approval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necessary to bring a potential product to market could impair our ability to generate sufficient product revenues to maintain our business.</w:t>
      </w:r>
    </w:p>
    <w:p>
      <w:pPr>
        <w:spacing w:after="0" w:line="320"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spacing w:after="0" w:line="7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may from time to time disclose results from preclinical testing or preliminary data or interim results from clinical studies of our product candidates. Such results from preclinical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w:t>
      </w:r>
    </w:p>
    <w:p>
      <w:pPr>
        <w:spacing w:after="0" w:line="80"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results of our current and future clinical trials may differ from results achieved in earlier preclinical and clinical studies for a variety of reasons, including:</w:t>
      </w:r>
    </w:p>
    <w:p>
      <w:pPr>
        <w:spacing w:after="0" w:line="63"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demonstrate the potency and efficacy benefits observed in previous studies;</w:t>
      </w:r>
    </w:p>
    <w:p>
      <w:pPr>
        <w:spacing w:after="0" w:line="103" w:lineRule="exact"/>
        <w:rPr>
          <w:rFonts w:ascii="Arial" w:cs="Arial" w:eastAsia="Arial" w:hAnsi="Arial"/>
          <w:sz w:val="18"/>
          <w:szCs w:val="18"/>
          <w:color w:val="auto"/>
        </w:rPr>
      </w:pPr>
    </w:p>
    <w:p>
      <w:pPr>
        <w:ind w:left="1020" w:right="260" w:hanging="503"/>
        <w:spacing w:after="0" w:line="32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differences in study design, including differences in conditioning regimens, eligibility criteria, and patient populations;</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advancements in the standard of care may affect our ability to demonstrate efficacy or achieve study endpoints in our current or future clinical trials;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issues or adverse events in patients who enroll in our current or future clinical trials.</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Additionally, some clinical trials of our product candidates performed to date were generated from open-label studies and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treatment regimen patients have received and may interpret the information of the treated group more favorably given this knowledge. Accordingly, the preliminary data from our Phase 1 clinical trials of certain of our product candidates may not be predictive of future clinical trial results for these or other product candidates when studied in a controlled environment or larger patient populations.</w:t>
      </w:r>
    </w:p>
    <w:p>
      <w:pPr>
        <w:spacing w:after="0" w:line="6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reported positive interim clinical data from our FT516 and FT596 programs for patients with relapsed / refractory B-cell lymphoma,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spacing w:after="0" w:line="28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Results of clinical testing of any of our existing or future product candidates may fail to show the necessary safety and efficacy required for regulatory approval.</w:t>
      </w:r>
    </w:p>
    <w:p>
      <w:pPr>
        <w:spacing w:after="0" w:line="6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may fail to show the desired safety and efficacy in later stages of clinical development despite having successfully advanced through initial clinical trials.</w:t>
      </w:r>
    </w:p>
    <w:p>
      <w:pPr>
        <w:spacing w:after="0" w:line="12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81"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104"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current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spacing w:after="0" w:line="275"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b w:val="1"/>
          <w:bCs w:val="1"/>
          <w:i w:val="1"/>
          <w:iCs w:val="1"/>
          <w:color w:val="auto"/>
        </w:rPr>
        <w:t>We have received regenerative medicine advanced therapy, or RMAT, designation for the treatment of relapsed/refractory diffuse large B-cell lymphoma, and we may in the future seek RMAT designation for some of our other product candidates, but such designation may not actually lead to a faster development or regulatory review or approval process and we may be unable to obtain or maintain the benefits associated with such designation.</w:t>
      </w:r>
    </w:p>
    <w:p>
      <w:pPr>
        <w:spacing w:after="0" w:line="21"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have received regenerative medicine advanced therapy, or RMAT, designation from the FDA for FT516 for the treatment of relapsed/refractory diffuse large B-cell lymphoma. A product candidate is eligible for RMAT designation if: (1) it is a cell therapy, therapeutic tissue engineering product, human cell or tissue product, or a combination product using any such therapies or products;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A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qualifies for RMAT designation, the FDA may later decide that the product candidate no longer meet the conditions for qualification.</w:t>
      </w:r>
    </w:p>
    <w:p>
      <w:pPr>
        <w:spacing w:after="0" w:line="277"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b w:val="1"/>
          <w:bCs w:val="1"/>
          <w:i w:val="1"/>
          <w:iCs w:val="1"/>
          <w:color w:val="auto"/>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spacing w:after="0" w:line="74" w:lineRule="exact"/>
        <w:rPr>
          <w:sz w:val="20"/>
          <w:szCs w:val="20"/>
          <w:color w:val="auto"/>
        </w:rPr>
      </w:pPr>
    </w:p>
    <w:p>
      <w:pPr>
        <w:ind w:right="760" w:firstLine="509"/>
        <w:spacing w:after="0" w:line="291" w:lineRule="auto"/>
        <w:rPr>
          <w:sz w:val="20"/>
          <w:szCs w:val="20"/>
          <w:color w:val="auto"/>
        </w:rPr>
      </w:pPr>
      <w:r>
        <w:rPr>
          <w:rFonts w:ascii="Arial" w:cs="Arial" w:eastAsia="Arial" w:hAnsi="Arial"/>
          <w:sz w:val="17"/>
          <w:szCs w:val="17"/>
          <w:color w:val="auto"/>
        </w:rPr>
        <w:t>We may rely on orphan drug exclusivity for product candidates that we may develop. Orphan drug status confers seven years of marketing exclusivity in the United States under the Federal Food, Drug, and Cosmetic Act, and up to ten years of marketing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 we will not be able to rely on these designations to exclude other companies from manufacturing or selling biological products using the same principal molecular structural features for the same indication beyond these timeframes. Furthermore, any marketing exclusivity in Europe can be reduced from ten years to six years if the initial designation criteria have significantly changed since the market authorization of the orphan product.</w:t>
      </w:r>
    </w:p>
    <w:p>
      <w:pPr>
        <w:spacing w:after="0" w:line="81"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For any product candidate for which we may be granted orphan drug designation in a particular indication,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Even if we are the first to obtain marketing authorization for an orphan drug indication in the United States, there are circumstances under which a competing product may be approved for the same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289"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b w:val="1"/>
          <w:bCs w:val="1"/>
          <w:i w:val="1"/>
          <w:iCs w:val="1"/>
          <w:color w:val="auto"/>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spacing w:after="0" w:line="56"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6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8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individual imprisonment.</w:t>
      </w:r>
    </w:p>
    <w:p>
      <w:pPr>
        <w:spacing w:after="0" w:line="80"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auto"/>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spacing w:after="0" w:line="16" w:lineRule="exact"/>
        <w:rPr>
          <w:sz w:val="20"/>
          <w:szCs w:val="20"/>
          <w:color w:val="auto"/>
        </w:rPr>
      </w:pPr>
    </w:p>
    <w:p>
      <w:pPr>
        <w:ind w:right="400" w:firstLine="509"/>
        <w:spacing w:after="0" w:line="324" w:lineRule="auto"/>
        <w:rPr>
          <w:sz w:val="20"/>
          <w:szCs w:val="20"/>
          <w:color w:val="auto"/>
        </w:rPr>
      </w:pPr>
      <w:r>
        <w:rPr>
          <w:rFonts w:ascii="Arial" w:cs="Arial" w:eastAsia="Arial" w:hAnsi="Arial"/>
          <w:sz w:val="16"/>
          <w:szCs w:val="16"/>
          <w:color w:val="auto"/>
        </w:rPr>
        <w:t>We currently rely, and expect to continue to rely, on third parties to manufacture our product candidates, or certain components required for the manufacture of our product candidates, for use in conducting clinical trials and for commercial sale upon approval of any of our product candidates.</w:t>
      </w:r>
    </w:p>
    <w:p>
      <w:pPr>
        <w:spacing w:after="0" w:line="16"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 manufacturers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produced by different manufacturers, which could require the conduct of additional clinical trials.</w:t>
      </w:r>
    </w:p>
    <w:p>
      <w:pPr>
        <w:spacing w:after="0" w:line="72"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spacing w:after="0" w:line="2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We depend on strategic partnerships and collaboration arrangements, such as our collaboration arrangements with Janssen and Ono, for the development and commercialization of certain of our product candidates in certain indications or geographic territories, and if these arrangements are unsuccessful, this could result in delays and other obstacles in the development, manufacture or commercialization of any of our product candidates and materially harm our results of operations.</w:t>
      </w:r>
    </w:p>
    <w:p>
      <w:pPr>
        <w:spacing w:after="0" w:line="80" w:lineRule="exact"/>
        <w:rPr>
          <w:sz w:val="20"/>
          <w:szCs w:val="20"/>
          <w:color w:val="auto"/>
        </w:rPr>
      </w:pPr>
    </w:p>
    <w:p>
      <w:pPr>
        <w:ind w:right="480" w:firstLine="509"/>
        <w:spacing w:after="0" w:line="241" w:lineRule="auto"/>
        <w:rPr>
          <w:sz w:val="20"/>
          <w:szCs w:val="20"/>
          <w:color w:val="auto"/>
        </w:rPr>
      </w:pPr>
      <w:r>
        <w:rPr>
          <w:rFonts w:ascii="Arial" w:cs="Arial" w:eastAsia="Arial" w:hAnsi="Arial"/>
          <w:sz w:val="18"/>
          <w:szCs w:val="18"/>
          <w:color w:val="auto"/>
        </w:rPr>
        <w:t>Our strategy for fully developing and commercializing our product candidates is dependent upon maintaining our current arrangements and establishing new arrangements with research collaborators, corporate collaborators and other third parties. We currently have corporate collaboration agreements with Janssen and Ono. These corporate collaboration agreements provide for, among other things, research funding and significant future payments should certain development, regulatory and commercial milestones be achieved. Under these arrangements, our corporate collaborators are typically responsible for:</w:t>
      </w:r>
    </w:p>
    <w:p>
      <w:pPr>
        <w:spacing w:after="0" w:line="81"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electing to advance product candidates through preclinical and into clinical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conducting clinical development and obtaining required regulatory approvals for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commercializing any resulting products.</w:t>
      </w:r>
    </w:p>
    <w:p>
      <w:pPr>
        <w:spacing w:after="0" w:line="104"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As a result, we may not be able to conduct these corporate collaborations in the manner or on the time schedule we currently contemplate, which may negatively impact our business operations.</w:t>
      </w:r>
    </w:p>
    <w:p>
      <w:pPr>
        <w:spacing w:after="0" w:line="63"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This lack of control over the research funding for, and the development and commercialization of, certain of our product candidates could cause delays or other difficulties in the development and commercialization of any of our product candidates, which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51" w:name="page52"/>
    <w:bookmarkEnd w:id="51"/>
    <w:p>
      <w:pPr>
        <w:ind w:right="80"/>
        <w:spacing w:after="0" w:line="243" w:lineRule="auto"/>
        <w:rPr>
          <w:sz w:val="20"/>
          <w:szCs w:val="20"/>
          <w:color w:val="auto"/>
        </w:rPr>
      </w:pPr>
      <w:r>
        <w:rPr>
          <w:rFonts w:ascii="Arial" w:cs="Arial" w:eastAsia="Arial" w:hAnsi="Arial"/>
          <w:sz w:val="18"/>
          <w:szCs w:val="18"/>
          <w:color w:val="auto"/>
        </w:rPr>
        <w:t>may prevent completion of research and development activities and intended regulatory filings in a timely fashion, if at all. Because we expect to continue to rely on our current corporate collaborators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spacing w:after="0" w:line="80" w:lineRule="exact"/>
        <w:rPr>
          <w:sz w:val="20"/>
          <w:szCs w:val="20"/>
          <w:color w:val="auto"/>
        </w:rPr>
      </w:pPr>
    </w:p>
    <w:p>
      <w:pPr>
        <w:ind w:left="1020" w:right="6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shifts its priorities and resources away from our collaborations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ceases development in therapeutic areas which are the subject of our collaboration;</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fails to select a product candidate for advancement into preclinical development, clinical development, or subsequent clinical development into a marketed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the success criteria for a particular product candidate, thereby delaying or ceasing development of such product candidate;</w:t>
      </w:r>
    </w:p>
    <w:p>
      <w:pPr>
        <w:spacing w:after="0" w:line="115"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develops a product candidate that competes, either directly or indirectly, with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obtain the requisite regulatory approval of a product candidate;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successfully commercialize a product candidate;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encounters regulatory, resource or quality issues and be unable to meet demand requirements;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exercises its rights under the agreement to terminate the collaboration, or otherwise withdraws support for, or otherwise impairs development under the collaboration;</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disagrees on the research, development or commercialization of a product candidate resulting in a delay in milestones, royalty payments or termination of such product candidate;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uses our proprietary information or intellectual property in such a way as to jeopardize our rights in such property.</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the termination of the Janssen Agreement or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297"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conduct of our clinical trials and the manufacture of our product candidates and do not have supply arrangements for certain of these components.</w:t>
      </w:r>
    </w:p>
    <w:p>
      <w:pPr>
        <w:spacing w:after="0" w:line="6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w:t>
      </w:r>
    </w:p>
    <w:p>
      <w:pPr>
        <w:spacing w:after="0" w:line="7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addition, the clinical development of our product candidates depends on the availability of certain materials and agents used in our clinical trials. For example, certain of our clinical trial protocols require the use of cyclophosphamide and fludarabine, agents which are routinely used in oncology studies, and which we use in our clinical trial protocols to condition patients for treatment with our product candidates. Further, we intend to develop certain of our product candidates as a combination therapy with other cancer therapies, such as monoclonal antibodies, requiring availability and use of these monoclonal antibodies in certain of our clinical trial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right="20"/>
        <w:spacing w:after="0" w:line="270" w:lineRule="auto"/>
        <w:rPr>
          <w:sz w:val="20"/>
          <w:szCs w:val="20"/>
          <w:color w:val="auto"/>
        </w:rPr>
      </w:pPr>
      <w:r>
        <w:rPr>
          <w:rFonts w:ascii="Arial" w:cs="Arial" w:eastAsia="Arial" w:hAnsi="Arial"/>
          <w:sz w:val="17"/>
          <w:szCs w:val="17"/>
          <w:color w:val="auto"/>
        </w:rPr>
        <w:t>protocols. Recently, the FDA reported a shortage of fludarabine. Any failure or delays by us or by our clinical sites to obtain sufficient quantities of fludarabine, monoclonal antibodies required under our protocols, or other components and agents necessary for the conduct of our clinical trials, may delay our ability to enroll and treat patients in, or complete, our current or future clinical trials of our product candidates on time, if at all.</w:t>
      </w:r>
    </w:p>
    <w:p>
      <w:pPr>
        <w:spacing w:after="0" w:line="5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As a result of the ongoing COVID-19 pandemic,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the COVID-19 pandemic, the ongoing conflict in Ukraine, regulatory actions or requirements affecting the supplier, adverse financial or other strategic developments experienced by a supplier, labor disputes or shortages, unexpected demands, or quality issues, could adversely affect our ability to manufacture our product candidates and our ability to conduct clinical trials, which could significantly harm our business.</w:t>
      </w:r>
    </w:p>
    <w:p>
      <w:pPr>
        <w:spacing w:after="0" w:line="5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297" w:lineRule="exact"/>
        <w:rPr>
          <w:sz w:val="20"/>
          <w:szCs w:val="20"/>
          <w:color w:val="auto"/>
        </w:rPr>
      </w:pPr>
    </w:p>
    <w:p>
      <w:pPr>
        <w:jc w:val="both"/>
        <w:ind w:right="340"/>
        <w:spacing w:after="0" w:line="294" w:lineRule="auto"/>
        <w:rPr>
          <w:sz w:val="20"/>
          <w:szCs w:val="20"/>
          <w:color w:val="auto"/>
        </w:rPr>
      </w:pPr>
      <w:r>
        <w:rPr>
          <w:rFonts w:ascii="Arial" w:cs="Arial" w:eastAsia="Arial" w:hAnsi="Arial"/>
          <w:sz w:val="16"/>
          <w:szCs w:val="16"/>
          <w:b w:val="1"/>
          <w:bCs w:val="1"/>
          <w:i w:val="1"/>
          <w:iCs w:val="1"/>
          <w:color w:val="auto"/>
        </w:rPr>
        <w:t>We currently rely on third parties to conduct certain research and development activities and clinical trials of our product candidates. If these third parties do not successfully carry out their contractual duties or meet expected deadlines, we may not be able to timely develop, manufacture, obtain regulatory approval for or commercialize our product candidates and our business could be substantially harmed.</w:t>
      </w:r>
    </w:p>
    <w:p>
      <w:pPr>
        <w:spacing w:after="0" w:line="3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We rely upon third parties, including medical institutions, clinical investigators, and CROs for the conduct of certain research and preclinical development activities, process development and manufacturing activities, and for the 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spacing w:after="0" w:line="6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spacing w:after="0" w:line="8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If these third parties and CROs do not successfully carry out their contractual duties or obligations, meet expected deadlines or successfully complete activities as planned, or if the quality or accuracy of the research, preclinical development, process development, manufacturing, or clinical data they obtain is compromised due to the failure to adhere to applicable regulatory and manufacturing requirements or for other reasons, our research, preclinical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spacing w:after="0" w:line="2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3"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3" w:name="page54"/>
    <w:bookmarkEnd w:id="53"/>
    <w:p>
      <w:pPr>
        <w:ind w:firstLine="509"/>
        <w:spacing w:after="0" w:line="243" w:lineRule="auto"/>
        <w:rPr>
          <w:sz w:val="20"/>
          <w:szCs w:val="20"/>
          <w:color w:val="auto"/>
        </w:rPr>
      </w:pPr>
      <w:r>
        <w:rPr>
          <w:rFonts w:ascii="Arial" w:cs="Arial" w:eastAsia="Arial" w:hAnsi="Arial"/>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660"/>
        <w:spacing w:after="0" w:line="324" w:lineRule="auto"/>
        <w:rPr>
          <w:sz w:val="20"/>
          <w:szCs w:val="20"/>
          <w:color w:val="auto"/>
        </w:rPr>
      </w:pPr>
      <w:r>
        <w:rPr>
          <w:rFonts w:ascii="Arial" w:cs="Arial" w:eastAsia="Arial" w:hAnsi="Arial"/>
          <w:sz w:val="16"/>
          <w:szCs w:val="16"/>
          <w:b w:val="1"/>
          <w:bCs w:val="1"/>
          <w:i w:val="1"/>
          <w:iCs w:val="1"/>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16"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spacing w:after="0" w:line="71"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w:t>
      </w:r>
    </w:p>
    <w:p>
      <w:pPr>
        <w:spacing w:after="0" w:line="27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Certain rights to our key technologies and product candidates, including intellectual property relating to our iPSC technology, are licensed from third parties. As a licensee of third-party intellectual property, we rely on our licensors to file and prosecute patent 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 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115"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and Restated Exclusive License Agreement dated May 15, 2018 (the Amended MSK License) with Memorial Sloan Kettering Cancer Center (MSK), in the event a licensed product achieves a specified clinical milestone, MSK is eligible to receive from us certain milestone payments totaling up to $75.0 million based on the price of our common stock, where the amount of such payments owed to MSK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27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be involved in litigation or other proceedings from time to time relating to the enforcement or defense of patent and other intellectual property rights, which could cause us to divert our resources and could put our intellectual property at risk.</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To prevent infringement or unauthorized use of our intellectual property, we have in the past, and may in the future, need to file infringement claims. For example, we recently filed a patent infringement lawsuit in the Southern District of California against Shoreline Biosciences, Inc. and Dr. Dan Kaufman. Refer to Item 1. Legal Proceedings for a more detailed description of this matter. When we pursue litigation to stop another party from using the inventions 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reexaminations, post-grant review,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 Patent and Trademark Office (the USPTO) and corresponding foreign patent offices. Litigation and other 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8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There also is a risk that a court or patent office in such proceeding will decide that our patents or the patents of our licensors are not valid or are not enforceable,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are not successful in enforcing or defending our intellectual property, our competitors could develop and market products based on our discoveries, which may reduce demand for our products.</w:t>
      </w:r>
    </w:p>
    <w:p>
      <w:pPr>
        <w:spacing w:after="0" w:line="2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or our strategic partners may infringe the intellectual property rights of others, which may prevent or delay our product development efforts and stop us from commercializing, or increase the costs of commercializing, our product candidates.</w:t>
      </w:r>
    </w:p>
    <w:p>
      <w:pPr>
        <w:spacing w:after="0" w:line="6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Our success will depend, in part, on our ability to operate without infringing the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Arial" w:cs="Arial" w:eastAsia="Arial" w:hAnsi="Arial"/>
          <w:sz w:val="18"/>
          <w:szCs w:val="18"/>
          <w:i w:val="1"/>
          <w:iCs w:val="1"/>
          <w:color w:val="auto"/>
        </w:rPr>
        <w:t>ex part</w:t>
      </w:r>
      <w:r>
        <w:rPr>
          <w:rFonts w:ascii="Arial" w:cs="Arial" w:eastAsia="Arial" w:hAnsi="Arial"/>
          <w:sz w:val="18"/>
          <w:szCs w:val="18"/>
          <w:color w:val="auto"/>
        </w:rPr>
        <w:t xml:space="preserve">e reexaminations, post-grant review,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or misappropriation of other intellectual property rights of third parties.</w:t>
      </w:r>
    </w:p>
    <w:p>
      <w:pPr>
        <w:spacing w:after="0" w:line="83"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5" w:name="page56"/>
    <w:bookmarkEnd w:id="55"/>
    <w:p>
      <w:pPr>
        <w:ind w:right="240"/>
        <w:spacing w:after="0" w:line="270" w:lineRule="auto"/>
        <w:rPr>
          <w:sz w:val="20"/>
          <w:szCs w:val="20"/>
          <w:color w:val="auto"/>
        </w:rPr>
      </w:pPr>
      <w:r>
        <w:rPr>
          <w:rFonts w:ascii="Arial" w:cs="Arial" w:eastAsia="Arial" w:hAnsi="Arial"/>
          <w:sz w:val="17"/>
          <w:szCs w:val="17"/>
          <w:color w:val="auto"/>
        </w:rPr>
        <w:t>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5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53"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299"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6"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or biotechnology companies and academic institutions may also have filed or are planning to file patent applications 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6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53" w:lineRule="exact"/>
        <w:rPr>
          <w:sz w:val="20"/>
          <w:szCs w:val="20"/>
          <w:color w:val="auto"/>
        </w:rPr>
      </w:pPr>
    </w:p>
    <w:p>
      <w:pPr>
        <w:ind w:right="200" w:firstLine="509"/>
        <w:spacing w:after="0" w:line="276"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ind w:right="940"/>
        <w:spacing w:after="0" w:line="261" w:lineRule="auto"/>
        <w:rPr>
          <w:sz w:val="20"/>
          <w:szCs w:val="20"/>
          <w:color w:val="auto"/>
        </w:rPr>
      </w:pPr>
      <w:r>
        <w:rPr>
          <w:rFonts w:ascii="Arial" w:cs="Arial" w:eastAsia="Arial" w:hAnsi="Arial"/>
          <w:sz w:val="18"/>
          <w:szCs w:val="18"/>
          <w:color w:val="auto"/>
        </w:rPr>
        <w:t>negotiations and ultimately acquire or maintain, on commercially viable terms, the rights to the intellectual property required for the successful development and commercialization of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020" w:right="30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115"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03"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62" w:lineRule="exact"/>
        <w:rPr>
          <w:rFonts w:ascii="Arial" w:cs="Arial" w:eastAsia="Arial" w:hAnsi="Arial"/>
          <w:sz w:val="18"/>
          <w:szCs w:val="18"/>
          <w:color w:val="auto"/>
        </w:rPr>
      </w:pPr>
    </w:p>
    <w:p>
      <w:pPr>
        <w:ind w:left="1020" w:right="720" w:hanging="503"/>
        <w:spacing w:after="0" w:line="291"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73"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claims of any patent issuing based on our patent applications may not provide protection against competitors or any competitive advantages, or may be challenged by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enforced, a court may not hold that our patents are valid, enforceable and infringed;</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from time to time initiate litigation or administrative proceedings to enforce and/or defend our patent rights which will be costly whether we win or lose;</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0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alleged trade secrets.</w:t>
      </w:r>
    </w:p>
    <w:p>
      <w:pPr>
        <w:spacing w:after="0" w:line="127"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jc w:val="both"/>
        <w:ind w:right="100" w:firstLine="509"/>
        <w:spacing w:after="0" w:line="243"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spacing w:after="0" w:line="29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Proprietary information and invention assignment agreements with our employees and third parties may not prevent unauthorized disclosure of our trade secrets and other proprietary information.</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81"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any products that we may develop and commercialize, and our patents or other intellectual property rights may not be effective or sufficient to prevent them from competing.</w:t>
      </w:r>
    </w:p>
    <w:p>
      <w:pPr>
        <w:spacing w:after="0" w:line="6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8" w:name="page59"/>
    <w:bookmarkEnd w:id="58"/>
    <w:p>
      <w:pPr>
        <w:ind w:right="460"/>
        <w:spacing w:after="0" w:line="261" w:lineRule="auto"/>
        <w:rPr>
          <w:sz w:val="20"/>
          <w:szCs w:val="20"/>
          <w:color w:val="auto"/>
        </w:rPr>
      </w:pPr>
      <w:r>
        <w:rPr>
          <w:rFonts w:ascii="Arial" w:cs="Arial" w:eastAsia="Arial" w:hAnsi="Arial"/>
          <w:sz w:val="18"/>
          <w:szCs w:val="18"/>
          <w:b w:val="1"/>
          <w:bCs w:val="1"/>
          <w:i w:val="1"/>
          <w:iCs w:val="1"/>
          <w:color w:val="auto"/>
        </w:rPr>
        <w:t>Changes in the patent law in the United States could diminish the value of patents in general, thereby impairing our ability to protect our product candidates and technology.</w:t>
      </w:r>
    </w:p>
    <w:p>
      <w:pPr>
        <w:spacing w:after="0" w:line="63"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rights, particularly patents. Obtaining and enforcing patents in the biotechnology industry involve both technological and legal complexity, and is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 of our patents may not be sufficient to effectively protect our market position and products.</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0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We do not have experience marketing any product candidates and do not have a sales force or distribution capabilities, and if our products are approved we may be unable to commercialize them successfully.</w:t>
      </w:r>
    </w:p>
    <w:p>
      <w:pPr>
        <w:spacing w:after="0" w:line="63"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distribution capabilities. If we are unable to develop adequate marketing and sales capabilities on our own or effectively partner with third parties, our ability to generate product revenues will suffer.</w:t>
      </w:r>
    </w:p>
    <w:p>
      <w:pPr>
        <w:spacing w:after="0" w:line="26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payers and others in the medical community.</w:t>
      </w:r>
    </w:p>
    <w:p>
      <w:pPr>
        <w:spacing w:after="0" w:line="6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payers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80"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safety and efficacy of the products, and advantages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marketing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and maintaining adequate pricing and reimbursement; and</w:t>
      </w:r>
    </w:p>
    <w:p>
      <w:pPr>
        <w:spacing w:after="0" w:line="103" w:lineRule="exact"/>
        <w:rPr>
          <w:rFonts w:ascii="Arial" w:cs="Arial" w:eastAsia="Arial" w:hAnsi="Arial"/>
          <w:sz w:val="18"/>
          <w:szCs w:val="18"/>
          <w:color w:val="auto"/>
        </w:rPr>
      </w:pPr>
    </w:p>
    <w:p>
      <w:pPr>
        <w:ind w:left="1020" w:right="140" w:hanging="503"/>
        <w:spacing w:after="0" w:line="29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sufficient third-party insurance coverage or governmental reimbursement, which may depend on our ability to provide compelling evidence that a product meaningfully improves health outcomes to support such insurance coverage or reimbursement.</w:t>
      </w:r>
    </w:p>
    <w:p>
      <w:pPr>
        <w:spacing w:after="0" w:line="39"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known until after it is launched. Any failure to achieve market acceptance for our product candidates will harm our business, results and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9" w:name="page60"/>
    <w:bookmarkEnd w:id="59"/>
    <w:p>
      <w:pPr>
        <w:spacing w:after="0" w:line="261"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 If pricing policies for our product candidates are unfavorable, our commercial success will be impaired.</w:t>
      </w:r>
    </w:p>
    <w:p>
      <w:pPr>
        <w:spacing w:after="0" w:line="6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Due to the novel nature of our cellular immunotherapy product candidates, we face significant uncertainty as to the pricing of any such products for which we may receive marketing approval. While we anticipate that pricing for any cellular immunotherapy 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29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our product candidates could limit our product revenues.</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cancer, there is significant uncertainty as to the insurance coverage and reimbursement status of any product candidates for which we may receive regulatory approval.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7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72"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Additionally,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55"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0" w:name="page61"/>
    <w:bookmarkEnd w:id="60"/>
    <w:p>
      <w:pPr>
        <w:jc w:val="both"/>
        <w:ind w:right="160"/>
        <w:spacing w:after="0" w:line="248"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revenues may be adversely affected and our business may suffer. Because the target patient populations of our product candidates are small, we must be able to successfully identify patients and capture a significant market share to achieve and maintain profitability.</w:t>
      </w:r>
    </w:p>
    <w:p>
      <w:pPr>
        <w:spacing w:after="0" w:line="7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focus our research and development on product candidates for rare diseases, including cancer. Our projections of both the number of people who have these diseases, as well as the subset of people with these diseases who have the potential to benefit from treatment with our product candidates, are based on estimates. These estimates may prove to be incorrect, and new studies may change the estimated incidence or prevalence of these diseases. The number of patients in the United States, Europe and elsewhere may turn out to be lower than expected or may not be otherwise amenable to treatment with our products, or new patients may become increasingly difficult to identify or gain access to, all of which would adversely affect our results of operations and our business. Additionally, because our target patient populations are small, we will be required to capture a significant market share to achieve and maintain profitability.</w:t>
      </w:r>
    </w:p>
    <w:p>
      <w:pPr>
        <w:spacing w:after="0" w:line="29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may be subject to healthcare laws and regulations, which could expose us to criminal sanctions, civil penalties, contractual damages, reputational harm, and diminished profits and future earnings.</w:t>
      </w:r>
    </w:p>
    <w:p>
      <w:pPr>
        <w:spacing w:after="0" w:line="6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Although we do not currently have any products on the market, if we obtain FDA approval for any of our product candidates and begins commercializing our products, we may be subject to additional healthcare statutory and regulatory requirements and enforcement by the federal government and the states and foreign governments in which we conduct our business. Healthcare providers, physicians, third-party payors, and others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83" w:lineRule="exact"/>
        <w:rPr>
          <w:sz w:val="20"/>
          <w:szCs w:val="20"/>
          <w:color w:val="auto"/>
        </w:rPr>
      </w:pPr>
    </w:p>
    <w:p>
      <w:pPr>
        <w:ind w:left="1020" w:hanging="503"/>
        <w:spacing w:after="0" w:line="253"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Anti-Kickback Statute (“AKS”)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AKS or specific intent to violate it to have committed a violation. The AKS has been interpreted to apply to arrangements between biopharmaceutical manufacturers on the one hand and prescribers, purchasers, and formulary managers, among others, on the other;</w:t>
      </w:r>
    </w:p>
    <w:p>
      <w:pPr>
        <w:spacing w:after="0" w:line="72" w:lineRule="exact"/>
        <w:rPr>
          <w:rFonts w:ascii="Arial" w:cs="Arial" w:eastAsia="Arial" w:hAnsi="Arial"/>
          <w:sz w:val="17"/>
          <w:szCs w:val="17"/>
          <w:color w:val="auto"/>
        </w:rPr>
      </w:pPr>
    </w:p>
    <w:p>
      <w:pPr>
        <w:ind w:left="1020" w:right="220" w:hanging="503"/>
        <w:spacing w:after="0" w:line="23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When an entity is determined to have violated the False Claims Act, the government may impose civil fines and penalties for each false claim, plus treble damages, and exclude the entity from participation in Medicare, Medicaid and other federal healthcare programs;</w:t>
      </w:r>
    </w:p>
    <w:p>
      <w:pPr>
        <w:spacing w:after="0" w:line="82" w:lineRule="exact"/>
        <w:rPr>
          <w:rFonts w:ascii="Arial" w:cs="Arial" w:eastAsia="Arial" w:hAnsi="Arial"/>
          <w:sz w:val="18"/>
          <w:szCs w:val="18"/>
          <w:color w:val="auto"/>
        </w:rPr>
      </w:pPr>
    </w:p>
    <w:p>
      <w:pPr>
        <w:ind w:left="1020" w:right="180" w:hanging="503"/>
        <w:spacing w:after="0" w:line="262"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64" w:lineRule="exact"/>
        <w:rPr>
          <w:rFonts w:ascii="Arial" w:cs="Arial" w:eastAsia="Arial" w:hAnsi="Arial"/>
          <w:sz w:val="17"/>
          <w:szCs w:val="17"/>
          <w:color w:val="auto"/>
        </w:rPr>
      </w:pPr>
    </w:p>
    <w:p>
      <w:pPr>
        <w:ind w:left="1020" w:right="40" w:hanging="503"/>
        <w:spacing w:after="0" w:line="254"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which also impose obligations, including mandatory contractual terms, with respect to safeguarding the privacy, security, and transmission of individually identifiable health information on health plans, healthcare clearing houses, and certain healthcare providers and their business associates, defined as independent contractors or agents of covered entities that create, receive or obtain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1" w:name="page62"/>
    <w:bookmarkEnd w:id="61"/>
    <w:p>
      <w:pPr>
        <w:ind w:left="1020" w:right="340"/>
        <w:spacing w:after="0" w:line="324" w:lineRule="auto"/>
        <w:rPr>
          <w:sz w:val="20"/>
          <w:szCs w:val="20"/>
          <w:color w:val="auto"/>
        </w:rPr>
      </w:pPr>
      <w:r>
        <w:rPr>
          <w:rFonts w:ascii="Arial" w:cs="Arial" w:eastAsia="Arial" w:hAnsi="Arial"/>
          <w:sz w:val="16"/>
          <w:szCs w:val="16"/>
          <w:color w:val="auto"/>
        </w:rPr>
        <w:t>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6" w:lineRule="exact"/>
        <w:rPr>
          <w:sz w:val="20"/>
          <w:szCs w:val="20"/>
          <w:color w:val="auto"/>
        </w:rPr>
      </w:pPr>
    </w:p>
    <w:p>
      <w:pPr>
        <w:ind w:left="1020" w:right="380" w:hanging="503"/>
        <w:spacing w:after="0" w:line="29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20" w:right="16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1020" w:right="20" w:hanging="503"/>
        <w:spacing w:after="0" w:line="25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(the “ACA”) require manufacturers of drugs, devices, biologics, and medical supplies that are reimbursable under Medicare, Medicaid, or the Children’s Health Insurance Program to report annually to CMS information related to payments and other transfers of value to physicians ( as defined by the law), physician assistants, nurse practitioners, clinical nurse specialists, certified registered nurse anesthetists and teaching hospitals, as well as physician ownership and investment interests, and requires applicable manufacturers and group purchasing organizations to report annually the ownership and investment interests held by such physicians and their immediate family members and payments or other “transfers of value” to such physician owners; Such information is subsequently made publicly available in a searchable format on a CMS website, effective January 1, 2022, these reporting obligations extend to include transfers of value made to certain non-physician assistants and nurse practitioners; and</w:t>
      </w:r>
    </w:p>
    <w:p>
      <w:pPr>
        <w:spacing w:after="0" w:line="75" w:lineRule="exact"/>
        <w:rPr>
          <w:rFonts w:ascii="Arial" w:cs="Arial" w:eastAsia="Arial" w:hAnsi="Arial"/>
          <w:sz w:val="17"/>
          <w:szCs w:val="17"/>
          <w:color w:val="auto"/>
        </w:rPr>
      </w:pPr>
    </w:p>
    <w:p>
      <w:pPr>
        <w:ind w:left="1020" w:hanging="503"/>
        <w:spacing w:after="0" w:line="239"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Several states also impose other marketing restrictions or require pharmaceutical companies to make marketing or price disclosures to the state and require the registration of pharmaceutical sales.</w:t>
      </w:r>
    </w:p>
    <w:p>
      <w:pPr>
        <w:spacing w:after="0" w:line="83"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and the curtailment or restructuring of our operations,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100"/>
        <w:spacing w:after="0"/>
        <w:rPr>
          <w:sz w:val="20"/>
          <w:szCs w:val="20"/>
          <w:color w:val="auto"/>
        </w:rPr>
      </w:pPr>
      <w:r>
        <w:rPr>
          <w:rFonts w:ascii="Arial" w:cs="Arial" w:eastAsia="Arial" w:hAnsi="Arial"/>
          <w:sz w:val="18"/>
          <w:szCs w:val="18"/>
          <w:color w:val="auto"/>
        </w:rPr>
        <w:t>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other legislative and regulatory changes have been proposed and adopted in the United States since the ACA was enacted:</w:t>
      </w:r>
    </w:p>
    <w:p>
      <w:pPr>
        <w:spacing w:after="0" w:line="115" w:lineRule="exact"/>
        <w:rPr>
          <w:sz w:val="20"/>
          <w:szCs w:val="20"/>
          <w:color w:val="auto"/>
        </w:rPr>
      </w:pPr>
    </w:p>
    <w:p>
      <w:pPr>
        <w:ind w:left="1020" w:right="40" w:hanging="503"/>
        <w:spacing w:after="0" w:line="24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suspension, a 1% payment reduction will occur beginning April 1, 2022 through June 30, 2022, and the 2% payment reduction will resume on July 1, 2022.</w:t>
      </w:r>
    </w:p>
    <w:p>
      <w:pPr>
        <w:spacing w:after="0" w:line="81"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w:t>
      </w:r>
    </w:p>
    <w:p>
      <w:pPr>
        <w:spacing w:after="0" w:line="62"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73" w:lineRule="exact"/>
        <w:rPr>
          <w:rFonts w:ascii="Arial" w:cs="Arial" w:eastAsia="Arial" w:hAnsi="Arial"/>
          <w:sz w:val="18"/>
          <w:szCs w:val="18"/>
          <w:color w:val="auto"/>
        </w:rPr>
      </w:pPr>
    </w:p>
    <w:p>
      <w:pPr>
        <w:ind w:left="1020" w:hanging="503"/>
        <w:spacing w:after="0" w:line="24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1"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62"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7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Additionally, there has been heightened governmental scrutiny in the United States of pharmaceutical and biologics pricing practices in light of the rising cost of prescription drugs and biologics. Such scrutiny has resulted in various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8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w:t>
      </w:r>
    </w:p>
    <w:p>
      <w:pPr>
        <w:spacing w:after="0" w:line="80"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ACA and the passage of additional laws and regulations may result in the expansion of</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3" w:name="page64"/>
    <w:bookmarkEnd w:id="63"/>
    <w:p>
      <w:pPr>
        <w:ind w:right="80"/>
        <w:spacing w:after="0" w:line="261" w:lineRule="auto"/>
        <w:rPr>
          <w:sz w:val="20"/>
          <w:szCs w:val="20"/>
          <w:color w:val="auto"/>
        </w:rPr>
      </w:pPr>
      <w:r>
        <w:rPr>
          <w:rFonts w:ascii="Arial" w:cs="Arial" w:eastAsia="Arial" w:hAnsi="Arial"/>
          <w:sz w:val="18"/>
          <w:szCs w:val="18"/>
          <w:color w:val="auto"/>
        </w:rPr>
        <w:t>new programs such as Medicare payment for performance initiatives, and may impact existing government healthcare programs, such as by improving the physician quality reporting system and feedback program.</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For each state that does not choose to expand its Medicaid program, there likely will be fewer insured patients overall, which could impact the sales, business and financial condition of manufacturers of branded prescription drugs. Where patients receive insurance coverage under any of the new options made available through the ACA, the possibility exists that manufacturers may be required to pay Medicaid rebates on that resulting drug utilization, a decision that could impact manufacturer revenues. The U.S. federal government also has announced delays in the implementation of key provisions of the ACA. The implications of these delays for our and our partners’ business and financial condition, if any, are not yet clear.</w:t>
      </w:r>
    </w:p>
    <w:p>
      <w:pPr>
        <w:spacing w:after="0" w:line="66"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The success of our existing product candidates is substantially dependent on developments within the field of cellular immunotherapy, and specifically developments relating to the use of pluripotent or genome edited cells for the manufacture of cellular therapeutics, some of which are beyond our control.</w:t>
      </w:r>
    </w:p>
    <w:p>
      <w:pPr>
        <w:spacing w:after="0" w:line="7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Our product candidates are designed and are being developed as therapeutic entities for use as cellular immunotherapies, and all of our current product candidates are based on our novel iPSC platform. Additionally, some of our product candidates utilize novel genome editing technologies. To date, there is limited clinical trial experience testing iPSC-derived therapeutic product candidates and genome edited therapeutics.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There can be no assurance that any product candidates developed from or related to our iPSC platform or any of our research programs will not cause severe or undesirable side effects or result in significant delays or unanticipated costs, or that such development problems can be solved. Any adverse developments in the fields of cellular immunotherapy or genome edited therapy will negatively affect our ability to develop and commercialize our product candidates.</w:t>
      </w:r>
    </w:p>
    <w:p>
      <w:pPr>
        <w:spacing w:after="0" w:line="27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b w:val="1"/>
          <w:bCs w:val="1"/>
          <w:i w:val="1"/>
          <w:iCs w:val="1"/>
          <w:color w:val="auto"/>
        </w:rPr>
        <w:t>We face intense competition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or have fewer side effects, or if they compete in various other aspects of our business, our ability to develop and successfully commercialize product candidates and to execute on our business plans will be adversely affected.</w:t>
      </w:r>
    </w:p>
    <w:p>
      <w:pPr>
        <w:spacing w:after="0" w:line="51"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preclinical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Should one or more of these competing product candidates receive regulatory approval or otherwise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4" w:name="page65"/>
    <w:bookmarkEnd w:id="64"/>
    <w:p>
      <w:pPr>
        <w:ind w:right="140"/>
        <w:spacing w:after="0" w:line="261" w:lineRule="auto"/>
        <w:rPr>
          <w:sz w:val="20"/>
          <w:szCs w:val="20"/>
          <w:color w:val="auto"/>
        </w:rPr>
      </w:pPr>
      <w:r>
        <w:rPr>
          <w:rFonts w:ascii="Arial" w:cs="Arial" w:eastAsia="Arial" w:hAnsi="Arial"/>
          <w:sz w:val="18"/>
          <w:szCs w:val="18"/>
          <w:color w:val="auto"/>
        </w:rPr>
        <w:t>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Even if we successfully obtain approval for any product candidate, we will face competition based on many different factors, including the relative safety and efficacy of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 the expense of developing and commercializing such product. We could also face competition from other companies for collaboration partners, employees, advisors and service providers, which could negatively impact our ability to execute our business plans.</w:t>
      </w:r>
    </w:p>
    <w:p>
      <w:pPr>
        <w:spacing w:after="0" w:line="30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loss of any member of our senior management team or our inability to attract and retain key personnel and consultants could adversely affect our business.</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may not be able to retain or attract qualified management, finance, scientific and clinical personnel and consultants due to the intense competition for a limited number of qualified personnel and consultants among biotechnology, pharmaceutical and other businesses. The loss of any members of our senior management team could adversely impact our operations if we experience difficulties in recruiting and hiring qualified successors. We may also experience difficulties in attracting or retaining personnel with sufficient experience and skills in the complex and emerging field of cellular therapeutic development and manufacture to support our ongoing and planned clinical development activities. 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spacing w:after="0" w:line="28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expect to continue to expand our development and manufacturing operations, and as a result, we may encounter difficulties in managing our growth, which could disrupt our operations.</w:t>
      </w:r>
    </w:p>
    <w:p>
      <w:pPr>
        <w:spacing w:after="0" w:line="63"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We are experiencing rapid growth and as of June 30, 2022, we had 542 employees. We expect continued growth in the number of our employees and the scope of our operations, particularly to continue our clinical and research operations, and to expand our regulatory, quality, and manufacturing operations. This expected growth may place a strain on our administrative and operational infrastructure, and managing this growth may impose significant added responsibilities on members of management and divert a substantial amount of attention from day-to-day activities.</w:t>
      </w:r>
    </w:p>
    <w:p>
      <w:pPr>
        <w:spacing w:after="0" w:line="6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To manage our anticipated future growth, we will continue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Any inability to manage our expected growth and the expansion of our operations may result in loss of business opportunities, loss of employees and reduced productivity among remaining employees, weaknesses in our infrastructure, and operational mistakes, including in the operation and qualification of our GMP manufacturing operations and facility, and could delay the execution of our business plans or disrupt our operations. The expansion of our operations may lead to significant costs and may divert our management and business development resources. Any inability to manage growth could delay the execution of our business plans or disrupt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COVID-19 pandemic could adversely impact various aspects of our business, results of operations and financial condition.</w:t>
      </w:r>
    </w:p>
    <w:p>
      <w:pPr>
        <w:spacing w:after="0" w:line="11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COVID-19 pandemic has dramatically impacted the global health and economic environment, resulting in millions of confirmed cases and deaths, business slowdowns or shutdowns, labor shortages, supply chain challenges, changes in government requirements, regulatory challenges, inflationary pressures and market volatility. Although we have, to date, managed to continue most of our operations, we cannot predict the future course of events nor can we assure that this global pandemic, including its economic impact, will not have a material adverse impact on our business, results of operations and financial condition.</w:t>
      </w:r>
    </w:p>
    <w:p>
      <w:pPr>
        <w:spacing w:after="0" w:line="8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As a result of the ongoing COVID-19 pandemic, various aspects of our business operations have been, and could continue to be, disrupted. The pandemic likely will continue to impact our workforce, including impacts on staffing levels (as a result of illnesses, quarantine, isolation and absenteeism), adjusted work locations and schedules and access to our facilities. The pandemic may require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5" w:name="page66"/>
    <w:bookmarkEnd w:id="65"/>
    <w:p>
      <w:pPr>
        <w:ind w:right="160"/>
        <w:spacing w:after="0" w:line="294" w:lineRule="auto"/>
        <w:rPr>
          <w:sz w:val="20"/>
          <w:szCs w:val="20"/>
          <w:color w:val="auto"/>
        </w:rPr>
      </w:pPr>
      <w:r>
        <w:rPr>
          <w:rFonts w:ascii="Arial" w:cs="Arial" w:eastAsia="Arial" w:hAnsi="Arial"/>
          <w:sz w:val="16"/>
          <w:szCs w:val="16"/>
          <w:color w:val="auto"/>
        </w:rPr>
        <w:t>us to continue to take extraordinary measures to protect the health and well-being of our employees. For example, since the start of the pandemic we have implemented a range of health and safety measures, which have included, at various times, imposing onsite occupancy limits, restricting on-site staff to only those required to execute certain laboratory, manufacturing and related support activities, and requiring self-health testing prior to coming onsite.</w:t>
      </w:r>
    </w:p>
    <w:p>
      <w:pPr>
        <w:spacing w:after="0" w:line="39"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The increase in working remotely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and clinical trial sites. If our on-site staff conducting research and development, preclinical studies, and manufacturing activities are not able to access our laboratories or manufacturing space, whether due to quarantine/isolation orders, travel restrictions or other government restrictions, these core activities may be significantly limited or curtailed, possibly for an extended period of time, which could impair our ability to complete IND-enabling studies or select future development candidates. Our business operations may be further disrupted if our manufacturing facility becomes subject to a viral contamination requiring a suspension of manufacturing activities, or if any of our employees, officers or directors, or their respective personal or business contacts, contract an illness related to COVID-19, including new variants of the virus, that renders them unable to perform their duties as a result.</w:t>
      </w:r>
    </w:p>
    <w:p>
      <w:pPr>
        <w:spacing w:after="0" w:line="7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macroeconomic impacts of the pandemic, including a tightened labor market and evolving government requirements, including those related to vaccinations, will also likely continue to affect our company. They may further affect our ability to hire, develop and retain our talented and diverse workforce, to maintain performance levels, and to maintain our corporate culture. We expect to continue to incur additional costs as a result of the COVID-19 pandemic, including to protect the health and well-being of our employees and to respond to government requirements, which costs we may not be fully able to recover.</w:t>
      </w:r>
    </w:p>
    <w:p>
      <w:pPr>
        <w:spacing w:after="0" w:line="8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pandemic has impacted and may continue to impact our supply chains. If our suppliers have increased challenges with their workforce (including as a result of illness, absenteeism, reactions to health and safety or government requirements), facility closures, timely access to necessary components, materials and other supplies at reasonable prices, access to capital, and access to fundamental support services (such as shipping and transportation), they may be unable to provide the agreed-upon goods and services in a timely, compliant and cost-effective manner. We have incurred and may in the future incur additional costs and delays in our business, including as a result of higher prices, schedule delays or the need to identify and develop alternative suppliers.</w:t>
      </w:r>
    </w:p>
    <w:p>
      <w:pPr>
        <w:spacing w:after="0" w:line="8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 addition, the trading prices for our common stock and other biopharmaceutical companies have been highly volatile as a result of the COVID-19 pandemic. As a result, we may face difficulties raising capital through equity or debt financings, or such financing transactions may be on unfavorable terms. While the potential economic impact brought by and the duration of the pandemic may be difficult to assess or predict, it has already caused, and is likely to result in further, significant disruptions and uncertainties in global financial markets, which may reduce our ability to access capital either at all or on favorable terms. In addition, a recession, depression or other sustained adverse market event resulting from the spread of COVID-19, including new variants of the virus or spikes or surges in infection and hospitalization rates, could materially and adversely affect our business and the value of our common stock.</w:t>
      </w:r>
    </w:p>
    <w:p>
      <w:pPr>
        <w:spacing w:after="0" w:line="8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ultimate impact of the current pandemic, or any other health epidemic, is highly uncertain and subject to change. For example, the emergence of the Delta and Omicron variants in 2021, and the emergence of the BA.2 subvariant in 2022, significantly impacted rates of infection and prompted public health officials to reconsider certain health and safety measures that had been adopted to date, including vaccination requirements, guidance around quarantine and isolation periods, and mask wearing. We do not yet know the full extent of potential delays or impacts on our business, our clinical and preclinical programs, our research, manufacturing, and regulatory activities, healthcare systems or the global economy as a whole. However, these effects could have a material adverse impact on our operations, and we will continue to monitor the situation closely.</w:t>
      </w: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global economic conditions created by the conflict between Russia and Ukraine could adversely affect our business, financial condition, stock price and results of operations.</w:t>
      </w:r>
    </w:p>
    <w:p>
      <w:pPr>
        <w:spacing w:after="0" w:line="63"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In February 2022, Russia commenced a military invasion of Ukraine, and sustained conflict and disruption in the region is likely. Although the conflict has had little direct impact on our business to date, the uncertainty and ripple effects created by this conflict may have unknown indirect impacts. As a result of the invasion, the U.S. and certain other countries have imposed sanctions on Russia and could impose further sanctions that could damage or disrupt international commerce and the global economy. It is not possible to predict the broader or longer-term consequences of this conflict, or the sanctions imposed to date, which could include further sanctions, embargoes, regional instability, retaliatory cyber-attacks, geopolitical shifts and adverse effects on macroeconomic conditions, security conditions, currency exchange rates and financial markets. The potential effects of the conflict include but are not limited to changes in laws and regulations affecting our business, fluctuations in foreign currency markets, potential supply chain disruptions, and increased market volatility and uncertainty that could have an adverse impact on macroeconomic factors that affect our business and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ind w:right="660"/>
        <w:spacing w:after="0" w:line="261" w:lineRule="auto"/>
        <w:rPr>
          <w:sz w:val="20"/>
          <w:szCs w:val="20"/>
          <w:color w:val="auto"/>
        </w:rPr>
      </w:pPr>
      <w:r>
        <w:rPr>
          <w:rFonts w:ascii="Arial" w:cs="Arial" w:eastAsia="Arial" w:hAnsi="Arial"/>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63"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spacing w:after="0" w:line="7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equity securities that would dilute our current stockholders’ percentage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substantial debt that may place strains on our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to integrate new businesses, technologies and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 substantial actual or contingent liabilities;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reprioritize our development programs and even cease development and commercialization of our product candidates; or</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merge with, or otherwise enter into a business combination with, another company in which our stockholders would receive cash or shares of the other company on terms that certain of our stockholders may not deem desirable.</w:t>
      </w:r>
    </w:p>
    <w:p>
      <w:pPr>
        <w:spacing w:after="0" w:line="63"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Although we intend to evaluate and consider acquisitions, reorganizations and business combinations in the future, we have no agreements or understandings with respect to any acquisition, reorganization or business combination at this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far in excess of our limited insurance coverage.</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spacing w:after="0" w:line="83" w:lineRule="exact"/>
        <w:rPr>
          <w:sz w:val="20"/>
          <w:szCs w:val="20"/>
          <w:color w:val="auto"/>
        </w:rPr>
      </w:pPr>
    </w:p>
    <w:p>
      <w:pPr>
        <w:ind w:right="420" w:firstLine="509"/>
        <w:spacing w:after="0" w:line="241" w:lineRule="auto"/>
        <w:rPr>
          <w:sz w:val="20"/>
          <w:szCs w:val="20"/>
          <w:color w:val="auto"/>
        </w:rPr>
      </w:pPr>
      <w:r>
        <w:rPr>
          <w:rFonts w:ascii="Arial" w:cs="Arial" w:eastAsia="Arial" w:hAnsi="Arial"/>
          <w:sz w:val="18"/>
          <w:szCs w:val="18"/>
          <w:color w:val="auto"/>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spacing w:after="0" w:line="81"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 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policies are expensive and protect us from only some risks, which leaves us exposed to significant uninsured liabilities.</w:t>
      </w:r>
    </w:p>
    <w:p>
      <w:pPr>
        <w:spacing w:after="0" w:line="11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do not carry insurance for all categories of risk to which our business is or may be exposed. Some of the policies we maintain include general liability, product liability, property, employee benefits liability, employment practices, workers’ compensation, cyber,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Further, insurance coverage may not be available or successfully secured for loss profits or business interruption relating to the COVID-19 pandemic and its impacts. Any significant uninsured liability may require us to pay substantial amounts, which would adversely affect our cash position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7" w:name="page68"/>
    <w:bookmarkEnd w:id="67"/>
    <w:p>
      <w:pPr>
        <w:ind w:right="420"/>
        <w:spacing w:after="0" w:line="261"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3"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and independent contractor misconduct could also involve the improper use of information obtained in the course of clinical trials, which could result in regulatory sanctions and cause serious harm to our reputation. If any actions alleging such conduct are instituted against us, and we are not successful in defending ourselves or asserting our rights, those actions could have a significant effect on our business, including the imposition of significant fines or other sanctions.</w:t>
      </w:r>
    </w:p>
    <w:p>
      <w:pPr>
        <w:spacing w:after="0" w:line="289"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b w:val="1"/>
          <w:bCs w:val="1"/>
          <w:i w:val="1"/>
          <w:iCs w:val="1"/>
          <w:color w:val="auto"/>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spacing w:after="0" w:line="16"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We and our partners and vendors may be subject to various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including the federal Health Insurance Portability and Accountability Act of 1996 (HIPAA) and privacy and security requirements under HIPAA, as amended by Health Information Technology for Economic and Clinical Health Act of 2009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 currently and/or of patients in the future) may subject us to state data privacy laws governing the processing of personal information and requiring notification of affected individuals and state regulators in the event of a breach of such personal information. These state laws include the California Consumer Privacy Act (CCPA) and its related regulations, and (once effective) the California Privacy Rights Act (CPRA) amending the CCPA, which establish additional data privacy rights for residents of the State of California, with corresponding obligations on businesses related to transparency, deletion rights, and opt-out of the selling of personal information, and grants a private right of action for individuals in the event of certain security breaches. Similar laws relating to data privacy and security have been proposed in other states and at the federal level, and if passed, such laws may have potentially conflicting requirements that would make compliance challenging, require us to expend significant resources to come into compliance, and restrict our ability to process certain personal information.</w:t>
      </w:r>
    </w:p>
    <w:p>
      <w:pPr>
        <w:spacing w:after="0" w:line="27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Certain state laws may be more stringent or broader in scope than the CPRA, or offer greater individual rights, with respect to confidential, sensitive and personal information than federal, international or other state laws, and such laws may differ from each other, which may complicate compliance efforts.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where private rights of action are available could also generate adverse publicity, damage our reputation, result in liabilities, fines and loss of business, and require that we devote substantial resources that could otherwise be used in other aspects of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8" w:name="page69"/>
    <w:bookmarkEnd w:id="68"/>
    <w:p>
      <w:pPr>
        <w:ind w:right="20" w:firstLine="509"/>
        <w:spacing w:after="0" w:line="269" w:lineRule="auto"/>
        <w:rPr>
          <w:sz w:val="20"/>
          <w:szCs w:val="20"/>
          <w:color w:val="auto"/>
        </w:rPr>
      </w:pPr>
      <w:r>
        <w:rPr>
          <w:rFonts w:ascii="Arial" w:cs="Arial" w:eastAsia="Arial" w:hAnsi="Arial"/>
          <w:sz w:val="16"/>
          <w:szCs w:val="16"/>
          <w:color w:val="auto"/>
        </w:rPr>
        <w:t>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 and documentation.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customers to reduce their use of our products and services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services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sensitive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7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spacing w:after="0" w:line="2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3"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Despite the implementation of security measures, our internal computer systems and those of our future CROs and other contractors, vendors, and consultants may be vulnerable to damage from cyber risks, including attempts to gain unauthorized access to and to harm sensitive information and networks, insider threats, and ransomware. These vulnerabilities may be heightened as a result of remote work policies implemented by us and our third-party contractors in response to the COVID-19 pandemic.</w:t>
      </w:r>
    </w:p>
    <w:p>
      <w:pPr>
        <w:spacing w:after="0" w:line="80"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have from time to time experienced, and may continue to experience in the future, cyber-attacks on our information technology systems despite our best efforts to prevent them. Although such breaches have been immaterial to our business to date, investigations into and remedial efforts in connection with any breaches, even those with immaterial impact, can be costly and time-consuming, and any future breaches could be material, or cause significant disruption, to our business. For example, the loss of clinical trial data from 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 incidents. If they fail to do so, we may suffer financial and other harm, including to our information, operations, performance, and reputation. To the extent that any disruption or security breach were to result in a loss of, or damage to, our data or systems, or inappropriate disclosure of confidential or proprietary information, we could incur liability and the further development and commercialization of our product candidates could be delayed.</w:t>
      </w:r>
    </w:p>
    <w:p>
      <w:pPr>
        <w:spacing w:after="0" w:line="72"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Cyber threats, both on premises and in the cloud, are evolving and include, but are not limited to: malicious software, destructive malware, ransomware, attempts to gain unauthorized access to systems or data, disruption to operations, critical systems or denial of service attacks; unauthorized release of confidential, personal or otherwise protected information; corruption of data,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spacing w:after="0" w:line="259" w:lineRule="auto"/>
        <w:rPr>
          <w:sz w:val="20"/>
          <w:szCs w:val="20"/>
          <w:color w:val="auto"/>
        </w:rPr>
      </w:pPr>
      <w:r>
        <w:rPr>
          <w:rFonts w:ascii="Arial" w:cs="Arial" w:eastAsia="Arial" w:hAnsi="Arial"/>
          <w:sz w:val="17"/>
          <w:szCs w:val="17"/>
          <w:color w:val="auto"/>
        </w:rPr>
        <w:t>networks or systems; harm to individuals; and loss of assets. In addition, we could be impacted by cyber threats or other disruptions or vulnerabilities found in products or services we use that are provided to us by third-parties.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66" w:lineRule="exact"/>
        <w:rPr>
          <w:sz w:val="20"/>
          <w:szCs w:val="20"/>
          <w:color w:val="auto"/>
        </w:rPr>
      </w:pPr>
    </w:p>
    <w:p>
      <w:pPr>
        <w:jc w:val="both"/>
        <w:ind w:right="320" w:firstLine="509"/>
        <w:spacing w:after="0" w:line="248" w:lineRule="auto"/>
        <w:rPr>
          <w:sz w:val="20"/>
          <w:szCs w:val="20"/>
          <w:color w:val="auto"/>
        </w:rPr>
      </w:pPr>
      <w:r>
        <w:rPr>
          <w:rFonts w:ascii="Arial" w:cs="Arial" w:eastAsia="Arial" w:hAnsi="Arial"/>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7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insurance policies may not be adequate to compensate us for the potential losses arising from breaches, failures or disruptions of our infrastructure, catastrophic events and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80"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Furthermore, the loss of clinical trial data from completed or future clinical trials could result in delays in our regulatory approval efforts and significantly increase our costs to recover or reproduce the data.</w:t>
      </w:r>
    </w:p>
    <w:p>
      <w:pPr>
        <w:spacing w:after="0" w:line="279"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7" w:lineRule="exact"/>
        <w:rPr>
          <w:sz w:val="20"/>
          <w:szCs w:val="20"/>
          <w:color w:val="auto"/>
        </w:rPr>
      </w:pPr>
    </w:p>
    <w:p>
      <w:pPr>
        <w:ind w:right="20" w:firstLine="300"/>
        <w:spacing w:after="0" w:line="257"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the Ownership of Our Common Stock</w:t>
      </w:r>
    </w:p>
    <w:p>
      <w:pPr>
        <w:spacing w:after="0" w:line="108"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Our ongoing and planned operations, including the development of our product candidates, will require substantial additional funding, without which we will be unable to complete preclinical or clinical development of, or obtain regulatory approval for, our product candidates.</w:t>
      </w:r>
    </w:p>
    <w:p>
      <w:pPr>
        <w:spacing w:after="0" w:line="1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are currently advancing multiple product candidates through clinical development, and conducting preclinical research and development activities in our other programs. Drug development is expensive, and we expect our research and development expenses to increase substantially in connection with our ongoing activities, particularly as we advance our current product candidates in clinical trials and seek to initiate clinical development for additional product candidates.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ind w:firstLine="509"/>
        <w:spacing w:after="0" w:line="253" w:lineRule="auto"/>
        <w:rPr>
          <w:sz w:val="20"/>
          <w:szCs w:val="20"/>
          <w:color w:val="auto"/>
        </w:rPr>
      </w:pPr>
      <w:r>
        <w:rPr>
          <w:rFonts w:ascii="Arial" w:cs="Arial" w:eastAsia="Arial" w:hAnsi="Arial"/>
          <w:sz w:val="17"/>
          <w:szCs w:val="17"/>
          <w:color w:val="auto"/>
        </w:rPr>
        <w:t>As of June 30, 2022, our cash and cash equivalents and investments were $580.8 million. We intend to use our cash and cash equivalents and investments primarily to fund the advancement and clinical development of our current product candidates and our ongoing preclinical,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In any event, we will require additional capital to obtain regulatory approval for, and to commercialize our existing product candidates and any other product candidates we may identify and develop. Even if we believe we have sufficient funds for our current or future operating plans, we may seek additional capital if market conditions are favorable or if we have specific strategic considerations. Our future capital requirements will depend on many factors, including, but not limited to:</w:t>
      </w:r>
    </w:p>
    <w:p>
      <w:pPr>
        <w:spacing w:after="0" w:line="76" w:lineRule="exact"/>
        <w:rPr>
          <w:sz w:val="20"/>
          <w:szCs w:val="20"/>
          <w:color w:val="auto"/>
        </w:rPr>
      </w:pPr>
    </w:p>
    <w:p>
      <w:pPr>
        <w:ind w:left="1020" w:right="48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progress, results, size, timing and costs of our ongoing and planned clinical trials, and any additional clinical trials we may initiate, conduct or support for our product candidates;</w:t>
      </w:r>
    </w:p>
    <w:p>
      <w:pPr>
        <w:spacing w:after="0" w:line="62" w:lineRule="exact"/>
        <w:rPr>
          <w:rFonts w:ascii="Arial" w:cs="Arial" w:eastAsia="Arial" w:hAnsi="Arial"/>
          <w:sz w:val="18"/>
          <w:szCs w:val="18"/>
          <w:color w:val="auto"/>
        </w:rPr>
      </w:pPr>
    </w:p>
    <w:p>
      <w:pPr>
        <w:ind w:left="1020" w:right="22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progress, results, size, timing and costs of our preclinical, process development and manufacturing studies, and activities necessary to initiate and conduct clinical trials for our product candidates and to establish and maintain manufacturing capabilities necessary to support such trials;</w:t>
      </w:r>
    </w:p>
    <w:p>
      <w:pPr>
        <w:spacing w:after="0" w:line="73" w:lineRule="exact"/>
        <w:rPr>
          <w:rFonts w:ascii="Arial" w:cs="Arial" w:eastAsia="Arial" w:hAnsi="Arial"/>
          <w:sz w:val="18"/>
          <w:szCs w:val="18"/>
          <w:color w:val="auto"/>
        </w:rPr>
      </w:pPr>
    </w:p>
    <w:p>
      <w:pPr>
        <w:ind w:left="1020" w:hanging="503"/>
        <w:spacing w:after="0" w:line="270"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continued progress in our research and development programs, including preclinical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spacing w:after="0" w:line="55" w:lineRule="exact"/>
        <w:rPr>
          <w:rFonts w:ascii="Arial" w:cs="Arial" w:eastAsia="Arial" w:hAnsi="Arial"/>
          <w:sz w:val="17"/>
          <w:szCs w:val="17"/>
          <w:color w:val="auto"/>
        </w:rPr>
      </w:pPr>
    </w:p>
    <w:p>
      <w:pPr>
        <w:ind w:left="1020" w:right="14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 in connection with the stock price appreciation milestones;</w:t>
      </w:r>
    </w:p>
    <w:p>
      <w:pPr>
        <w:spacing w:after="0" w:line="7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and the ability of our investigators to initiate and conduct, and the progress, results, size, timing and costs of, clinical trials of our product candidates that will be necessary to support any application for regulatory approval;</w:t>
      </w:r>
    </w:p>
    <w:p>
      <w:pPr>
        <w:spacing w:after="0" w:line="62" w:lineRule="exact"/>
        <w:rPr>
          <w:rFonts w:ascii="Arial" w:cs="Arial" w:eastAsia="Arial" w:hAnsi="Arial"/>
          <w:sz w:val="18"/>
          <w:szCs w:val="18"/>
          <w:color w:val="auto"/>
        </w:rPr>
      </w:pPr>
    </w:p>
    <w:p>
      <w:pPr>
        <w:ind w:left="1020" w:right="20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spacing w:after="0" w:line="73"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 and</w:t>
      </w:r>
    </w:p>
    <w:p>
      <w:pPr>
        <w:spacing w:after="0" w:line="73" w:lineRule="exact"/>
        <w:rPr>
          <w:rFonts w:ascii="Arial" w:cs="Arial" w:eastAsia="Arial" w:hAnsi="Arial"/>
          <w:sz w:val="18"/>
          <w:szCs w:val="18"/>
          <w:color w:val="auto"/>
        </w:rPr>
      </w:pPr>
    </w:p>
    <w:p>
      <w:pPr>
        <w:jc w:val="both"/>
        <w:ind w:left="1020" w:right="6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and maintain strategic arrangements and alliances with third-party collaborators including our existing collaborations with Janssen Biotech, Inc., Ono Pharmaceutical Co., Ltd., the University of Minnesota, and MSK, to advance the research, development and commercialization of therapeutic products.</w:t>
      </w:r>
    </w:p>
    <w:p>
      <w:pPr>
        <w:spacing w:after="0" w:line="7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 of the COVID-19 pandemic and the ongoing conflict in Ukraine on the global economy is currently unknown and difficult to predict, the pandemic has caused significant disruptions and created uncertainties in the global financial markets, and the economic impacts of the pandemic could materially and adversely affect our ability to raise capital through equity or debt financings in the future.</w:t>
      </w:r>
    </w:p>
    <w:p>
      <w:pPr>
        <w:spacing w:after="0" w:line="7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If we cannot raise additional capital or obtain adequate funds, we may be required to curtail significantly our research and clinical programs or may not be able to continue our research or clinical development of our product candidates. Our failure to raise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1" w:name="page72"/>
    <w:bookmarkEnd w:id="71"/>
    <w:p>
      <w:pPr>
        <w:ind w:right="260"/>
        <w:spacing w:after="0" w:line="261" w:lineRule="auto"/>
        <w:rPr>
          <w:sz w:val="20"/>
          <w:szCs w:val="20"/>
          <w:color w:val="auto"/>
        </w:rPr>
      </w:pPr>
      <w:r>
        <w:rPr>
          <w:rFonts w:ascii="Arial" w:cs="Arial" w:eastAsia="Arial" w:hAnsi="Arial"/>
          <w:sz w:val="18"/>
          <w:szCs w:val="18"/>
          <w:color w:val="auto"/>
        </w:rPr>
        <w:t>additional capital, or obtain adequate funds, will have a material adverse effect on our business, prospects, financial condition, results of operations, and market price of shares of our common stock.</w:t>
      </w:r>
    </w:p>
    <w:p>
      <w:pPr>
        <w:spacing w:after="0" w:line="27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6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are a clinical-stage biopharmaceutical company formed in 2007 with a limited operating history. We have not yet obtained regulatory approval for any of our product candidates or generated any revenues from therapeutic product sales. Since inception, we have incurred significant net losses in each year and, as of June 30, 2022, we had an accumulated deficit of $910.9 million.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spacing w:after="0" w:line="7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preclinical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subject to fluctuation based on a variety of factors.</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market price of shares of our common stock could be subject to wide fluctuations as a result of many risks listed in this section, and other risks beyond our control, including:</w:t>
      </w:r>
    </w:p>
    <w:p>
      <w:pPr>
        <w:spacing w:after="0" w:line="63"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the initiation of, and progress in, our current and planned clinical trials;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 and the results of clinical trials and preclinical studies by others for product candidates or indications similar to ours;</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related to the FDA or to regulations applicable to cellular immunotherapies generally or our product candidates in particular including, but not limited to, regulatory pathways and clinical trial requirements for approvals;</w:t>
      </w:r>
    </w:p>
    <w:p>
      <w:pPr>
        <w:spacing w:after="0" w:line="62" w:lineRule="exact"/>
        <w:rPr>
          <w:rFonts w:ascii="Arial" w:cs="Arial" w:eastAsia="Arial" w:hAnsi="Arial"/>
          <w:sz w:val="18"/>
          <w:szCs w:val="18"/>
          <w:color w:val="auto"/>
        </w:rPr>
      </w:pPr>
    </w:p>
    <w:p>
      <w:pPr>
        <w:ind w:left="1020" w:right="84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developments related to proprietary rights including patents, litigation matters and our ability to obtain patent protection for our technologies;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actual or anticipated changes in our research and development activities and our business prospects, including in relation to our competitors;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of technological innovations or new therapeutic products by us or others in the field of immunotherapy;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or expectations of additional equity or debt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our other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comments by securities analysts;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our operating results (including changes related to stock-based compensation from performance-based awards);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conflicts in Ukraine;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2" w:name="page73"/>
    <w:bookmarkEnd w:id="72"/>
    <w:p>
      <w:pPr>
        <w:ind w:firstLine="509"/>
        <w:spacing w:after="0" w:line="294" w:lineRule="auto"/>
        <w:rPr>
          <w:sz w:val="20"/>
          <w:szCs w:val="20"/>
          <w:color w:val="auto"/>
        </w:rPr>
      </w:pPr>
      <w:r>
        <w:rPr>
          <w:rFonts w:ascii="Arial" w:cs="Arial" w:eastAsia="Arial" w:hAnsi="Arial"/>
          <w:sz w:val="16"/>
          <w:szCs w:val="16"/>
          <w:color w:val="auto"/>
        </w:rPr>
        <w:t>These and other market and industry factors, including the effects of the COVID-19 pandemic, the ongoing conflict in Ukraine,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Changes in our stock price may also trigger financial obligations under our licensing arrangements. For example, pursuant to the terms of our license agreement with MSK, MSK is eligible to receive from us certain milestone payments totaling up to $75.0 million based on the price of our common stock, where the amount of such payments owed to MSK is contingent upon certain increases in the price of our common stock following the date of achievement of a specified clinical milestone. In July 2021, we achieved the specified clinical milestone for a licensed product under our license agreement with MSK and our ten-trading day trailing average common stock price exceeded the first, pre-specified threshold. Accordingly, MSK received the first milestone payment of $20.0 million in November 2021; however, uncertainty of the price of our common stock results in an inability to ascertain the precise timing of any remaining future milestone payments in advance.</w:t>
      </w:r>
    </w:p>
    <w:p>
      <w:pPr>
        <w:spacing w:after="0" w:line="29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may be able to exercise significant control over our company.</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As of July 28, 2022, our executive officers, directors and entities affiliated with our five percent stockholders beneficially own, in the aggregate, shares representing approximately 42.3% of our outstanding voting stock. If, in accordance with the CoD (as such term is defined in Note 9 of the notes to the consolidated financial statements herewith) relating to the Class A Convertible Preferred Stock, Redmile (as such term is defined in Note 9 of the notes to the consolidated financial statements herewith) elects to remove certain limitations on the percentage of the our outstanding common stock that it may own such that the 2,794,549 shares of Class A Convertible Preferred Stock currently held by Redmile become fully convertible at Redmile’s option into 13,972,745 shares of common stock, the beneficial ownership of our executive officers, directors and entities affiliated with our five percent stockholders would increase to 49.4%. Although we are not aware of any voting arrangements in place among these stockholders, if these 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spacing w:after="0" w:line="283"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2021 we filed a Form S -3 pursuant to which we may issue up to $350.0 million in common stock in sales deemed to be an “at the market offering” as defined by the Securities Act of 1933, as amended (the Securities Act) and, so long as we qualify as a “well-known seasoned issuer” as defined in Rule 405 of the Securities Act, an unlimited amount of shares of our common stock, preferred stock, debt securities, warrants and/or units. Any sale or issuance 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impose restrictive covenants or otherwise adversely affect the holdings or the rights of our stockholders, and any additional equity financings will be dilutive to our stockholders. Furthermore, additional equity or debt financing might not be available to us on reasonable terms, if at all.</w:t>
      </w:r>
    </w:p>
    <w:p>
      <w:pPr>
        <w:spacing w:after="0" w:line="29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6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right="460"/>
        <w:spacing w:after="0" w:line="261" w:lineRule="auto"/>
        <w:rPr>
          <w:sz w:val="20"/>
          <w:szCs w:val="20"/>
          <w:color w:val="auto"/>
        </w:rPr>
      </w:pPr>
      <w:r>
        <w:rPr>
          <w:rFonts w:ascii="Arial" w:cs="Arial" w:eastAsia="Arial" w:hAnsi="Arial"/>
          <w:sz w:val="18"/>
          <w:szCs w:val="18"/>
          <w:color w:val="auto"/>
        </w:rPr>
        <w:t>significant stockholders. Sales by our stockholders of a substantial number of shares, or the expectation that such sales may occur, could significantly reduce the market price of our common stock.</w:t>
      </w:r>
    </w:p>
    <w:p>
      <w:pPr>
        <w:spacing w:after="0" w:line="63"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have registered the shares of common stock issued to Johnson &amp; Johnson Innovation – JJDC, Inc. under a stock purchase agreement entered into in connection with the Janssen Agreement pursuant to a registration statement on Form S-3. Moreover, we registered all of the 5,380,117 shares of common stock issued by us and all of the 257,310 prefunded warrants to purchase common stock in our public offering in January 2021.</w:t>
      </w:r>
    </w:p>
    <w:p>
      <w:pPr>
        <w:spacing w:after="0" w:line="5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employees and affiliates have established or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our cash, cash equivalents, and investments and may not use them effectively.</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or delay the development of our product candidates. We may invest our cash and cash equivalents in a manner that does not produce income or that loses value.</w:t>
      </w:r>
    </w:p>
    <w:p>
      <w:pPr>
        <w:spacing w:after="0" w:line="29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Provisions of Delaware law or our charter documents could delay or prevent an acquisition of our company, and could make it more difficult for you to change management.</w:t>
      </w:r>
    </w:p>
    <w:p>
      <w:pPr>
        <w:spacing w:after="0" w:line="63"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80"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with limitations on the removal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amended and restated bylaws;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spacing w:after="0" w:line="29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spacing w:after="0" w:line="7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will be the sole and exclusive forum for the following types of actions or proceedings under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4" w:name="page75"/>
    <w:bookmarkEnd w:id="74"/>
    <w:p>
      <w:pPr>
        <w:ind w:right="20"/>
        <w:spacing w:after="0" w:line="255" w:lineRule="auto"/>
        <w:rPr>
          <w:sz w:val="20"/>
          <w:szCs w:val="20"/>
          <w:color w:val="auto"/>
        </w:rPr>
      </w:pPr>
      <w:r>
        <w:rPr>
          <w:rFonts w:ascii="Arial" w:cs="Arial" w:eastAsia="Arial" w:hAnsi="Arial"/>
          <w:sz w:val="17"/>
          <w:szCs w:val="17"/>
          <w:color w:val="auto"/>
        </w:rPr>
        <w:t>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 amended and restated bylaws may limit our stockholders’ ability to litigate disputes with us in a different judicial forum.</w:t>
      </w:r>
    </w:p>
    <w:p>
      <w:pPr>
        <w:spacing w:after="0" w:line="28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benefits may be limited and, as a result, our future tax liability may increase.</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As of December 31, 2021, we had federal and California net operating loss carryforwards of $289.7 million and $291.2 million, respectively, some of which begin to expire in various amounts in 2027 and 2028, respectively. As of December 31, 2021, we also had federal and California research and development tax credit carryforwards of $25.7 million and $25.8 million, respectively. The federal research and development tax credit carryforwards will begin to expire in 2035 unless previously utilized, while the California 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or NOLs or credits, to offset future taxable income or taxes. Generally, a change of more than 50 percentage points in the ownership of a corporation’s stock, by value, over a three-year period constitutes an ownership change for U.S. federal income tax purposes. We have determined that we triggered an ownership change limitation in November 2009 and again in May 2015. We have determined that we do not believe there were any ownership changes from May 2015 through December 2021. We have not analyzed periods subsequent to December 2021. We may experience additional ownership changes as a result of shifts in our stock ownership in the future. Limits on our ability to use our pre-change NOLs or credits to offset U.S. federal taxable income could potentially result in increased future tax liability to us if we earn net taxable income in the future. The amount of NOLs generated in taxable periods beginning after December 31, 2021,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 and other types of stockholder litigation.</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stock market in general, and the Nasdaq Global Market and biotechnology companies in particular, have experienced extreme price and volume fluctuations that have often been unrelated or disproportionate to the operating performance of these companies. In the past, securities class action litigation has often been instituted against companies following periods of volatility in the market price of a company’s securities. 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2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business operations may subject us to disputes, claims and lawsuits, which may be costly and time-consuming and could materially and adversely impact our financial position and results of operations.</w:t>
      </w:r>
    </w:p>
    <w:p>
      <w:pPr>
        <w:spacing w:after="0" w:line="6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From time to time, we may become involved in disputes, claims and lawsuits relating to our business operations. For example,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0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5" w:name="page76"/>
    <w:bookmarkEnd w:id="75"/>
    <w:p>
      <w:pPr>
        <w:ind w:right="20"/>
        <w:spacing w:after="0" w:line="253" w:lineRule="auto"/>
        <w:rPr>
          <w:sz w:val="20"/>
          <w:szCs w:val="20"/>
          <w:color w:val="auto"/>
        </w:rPr>
      </w:pPr>
      <w:r>
        <w:rPr>
          <w:rFonts w:ascii="Arial" w:cs="Arial" w:eastAsia="Arial" w:hAnsi="Arial"/>
          <w:sz w:val="17"/>
          <w:szCs w:val="17"/>
          <w:color w:val="auto"/>
        </w:rPr>
        <w:t>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(particularly as a result of the COVID-19 pandemic), underemployment or the repeal of certain provisions of the ACA may decrease the demand for healthcare services and pharmaceuticals. Additionally, the availability of healthcare services and resources is currently constrained due to the COVID-19 pandemic.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 inflationary pressures, including prices of materials, costs of labor, it may adversely impact our operating performance, expenses and results.</w:t>
      </w:r>
    </w:p>
    <w:p>
      <w:pPr>
        <w:spacing w:after="0" w:line="72"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including as a result of the COVID-19 pandemic, the ongoing conflict in Ukraine, interest rate fluctuations, rising inflations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the COVID-19 pandemic, the ongoing conflict in Ukraine, current economic climate and financial market conditions could adversely impact our business.</w:t>
      </w:r>
    </w:p>
    <w:p>
      <w:pPr>
        <w:spacing w:after="0" w:line="2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Recent 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7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64"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continue the research and development or our existing product candidates and develop or enhance our technological infrastructure;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pursue acquisitions, in-licenses or other strategic relationships;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104"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71"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Recent increases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spacing w:after="0" w:line="16"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To meet our liquidity needs, we have previously relied, in part, on borrowed funds, and may do so again in the future. Continued increases in interest rates will increase the cost of new indebtedness and could materially and adversely affect our results of operations, financial condition, liquidity and cash flows.</w:t>
      </w:r>
    </w:p>
    <w:p>
      <w:pPr>
        <w:spacing w:after="0" w:line="29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Geopolitical risks associated with the ongoing military conflict between Russia and Ukraine could have an adverse impact on our business, financial condition and results of operations, including our clinical trials.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6" w:name="page77"/>
    <w:bookmarkEnd w:id="76"/>
    <w:p>
      <w:pPr>
        <w:ind w:right="60" w:firstLine="509"/>
        <w:spacing w:after="0" w:line="243" w:lineRule="auto"/>
        <w:rPr>
          <w:sz w:val="20"/>
          <w:szCs w:val="20"/>
          <w:color w:val="auto"/>
        </w:rPr>
      </w:pPr>
      <w:r>
        <w:rPr>
          <w:rFonts w:ascii="Arial" w:cs="Arial" w:eastAsia="Arial" w:hAnsi="Arial"/>
          <w:sz w:val="18"/>
          <w:szCs w:val="18"/>
          <w:color w:val="auto"/>
        </w:rPr>
        <w:t>In late February 2022, Russia commenced a military invasion of Ukraine, and sustained conflict and disruption in the region is likely. The uncertain nature, magnitude, and duration of hostilities stemming from the conflict in Ukraine, including the potential effects of sanctions limitations, retaliatory cyber-attacks on the world economy and markets, have contributed to increased market volatility and uncertainty, which could have an adverse impact on macroeconomic factors that affect our business and operations.</w:t>
      </w:r>
    </w:p>
    <w:p>
      <w:pPr>
        <w:spacing w:after="0" w:line="80"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Sanctions imposed by the U.S., EU, and other countries in response to the conflict between Russia and Ukraine and the potential response to such sanctions may have an adverse impact our business, including our clinical trials, the financial markets and the global economy. As the conflict in Ukraine continues, there can be no certainty regarding whether such governments or other governments will impose additional sanctions, or other economic or military measures relating to Russia.</w:t>
      </w:r>
    </w:p>
    <w:p>
      <w:pPr>
        <w:spacing w:after="0" w:line="296" w:lineRule="exact"/>
        <w:rPr>
          <w:sz w:val="20"/>
          <w:szCs w:val="20"/>
          <w:color w:val="auto"/>
        </w:rPr>
      </w:pPr>
    </w:p>
    <w:p>
      <w:pPr>
        <w:ind w:right="420"/>
        <w:spacing w:after="0" w:line="356"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fires, or other natural disasters, including epidemics and pandemics such as COVID-19, and our business continuity and disaster recovery plans may not adequately protect us from a serious disaster.</w:t>
      </w:r>
    </w:p>
    <w:p>
      <w:pPr>
        <w:spacing w:after="0" w:line="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Earthquakes, fires,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as a result of the COVID-19 pandemic, we may experience delays or disruptions in our clinical development activities, our research and development activities, and in the supply of drug product or other materials and components necessary to conduct our clinical trials. Any continued or subsequent measures taken by governmental authorities or businesses to contain the spread of COVID-19, or the perception that such measures may be required in the future should another outbreak occur, could adversely affect our business, operations, financial condition, prospects or results of operations 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have in place currently are limited and may not prove adequate for protecting and continuing our business in the event that our business is disrupted as a result of the COVID-19 pandemic or other serious disaster or similar event. We may incur substantial expenses as a result of the limited nature of our disaster recovery and business continuity plans, which, when taken together with our lack of earthquake insurance, could have a material adverse effect on our business.</w:t>
      </w:r>
    </w:p>
    <w:p>
      <w:pPr>
        <w:spacing w:after="0" w:line="27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procedures and internal controls, our ability to produce accurate financial statements or comply with applicable regulations could be impaired.</w:t>
      </w:r>
    </w:p>
    <w:p>
      <w:pPr>
        <w:spacing w:after="0" w:line="6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81"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29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3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7" w:name="page78"/>
    <w:bookmarkEnd w:id="77"/>
    <w:p>
      <w:pPr>
        <w:ind w:right="280"/>
        <w:spacing w:after="0" w:line="261" w:lineRule="auto"/>
        <w:rPr>
          <w:sz w:val="20"/>
          <w:szCs w:val="20"/>
          <w:color w:val="auto"/>
        </w:rPr>
      </w:pPr>
      <w:r>
        <w:rPr>
          <w:rFonts w:ascii="Arial" w:cs="Arial" w:eastAsia="Arial" w:hAnsi="Arial"/>
          <w:sz w:val="18"/>
          <w:szCs w:val="18"/>
          <w:color w:val="auto"/>
        </w:rPr>
        <w:t>liabilities. We do not maintain insurance for environmental liability or toxic tort claims that may be asserted against us in connection with our storage or disposal of biological or hazardous materials.</w:t>
      </w:r>
    </w:p>
    <w:p>
      <w:pPr>
        <w:spacing w:after="0" w:line="63"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or the TCJA,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Additionally, the Coronavirus Aid, Relief, and Economic Security Act, which, among other things, suspended the 80% limitation on the deduction for net operating losses in taxable years beginning before January 1, 2021, permits a 5-year carryback of net operating losses arising in taxable years beginning after December 31, 2017 and before January 1, 2021, and generally caps the limitation on the deduction for net interest expense at 50% of adjusted taxable income for taxable years beginning in 2019 and 2020.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spacing w:after="0" w:line="29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business could be negatively impacted by corporate citizenship and environmental, social and corporate governance matters and/or our reporting of such matters.</w:t>
      </w:r>
    </w:p>
    <w:p>
      <w:pPr>
        <w:spacing w:after="0" w:line="63" w:lineRule="exact"/>
        <w:rPr>
          <w:sz w:val="20"/>
          <w:szCs w:val="20"/>
          <w:color w:val="auto"/>
        </w:rPr>
      </w:pPr>
    </w:p>
    <w:p>
      <w:pPr>
        <w:jc w:val="both"/>
        <w:ind w:right="200" w:firstLine="509"/>
        <w:spacing w:after="0" w:line="270" w:lineRule="auto"/>
        <w:rPr>
          <w:sz w:val="20"/>
          <w:szCs w:val="20"/>
          <w:color w:val="auto"/>
        </w:rPr>
      </w:pPr>
      <w:r>
        <w:rPr>
          <w:rFonts w:ascii="Arial" w:cs="Arial" w:eastAsia="Arial" w:hAnsi="Arial"/>
          <w:sz w:val="17"/>
          <w:szCs w:val="17"/>
          <w:color w:val="auto"/>
        </w:rPr>
        <w:t>There is an increasing focus from certain investors, consumers, and other stakeholders concerning corporate citizenship and sustainability matters. We could be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Exhibits</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960" w:type="dxa"/>
            <w:vAlign w:val="bottom"/>
          </w:tcPr>
          <w:p>
            <w:pPr>
              <w:jc w:val="center"/>
              <w:ind w:right="374"/>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00" w:type="dxa"/>
            <w:vAlign w:val="bottom"/>
            <w:gridSpan w:val="12"/>
            <w:vMerge w:val="restart"/>
          </w:tcPr>
          <w:p>
            <w:pPr>
              <w:ind w:left="80"/>
              <w:spacing w:after="0"/>
              <w:rPr>
                <w:sz w:val="20"/>
                <w:szCs w:val="20"/>
                <w:color w:val="auto"/>
              </w:rPr>
            </w:pPr>
            <w:r>
              <w:rPr>
                <w:rFonts w:ascii="Arial" w:cs="Arial" w:eastAsia="Arial" w:hAnsi="Arial"/>
                <w:sz w:val="14"/>
                <w:szCs w:val="14"/>
                <w:b w:val="1"/>
                <w:bCs w:val="1"/>
                <w:color w:val="auto"/>
              </w:rPr>
              <w:t>Exhibit Title</w:t>
            </w:r>
          </w:p>
        </w:tc>
        <w:tc>
          <w:tcPr>
            <w:tcW w:w="1200" w:type="dxa"/>
            <w:vAlign w:val="bottom"/>
            <w:vMerge w:val="restart"/>
          </w:tcPr>
          <w:p>
            <w:pPr>
              <w:jc w:val="center"/>
              <w:ind w:left="112"/>
              <w:spacing w:after="0"/>
              <w:rPr>
                <w:sz w:val="20"/>
                <w:szCs w:val="20"/>
                <w:color w:val="auto"/>
              </w:rPr>
            </w:pPr>
            <w:r>
              <w:rPr>
                <w:rFonts w:ascii="Arial" w:cs="Arial" w:eastAsia="Arial" w:hAnsi="Arial"/>
                <w:sz w:val="14"/>
                <w:szCs w:val="14"/>
                <w:b w:val="1"/>
                <w:bCs w:val="1"/>
                <w:color w:val="auto"/>
              </w:rPr>
              <w:t>Form</w:t>
            </w:r>
          </w:p>
        </w:tc>
        <w:tc>
          <w:tcPr>
            <w:tcW w:w="13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File No.</w:t>
            </w: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70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6"/>
        </w:trPr>
        <w:tc>
          <w:tcPr>
            <w:tcW w:w="960" w:type="dxa"/>
            <w:vAlign w:val="bottom"/>
          </w:tcPr>
          <w:p>
            <w:pPr>
              <w:jc w:val="center"/>
              <w:ind w:right="354"/>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00" w:type="dxa"/>
            <w:vAlign w:val="bottom"/>
            <w:gridSpan w:val="1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960" w:type="dxa"/>
            <w:vAlign w:val="bottom"/>
          </w:tcPr>
          <w:p>
            <w:pPr>
              <w:jc w:val="center"/>
              <w:ind w:right="374"/>
              <w:spacing w:after="0"/>
              <w:rPr>
                <w:sz w:val="20"/>
                <w:szCs w:val="20"/>
                <w:color w:val="auto"/>
              </w:rPr>
            </w:pPr>
            <w:r>
              <w:rPr>
                <w:rFonts w:ascii="Arial" w:cs="Arial" w:eastAsia="Arial" w:hAnsi="Arial"/>
                <w:sz w:val="18"/>
                <w:szCs w:val="18"/>
                <w:color w:val="auto"/>
                <w:w w:val="87"/>
              </w:rPr>
              <w:t>3.1</w:t>
            </w:r>
          </w:p>
        </w:tc>
        <w:tc>
          <w:tcPr>
            <w:tcW w:w="4460" w:type="dxa"/>
            <w:vAlign w:val="bottom"/>
            <w:gridSpan w:val="17"/>
          </w:tcPr>
          <w:p>
            <w:pPr>
              <w:spacing w:after="0"/>
              <w:rPr>
                <w:rFonts w:ascii="Arial" w:cs="Arial" w:eastAsia="Arial" w:hAnsi="Arial"/>
                <w:sz w:val="18"/>
                <w:szCs w:val="18"/>
                <w:color w:val="0000FF"/>
                <w:w w:val="97"/>
              </w:rPr>
            </w:pPr>
            <w:hyperlink r:id="rId306">
              <w:r>
                <w:rPr>
                  <w:rFonts w:ascii="Arial" w:cs="Arial" w:eastAsia="Arial" w:hAnsi="Arial"/>
                  <w:sz w:val="18"/>
                  <w:szCs w:val="18"/>
                  <w:color w:val="0000FF"/>
                  <w:w w:val="97"/>
                </w:rPr>
                <w:t>Amended and Restated Certificate of Incorporation of the</w:t>
              </w:r>
            </w:hyperlink>
          </w:p>
        </w:tc>
        <w:tc>
          <w:tcPr>
            <w:tcW w:w="1200" w:type="dxa"/>
            <w:vAlign w:val="bottom"/>
          </w:tcPr>
          <w:p>
            <w:pPr>
              <w:jc w:val="center"/>
              <w:ind w:left="112"/>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3.2</w:t>
            </w:r>
          </w:p>
        </w:tc>
        <w:tc>
          <w:tcPr>
            <w:tcW w:w="1700" w:type="dxa"/>
            <w:vAlign w:val="bottom"/>
          </w:tcPr>
          <w:p>
            <w:pPr>
              <w:jc w:val="center"/>
              <w:ind w:left="192"/>
              <w:spacing w:after="0"/>
              <w:rPr>
                <w:sz w:val="20"/>
                <w:szCs w:val="20"/>
                <w:color w:val="auto"/>
              </w:rPr>
            </w:pPr>
            <w:r>
              <w:rPr>
                <w:rFonts w:ascii="Arial" w:cs="Arial" w:eastAsia="Arial" w:hAnsi="Arial"/>
                <w:sz w:val="18"/>
                <w:szCs w:val="18"/>
                <w:color w:val="auto"/>
                <w:w w:val="89"/>
              </w:rPr>
              <w:t>August 29, 2013</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306">
              <w:r>
                <w:rPr>
                  <w:rFonts w:ascii="Arial" w:cs="Arial" w:eastAsia="Arial" w:hAnsi="Arial"/>
                  <w:sz w:val="18"/>
                  <w:szCs w:val="18"/>
                  <w:color w:val="0000FF"/>
                  <w:w w:val="87"/>
                </w:rPr>
                <w:t>Registrant</w:t>
              </w:r>
            </w:hyperlink>
          </w:p>
        </w:tc>
        <w:tc>
          <w:tcPr>
            <w:tcW w:w="40" w:type="dxa"/>
            <w:vAlign w:val="bottom"/>
            <w:tcBorders>
              <w:top w:val="single" w:sz="8" w:color="0000FF"/>
              <w:bottom w:val="single" w:sz="8" w:color="0000EE"/>
            </w:tcBorders>
          </w:tcPr>
          <w:p>
            <w:pPr>
              <w:spacing w:after="0"/>
              <w:rPr>
                <w:sz w:val="13"/>
                <w:szCs w:val="13"/>
                <w:color w:val="auto"/>
              </w:rPr>
            </w:pPr>
          </w:p>
        </w:tc>
        <w:tc>
          <w:tcPr>
            <w:tcW w:w="3420" w:type="dxa"/>
            <w:vAlign w:val="bottom"/>
            <w:tcBorders>
              <w:top w:val="single" w:sz="8" w:color="0000FF"/>
            </w:tcBorders>
            <w:gridSpan w:val="9"/>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60" w:type="dxa"/>
            <w:vAlign w:val="bottom"/>
          </w:tcPr>
          <w:p>
            <w:pPr>
              <w:jc w:val="center"/>
              <w:ind w:right="374"/>
              <w:spacing w:after="0"/>
              <w:rPr>
                <w:sz w:val="20"/>
                <w:szCs w:val="20"/>
                <w:color w:val="auto"/>
              </w:rPr>
            </w:pPr>
            <w:r>
              <w:rPr>
                <w:rFonts w:ascii="Arial" w:cs="Arial" w:eastAsia="Arial" w:hAnsi="Arial"/>
                <w:sz w:val="18"/>
                <w:szCs w:val="18"/>
                <w:color w:val="auto"/>
                <w:w w:val="87"/>
              </w:rPr>
              <w:t>3.2</w:t>
            </w:r>
          </w:p>
        </w:tc>
        <w:tc>
          <w:tcPr>
            <w:tcW w:w="3820" w:type="dxa"/>
            <w:vAlign w:val="bottom"/>
            <w:tcBorders>
              <w:bottom w:val="single" w:sz="8" w:color="0000FF"/>
            </w:tcBorders>
            <w:gridSpan w:val="10"/>
          </w:tcPr>
          <w:p>
            <w:pPr>
              <w:spacing w:after="0"/>
              <w:rPr>
                <w:rFonts w:ascii="Arial" w:cs="Arial" w:eastAsia="Arial" w:hAnsi="Arial"/>
                <w:sz w:val="18"/>
                <w:szCs w:val="18"/>
                <w:color w:val="0000FF"/>
                <w:w w:val="91"/>
              </w:rPr>
            </w:pPr>
            <w:hyperlink r:id="rId307">
              <w:r>
                <w:rPr>
                  <w:rFonts w:ascii="Arial" w:cs="Arial" w:eastAsia="Arial" w:hAnsi="Arial"/>
                  <w:sz w:val="18"/>
                  <w:szCs w:val="18"/>
                  <w:color w:val="0000FF"/>
                  <w:w w:val="91"/>
                </w:rPr>
                <w:t>Certificate of Amendment to Amended and Restated</w:t>
              </w:r>
            </w:hyperlink>
          </w:p>
        </w:tc>
        <w:tc>
          <w:tcPr>
            <w:tcW w:w="640" w:type="dxa"/>
            <w:vAlign w:val="bottom"/>
            <w:gridSpan w:val="7"/>
          </w:tcPr>
          <w:p>
            <w:pPr>
              <w:spacing w:after="0"/>
              <w:rPr>
                <w:sz w:val="24"/>
                <w:szCs w:val="24"/>
                <w:color w:val="auto"/>
              </w:rPr>
            </w:pPr>
          </w:p>
        </w:tc>
        <w:tc>
          <w:tcPr>
            <w:tcW w:w="1200" w:type="dxa"/>
            <w:vAlign w:val="bottom"/>
          </w:tcPr>
          <w:p>
            <w:pPr>
              <w:jc w:val="center"/>
              <w:ind w:left="112"/>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3.1</w:t>
            </w:r>
          </w:p>
        </w:tc>
        <w:tc>
          <w:tcPr>
            <w:tcW w:w="1700" w:type="dxa"/>
            <w:vAlign w:val="bottom"/>
          </w:tcPr>
          <w:p>
            <w:pPr>
              <w:jc w:val="center"/>
              <w:ind w:left="192"/>
              <w:spacing w:after="0"/>
              <w:rPr>
                <w:sz w:val="20"/>
                <w:szCs w:val="20"/>
                <w:color w:val="auto"/>
              </w:rPr>
            </w:pPr>
            <w:r>
              <w:rPr>
                <w:rFonts w:ascii="Arial" w:cs="Arial" w:eastAsia="Arial" w:hAnsi="Arial"/>
                <w:sz w:val="18"/>
                <w:szCs w:val="18"/>
                <w:color w:val="auto"/>
                <w:w w:val="86"/>
              </w:rPr>
              <w:t>June 7, 2021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460" w:type="dxa"/>
            <w:vAlign w:val="bottom"/>
            <w:gridSpan w:val="17"/>
          </w:tcPr>
          <w:p>
            <w:pPr>
              <w:spacing w:after="0" w:line="156" w:lineRule="exact"/>
              <w:rPr>
                <w:rFonts w:ascii="Arial" w:cs="Arial" w:eastAsia="Arial" w:hAnsi="Arial"/>
                <w:sz w:val="18"/>
                <w:szCs w:val="18"/>
                <w:color w:val="0000FF"/>
                <w:w w:val="94"/>
              </w:rPr>
            </w:pPr>
            <w:hyperlink r:id="rId307">
              <w:r>
                <w:rPr>
                  <w:rFonts w:ascii="Arial" w:cs="Arial" w:eastAsia="Arial" w:hAnsi="Arial"/>
                  <w:sz w:val="18"/>
                  <w:szCs w:val="18"/>
                  <w:color w:val="0000FF"/>
                  <w:w w:val="94"/>
                </w:rPr>
                <w:t>Certificate of Incorporation of the Registrant, as currently in</w:t>
              </w:r>
            </w:hyperlink>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3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07">
              <w:r>
                <w:rPr>
                  <w:rFonts w:ascii="Arial" w:cs="Arial" w:eastAsia="Arial" w:hAnsi="Arial"/>
                  <w:sz w:val="18"/>
                  <w:szCs w:val="18"/>
                  <w:color w:val="0000FF"/>
                </w:rPr>
                <w:t>effect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4"/>
              <w:spacing w:after="0"/>
              <w:rPr>
                <w:sz w:val="20"/>
                <w:szCs w:val="20"/>
                <w:color w:val="auto"/>
              </w:rPr>
            </w:pPr>
            <w:r>
              <w:rPr>
                <w:rFonts w:ascii="Arial" w:cs="Arial" w:eastAsia="Arial" w:hAnsi="Arial"/>
                <w:sz w:val="18"/>
                <w:szCs w:val="18"/>
                <w:color w:val="auto"/>
                <w:w w:val="87"/>
              </w:rPr>
              <w:t>3.3</w:t>
            </w:r>
          </w:p>
        </w:tc>
        <w:tc>
          <w:tcPr>
            <w:tcW w:w="4460" w:type="dxa"/>
            <w:vAlign w:val="bottom"/>
            <w:gridSpan w:val="17"/>
          </w:tcPr>
          <w:p>
            <w:pPr>
              <w:spacing w:after="0"/>
              <w:rPr>
                <w:rFonts w:ascii="Arial" w:cs="Arial" w:eastAsia="Arial" w:hAnsi="Arial"/>
                <w:sz w:val="18"/>
                <w:szCs w:val="18"/>
                <w:color w:val="0000FF"/>
              </w:rPr>
            </w:pPr>
            <w:hyperlink r:id="rId308">
              <w:r>
                <w:rPr>
                  <w:rFonts w:ascii="Arial" w:cs="Arial" w:eastAsia="Arial" w:hAnsi="Arial"/>
                  <w:sz w:val="18"/>
                  <w:szCs w:val="18"/>
                  <w:color w:val="0000FF"/>
                </w:rPr>
                <w:t>Certificate of Designation of Preferences, Rights and</w:t>
              </w:r>
            </w:hyperlink>
          </w:p>
        </w:tc>
        <w:tc>
          <w:tcPr>
            <w:tcW w:w="1200" w:type="dxa"/>
            <w:vAlign w:val="bottom"/>
          </w:tcPr>
          <w:p>
            <w:pPr>
              <w:jc w:val="center"/>
              <w:ind w:left="112"/>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3.1</w:t>
            </w:r>
          </w:p>
        </w:tc>
        <w:tc>
          <w:tcPr>
            <w:tcW w:w="1700" w:type="dxa"/>
            <w:vAlign w:val="bottom"/>
          </w:tcPr>
          <w:p>
            <w:pPr>
              <w:jc w:val="center"/>
              <w:ind w:left="192"/>
              <w:spacing w:after="0"/>
              <w:rPr>
                <w:sz w:val="20"/>
                <w:szCs w:val="20"/>
                <w:color w:val="auto"/>
              </w:rPr>
            </w:pPr>
            <w:r>
              <w:rPr>
                <w:rFonts w:ascii="Arial" w:cs="Arial" w:eastAsia="Arial" w:hAnsi="Arial"/>
                <w:sz w:val="18"/>
                <w:szCs w:val="18"/>
                <w:color w:val="auto"/>
                <w:w w:val="89"/>
              </w:rPr>
              <w:t>November 29, 2016</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308">
              <w:r>
                <w:rPr>
                  <w:rFonts w:ascii="Arial" w:cs="Arial" w:eastAsia="Arial" w:hAnsi="Arial"/>
                  <w:sz w:val="18"/>
                  <w:szCs w:val="18"/>
                  <w:color w:val="0000FF"/>
                  <w:w w:val="92"/>
                </w:rPr>
                <w:t>Limitations of Class A Convertible Preferred Stock</w:t>
              </w:r>
            </w:hyperlink>
          </w:p>
        </w:tc>
        <w:tc>
          <w:tcPr>
            <w:tcW w:w="20" w:type="dxa"/>
            <w:vAlign w:val="bottom"/>
            <w:tcBorders>
              <w:top w:val="single" w:sz="8" w:color="0000FF"/>
              <w:bottom w:val="single" w:sz="8" w:color="0000EE"/>
            </w:tcBorders>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60" w:type="dxa"/>
            <w:vAlign w:val="bottom"/>
          </w:tcPr>
          <w:p>
            <w:pPr>
              <w:jc w:val="center"/>
              <w:ind w:right="374"/>
              <w:spacing w:after="0"/>
              <w:rPr>
                <w:sz w:val="20"/>
                <w:szCs w:val="20"/>
                <w:color w:val="auto"/>
              </w:rPr>
            </w:pPr>
            <w:r>
              <w:rPr>
                <w:rFonts w:ascii="Arial" w:cs="Arial" w:eastAsia="Arial" w:hAnsi="Arial"/>
                <w:sz w:val="18"/>
                <w:szCs w:val="18"/>
                <w:color w:val="auto"/>
                <w:w w:val="87"/>
              </w:rPr>
              <w:t>3.4</w:t>
            </w:r>
          </w:p>
        </w:tc>
        <w:tc>
          <w:tcPr>
            <w:tcW w:w="4460" w:type="dxa"/>
            <w:vAlign w:val="bottom"/>
            <w:tcBorders>
              <w:bottom w:val="single" w:sz="8" w:color="0000FF"/>
            </w:tcBorders>
            <w:gridSpan w:val="17"/>
          </w:tcPr>
          <w:p>
            <w:pPr>
              <w:spacing w:after="0"/>
              <w:rPr>
                <w:rFonts w:ascii="Arial" w:cs="Arial" w:eastAsia="Arial" w:hAnsi="Arial"/>
                <w:sz w:val="18"/>
                <w:szCs w:val="18"/>
                <w:color w:val="0000FF"/>
                <w:w w:val="90"/>
              </w:rPr>
            </w:pPr>
            <w:hyperlink r:id="rId309">
              <w:r>
                <w:rPr>
                  <w:rFonts w:ascii="Arial" w:cs="Arial" w:eastAsia="Arial" w:hAnsi="Arial"/>
                  <w:sz w:val="18"/>
                  <w:szCs w:val="18"/>
                  <w:color w:val="0000FF"/>
                  <w:w w:val="90"/>
                </w:rPr>
                <w:t>Amended and Restated Bylaws of the Registrant, as currently</w:t>
              </w:r>
            </w:hyperlink>
          </w:p>
        </w:tc>
        <w:tc>
          <w:tcPr>
            <w:tcW w:w="1200" w:type="dxa"/>
            <w:vAlign w:val="bottom"/>
          </w:tcPr>
          <w:p>
            <w:pPr>
              <w:jc w:val="center"/>
              <w:ind w:left="112"/>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3.3</w:t>
            </w:r>
          </w:p>
        </w:tc>
        <w:tc>
          <w:tcPr>
            <w:tcW w:w="1700" w:type="dxa"/>
            <w:vAlign w:val="bottom"/>
          </w:tcPr>
          <w:p>
            <w:pPr>
              <w:jc w:val="center"/>
              <w:ind w:left="192"/>
              <w:spacing w:after="0"/>
              <w:rPr>
                <w:sz w:val="20"/>
                <w:szCs w:val="20"/>
                <w:color w:val="auto"/>
              </w:rPr>
            </w:pPr>
            <w:r>
              <w:rPr>
                <w:rFonts w:ascii="Arial" w:cs="Arial" w:eastAsia="Arial" w:hAnsi="Arial"/>
                <w:sz w:val="18"/>
                <w:szCs w:val="18"/>
                <w:color w:val="auto"/>
                <w:w w:val="91"/>
              </w:rPr>
              <w:t>February 24, 2021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460" w:type="dxa"/>
            <w:vAlign w:val="bottom"/>
            <w:gridSpan w:val="17"/>
          </w:tcPr>
          <w:p>
            <w:pPr>
              <w:spacing w:after="0" w:line="156" w:lineRule="exact"/>
              <w:rPr>
                <w:rFonts w:ascii="Arial" w:cs="Arial" w:eastAsia="Arial" w:hAnsi="Arial"/>
                <w:sz w:val="18"/>
                <w:szCs w:val="18"/>
                <w:color w:val="0000FF"/>
              </w:rPr>
            </w:pPr>
            <w:hyperlink r:id="rId309">
              <w:r>
                <w:rPr>
                  <w:rFonts w:ascii="Arial" w:cs="Arial" w:eastAsia="Arial" w:hAnsi="Arial"/>
                  <w:sz w:val="18"/>
                  <w:szCs w:val="18"/>
                  <w:color w:val="0000FF"/>
                </w:rPr>
                <w:t>in effect</w:t>
              </w:r>
            </w:hyperlink>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4"/>
              <w:spacing w:after="0"/>
              <w:rPr>
                <w:sz w:val="20"/>
                <w:szCs w:val="20"/>
                <w:color w:val="auto"/>
              </w:rPr>
            </w:pPr>
            <w:r>
              <w:rPr>
                <w:rFonts w:ascii="Arial" w:cs="Arial" w:eastAsia="Arial" w:hAnsi="Arial"/>
                <w:sz w:val="18"/>
                <w:szCs w:val="18"/>
                <w:color w:val="auto"/>
                <w:w w:val="87"/>
              </w:rPr>
              <w:t>4.1</w:t>
            </w:r>
          </w:p>
        </w:tc>
        <w:tc>
          <w:tcPr>
            <w:tcW w:w="4460" w:type="dxa"/>
            <w:vAlign w:val="bottom"/>
            <w:gridSpan w:val="17"/>
          </w:tcPr>
          <w:p>
            <w:pPr>
              <w:spacing w:after="0"/>
              <w:rPr>
                <w:rFonts w:ascii="Arial" w:cs="Arial" w:eastAsia="Arial" w:hAnsi="Arial"/>
                <w:sz w:val="18"/>
                <w:szCs w:val="18"/>
                <w:color w:val="0000FF"/>
              </w:rPr>
            </w:pPr>
            <w:hyperlink r:id="rId310">
              <w:r>
                <w:rPr>
                  <w:rFonts w:ascii="Arial" w:cs="Arial" w:eastAsia="Arial" w:hAnsi="Arial"/>
                  <w:sz w:val="18"/>
                  <w:szCs w:val="18"/>
                  <w:color w:val="0000FF"/>
                </w:rPr>
                <w:t>Specimen Common Stock Certificate</w:t>
              </w:r>
            </w:hyperlink>
          </w:p>
        </w:tc>
        <w:tc>
          <w:tcPr>
            <w:tcW w:w="1200" w:type="dxa"/>
            <w:vAlign w:val="bottom"/>
          </w:tcPr>
          <w:p>
            <w:pPr>
              <w:jc w:val="center"/>
              <w:ind w:left="112"/>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4.1</w:t>
            </w:r>
          </w:p>
        </w:tc>
        <w:tc>
          <w:tcPr>
            <w:tcW w:w="1700" w:type="dxa"/>
            <w:vAlign w:val="bottom"/>
          </w:tcPr>
          <w:p>
            <w:pPr>
              <w:jc w:val="center"/>
              <w:ind w:left="192"/>
              <w:spacing w:after="0"/>
              <w:rPr>
                <w:sz w:val="20"/>
                <w:szCs w:val="20"/>
                <w:color w:val="auto"/>
              </w:rPr>
            </w:pPr>
            <w:r>
              <w:rPr>
                <w:rFonts w:ascii="Arial" w:cs="Arial" w:eastAsia="Arial" w:hAnsi="Arial"/>
                <w:sz w:val="18"/>
                <w:szCs w:val="18"/>
                <w:color w:val="auto"/>
                <w:w w:val="89"/>
              </w:rPr>
              <w:t>August 29, 2013</w:t>
            </w:r>
          </w:p>
        </w:tc>
        <w:tc>
          <w:tcPr>
            <w:tcW w:w="0" w:type="dxa"/>
            <w:vAlign w:val="bottom"/>
          </w:tcPr>
          <w:p>
            <w:pPr>
              <w:spacing w:after="0"/>
              <w:rPr>
                <w:sz w:val="1"/>
                <w:szCs w:val="1"/>
                <w:color w:val="auto"/>
              </w:rPr>
            </w:pPr>
          </w:p>
        </w:tc>
      </w:tr>
      <w:tr>
        <w:trPr>
          <w:trHeight w:val="318"/>
        </w:trPr>
        <w:tc>
          <w:tcPr>
            <w:tcW w:w="960" w:type="dxa"/>
            <w:vAlign w:val="bottom"/>
          </w:tcPr>
          <w:p>
            <w:pPr>
              <w:jc w:val="center"/>
              <w:ind w:right="374"/>
              <w:spacing w:after="0"/>
              <w:rPr>
                <w:sz w:val="20"/>
                <w:szCs w:val="20"/>
                <w:color w:val="auto"/>
              </w:rPr>
            </w:pPr>
            <w:r>
              <w:rPr>
                <w:rFonts w:ascii="Arial" w:cs="Arial" w:eastAsia="Arial" w:hAnsi="Arial"/>
                <w:sz w:val="18"/>
                <w:szCs w:val="18"/>
                <w:color w:val="auto"/>
                <w:w w:val="87"/>
              </w:rPr>
              <w:t>4.2</w:t>
            </w:r>
          </w:p>
        </w:tc>
        <w:tc>
          <w:tcPr>
            <w:tcW w:w="2680" w:type="dxa"/>
            <w:vAlign w:val="bottom"/>
            <w:tcBorders>
              <w:top w:val="single" w:sz="8" w:color="0000FF"/>
            </w:tcBorders>
            <w:gridSpan w:val="7"/>
          </w:tcPr>
          <w:p>
            <w:pPr>
              <w:spacing w:after="0"/>
              <w:rPr>
                <w:rFonts w:ascii="Arial" w:cs="Arial" w:eastAsia="Arial" w:hAnsi="Arial"/>
                <w:sz w:val="18"/>
                <w:szCs w:val="18"/>
                <w:color w:val="0000FF"/>
              </w:rPr>
            </w:pPr>
            <w:hyperlink r:id="rId311">
              <w:r>
                <w:rPr>
                  <w:rFonts w:ascii="Arial" w:cs="Arial" w:eastAsia="Arial" w:hAnsi="Arial"/>
                  <w:sz w:val="18"/>
                  <w:szCs w:val="18"/>
                  <w:color w:val="0000FF"/>
                </w:rPr>
                <w:t>Form of Pre-Funded Warrant</w:t>
              </w:r>
            </w:hyperlink>
          </w:p>
        </w:tc>
        <w:tc>
          <w:tcPr>
            <w:tcW w:w="1780" w:type="dxa"/>
            <w:vAlign w:val="bottom"/>
            <w:gridSpan w:val="10"/>
          </w:tcPr>
          <w:p>
            <w:pPr>
              <w:spacing w:after="0"/>
              <w:rPr>
                <w:sz w:val="24"/>
                <w:szCs w:val="24"/>
                <w:color w:val="auto"/>
              </w:rPr>
            </w:pPr>
          </w:p>
        </w:tc>
        <w:tc>
          <w:tcPr>
            <w:tcW w:w="1200" w:type="dxa"/>
            <w:vAlign w:val="bottom"/>
          </w:tcPr>
          <w:p>
            <w:pPr>
              <w:jc w:val="center"/>
              <w:ind w:left="112"/>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980" w:type="dxa"/>
            <w:vAlign w:val="bottom"/>
          </w:tcPr>
          <w:p>
            <w:pPr>
              <w:jc w:val="center"/>
              <w:spacing w:after="0"/>
              <w:rPr>
                <w:sz w:val="20"/>
                <w:szCs w:val="20"/>
                <w:color w:val="auto"/>
              </w:rPr>
            </w:pPr>
            <w:r>
              <w:rPr>
                <w:rFonts w:ascii="Arial" w:cs="Arial" w:eastAsia="Arial" w:hAnsi="Arial"/>
                <w:sz w:val="18"/>
                <w:szCs w:val="18"/>
                <w:color w:val="252525"/>
                <w:w w:val="87"/>
              </w:rPr>
              <w:t>4.1</w:t>
            </w:r>
          </w:p>
        </w:tc>
        <w:tc>
          <w:tcPr>
            <w:tcW w:w="1700" w:type="dxa"/>
            <w:vAlign w:val="bottom"/>
          </w:tcPr>
          <w:p>
            <w:pPr>
              <w:jc w:val="center"/>
              <w:ind w:left="192"/>
              <w:spacing w:after="0"/>
              <w:rPr>
                <w:sz w:val="20"/>
                <w:szCs w:val="20"/>
                <w:color w:val="auto"/>
              </w:rPr>
            </w:pPr>
            <w:r>
              <w:rPr>
                <w:rFonts w:ascii="Arial" w:cs="Arial" w:eastAsia="Arial" w:hAnsi="Arial"/>
                <w:sz w:val="18"/>
                <w:szCs w:val="18"/>
                <w:color w:val="auto"/>
                <w:w w:val="88"/>
              </w:rPr>
              <w:t>January 8, 2021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 w:type="dxa"/>
            <w:vAlign w:val="bottom"/>
          </w:tcPr>
          <w:p>
            <w:pPr>
              <w:jc w:val="center"/>
              <w:ind w:right="354"/>
              <w:spacing w:after="0"/>
              <w:rPr>
                <w:sz w:val="20"/>
                <w:szCs w:val="20"/>
                <w:color w:val="auto"/>
              </w:rPr>
            </w:pPr>
            <w:r>
              <w:rPr>
                <w:rFonts w:ascii="Arial" w:cs="Arial" w:eastAsia="Arial" w:hAnsi="Arial"/>
                <w:sz w:val="18"/>
                <w:szCs w:val="18"/>
                <w:color w:val="auto"/>
                <w:w w:val="88"/>
              </w:rPr>
              <w:t>10.1#</w:t>
            </w:r>
          </w:p>
        </w:tc>
        <w:tc>
          <w:tcPr>
            <w:tcW w:w="4460" w:type="dxa"/>
            <w:vAlign w:val="bottom"/>
            <w:gridSpan w:val="17"/>
          </w:tcPr>
          <w:p>
            <w:pPr>
              <w:spacing w:after="0"/>
              <w:rPr>
                <w:rFonts w:ascii="Arial" w:cs="Arial" w:eastAsia="Arial" w:hAnsi="Arial"/>
                <w:sz w:val="18"/>
                <w:szCs w:val="18"/>
                <w:color w:val="0000FF"/>
                <w:w w:val="93"/>
              </w:rPr>
            </w:pPr>
            <w:hyperlink r:id="rId312">
              <w:r>
                <w:rPr>
                  <w:rFonts w:ascii="Arial" w:cs="Arial" w:eastAsia="Arial" w:hAnsi="Arial"/>
                  <w:sz w:val="18"/>
                  <w:szCs w:val="18"/>
                  <w:color w:val="0000FF"/>
                  <w:w w:val="93"/>
                </w:rPr>
                <w:t>2022 Stock Option and Incentive Plan and form agreements</w:t>
              </w:r>
            </w:hyperlink>
          </w:p>
        </w:tc>
        <w:tc>
          <w:tcPr>
            <w:tcW w:w="1200" w:type="dxa"/>
            <w:vAlign w:val="bottom"/>
          </w:tcPr>
          <w:p>
            <w:pPr>
              <w:jc w:val="center"/>
              <w:ind w:left="112"/>
              <w:spacing w:after="0"/>
              <w:rPr>
                <w:sz w:val="20"/>
                <w:szCs w:val="20"/>
                <w:color w:val="auto"/>
              </w:rPr>
            </w:pPr>
            <w:r>
              <w:rPr>
                <w:rFonts w:ascii="Arial" w:cs="Arial" w:eastAsia="Arial" w:hAnsi="Arial"/>
                <w:sz w:val="18"/>
                <w:szCs w:val="18"/>
                <w:color w:val="252525"/>
                <w:w w:val="85"/>
              </w:rPr>
              <w:t>S-8</w:t>
            </w:r>
          </w:p>
        </w:tc>
        <w:tc>
          <w:tcPr>
            <w:tcW w:w="1380" w:type="dxa"/>
            <w:vAlign w:val="bottom"/>
          </w:tcPr>
          <w:p>
            <w:pPr>
              <w:jc w:val="center"/>
              <w:spacing w:after="0"/>
              <w:rPr>
                <w:sz w:val="20"/>
                <w:szCs w:val="20"/>
                <w:color w:val="auto"/>
              </w:rPr>
            </w:pPr>
            <w:r>
              <w:rPr>
                <w:rFonts w:ascii="Arial" w:cs="Arial" w:eastAsia="Arial" w:hAnsi="Arial"/>
                <w:sz w:val="18"/>
                <w:szCs w:val="18"/>
                <w:color w:val="252525"/>
                <w:w w:val="89"/>
              </w:rPr>
              <w:t>333-265502</w:t>
            </w:r>
          </w:p>
        </w:tc>
        <w:tc>
          <w:tcPr>
            <w:tcW w:w="980" w:type="dxa"/>
            <w:vAlign w:val="bottom"/>
          </w:tcPr>
          <w:p>
            <w:pPr>
              <w:jc w:val="center"/>
              <w:spacing w:after="0"/>
              <w:rPr>
                <w:sz w:val="20"/>
                <w:szCs w:val="20"/>
                <w:color w:val="auto"/>
              </w:rPr>
            </w:pPr>
            <w:r>
              <w:rPr>
                <w:rFonts w:ascii="Arial" w:cs="Arial" w:eastAsia="Arial" w:hAnsi="Arial"/>
                <w:sz w:val="18"/>
                <w:szCs w:val="18"/>
                <w:color w:val="252525"/>
                <w:w w:val="91"/>
              </w:rPr>
              <w:t>99.1</w:t>
            </w:r>
          </w:p>
        </w:tc>
        <w:tc>
          <w:tcPr>
            <w:tcW w:w="1700" w:type="dxa"/>
            <w:vAlign w:val="bottom"/>
          </w:tcPr>
          <w:p>
            <w:pPr>
              <w:jc w:val="center"/>
              <w:ind w:left="192"/>
              <w:spacing w:after="0"/>
              <w:rPr>
                <w:sz w:val="20"/>
                <w:szCs w:val="20"/>
                <w:color w:val="auto"/>
              </w:rPr>
            </w:pPr>
            <w:r>
              <w:rPr>
                <w:rFonts w:ascii="Arial" w:cs="Arial" w:eastAsia="Arial" w:hAnsi="Arial"/>
                <w:sz w:val="18"/>
                <w:szCs w:val="18"/>
                <w:color w:val="auto"/>
                <w:w w:val="86"/>
              </w:rPr>
              <w:t>June 9, 2022</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3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312">
              <w:r>
                <w:rPr>
                  <w:rFonts w:ascii="Arial" w:cs="Arial" w:eastAsia="Arial" w:hAnsi="Arial"/>
                  <w:sz w:val="18"/>
                  <w:szCs w:val="18"/>
                  <w:color w:val="0000FF"/>
                </w:rPr>
                <w:t>thereunder</w:t>
              </w:r>
            </w:hyperlink>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54"/>
              <w:spacing w:after="0"/>
              <w:rPr>
                <w:sz w:val="20"/>
                <w:szCs w:val="20"/>
                <w:color w:val="auto"/>
              </w:rPr>
            </w:pPr>
            <w:r>
              <w:rPr>
                <w:rFonts w:ascii="Arial" w:cs="Arial" w:eastAsia="Arial" w:hAnsi="Arial"/>
                <w:sz w:val="18"/>
                <w:szCs w:val="18"/>
                <w:color w:val="auto"/>
                <w:w w:val="95"/>
              </w:rPr>
              <w:t>10.2*</w:t>
            </w:r>
          </w:p>
        </w:tc>
        <w:tc>
          <w:tcPr>
            <w:tcW w:w="4460" w:type="dxa"/>
            <w:vAlign w:val="bottom"/>
            <w:gridSpan w:val="17"/>
          </w:tcPr>
          <w:p>
            <w:pPr>
              <w:spacing w:after="0"/>
              <w:rPr>
                <w:rFonts w:ascii="Arial" w:cs="Arial" w:eastAsia="Arial" w:hAnsi="Arial"/>
                <w:sz w:val="18"/>
                <w:szCs w:val="18"/>
                <w:color w:val="0000FF"/>
                <w:w w:val="99"/>
              </w:rPr>
            </w:pPr>
            <w:hyperlink w:anchor="page81">
              <w:r>
                <w:rPr>
                  <w:rFonts w:ascii="Arial" w:cs="Arial" w:eastAsia="Arial" w:hAnsi="Arial"/>
                  <w:sz w:val="18"/>
                  <w:szCs w:val="18"/>
                  <w:color w:val="0000FF"/>
                  <w:w w:val="99"/>
                </w:rPr>
                <w:t>Amendment 01 to Collaboration and Option Agreement,</w:t>
              </w:r>
            </w:hyperlink>
          </w:p>
        </w:tc>
        <w:tc>
          <w:tcPr>
            <w:tcW w:w="1200" w:type="dxa"/>
            <w:vAlign w:val="bottom"/>
          </w:tcPr>
          <w:p>
            <w:pPr>
              <w:jc w:val="center"/>
              <w:ind w:left="132"/>
              <w:spacing w:after="0"/>
              <w:rPr>
                <w:sz w:val="20"/>
                <w:szCs w:val="20"/>
                <w:color w:val="auto"/>
              </w:rPr>
            </w:pPr>
            <w:r>
              <w:rPr>
                <w:rFonts w:ascii="Arial" w:cs="Arial" w:eastAsia="Arial" w:hAnsi="Arial"/>
                <w:sz w:val="18"/>
                <w:szCs w:val="18"/>
                <w:color w:val="252525"/>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center"/>
              <w:ind w:left="192"/>
              <w:spacing w:after="0"/>
              <w:rPr>
                <w:sz w:val="20"/>
                <w:szCs w:val="20"/>
                <w:color w:val="auto"/>
              </w:rPr>
            </w:pPr>
            <w:r>
              <w:rPr>
                <w:rFonts w:ascii="Arial" w:cs="Arial" w:eastAsia="Arial" w:hAnsi="Arial"/>
                <w:sz w:val="18"/>
                <w:szCs w:val="18"/>
                <w:color w:val="auto"/>
                <w:w w:val="94"/>
              </w:rPr>
              <w:t>Filed herewith</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12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w:anchor="page81">
              <w:r>
                <w:rPr>
                  <w:rFonts w:ascii="Arial" w:cs="Arial" w:eastAsia="Arial" w:hAnsi="Arial"/>
                  <w:sz w:val="18"/>
                  <w:szCs w:val="18"/>
                  <w:color w:val="0000FF"/>
                  <w:w w:val="90"/>
                </w:rPr>
                <w:t>dated June 28, 2022, by and between the Registrant and</w:t>
              </w:r>
            </w:hyperlink>
          </w:p>
        </w:tc>
        <w:tc>
          <w:tcPr>
            <w:tcW w:w="340" w:type="dxa"/>
            <w:vAlign w:val="bottom"/>
            <w:gridSpan w:val="5"/>
          </w:tcPr>
          <w:p>
            <w:pPr>
              <w:spacing w:after="0" w:line="156" w:lineRule="exact"/>
              <w:rPr>
                <w:rFonts w:ascii="Arial" w:cs="Arial" w:eastAsia="Arial" w:hAnsi="Arial"/>
                <w:sz w:val="18"/>
                <w:szCs w:val="18"/>
                <w:color w:val="0000FF"/>
                <w:w w:val="93"/>
              </w:rPr>
            </w:pPr>
            <w:hyperlink w:anchor="page81">
              <w:r>
                <w:rPr>
                  <w:rFonts w:ascii="Arial" w:cs="Arial" w:eastAsia="Arial" w:hAnsi="Arial"/>
                  <w:sz w:val="18"/>
                  <w:szCs w:val="18"/>
                  <w:color w:val="0000FF"/>
                  <w:w w:val="93"/>
                </w:rPr>
                <w:t>Ono</w:t>
              </w:r>
            </w:hyperlink>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4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Pharmaceutical Co. Ltd.</w:t>
              </w:r>
            </w:hyperlink>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000"/>
          </w:cols>
          <w:pgMar w:left="320" w:top="324" w:right="579" w:bottom="1440" w:gutter="0" w:footer="0" w:header="0"/>
        </w:sectPr>
      </w:pPr>
    </w:p>
    <w:p>
      <w:pPr>
        <w:ind w:left="1280" w:hanging="858"/>
        <w:spacing w:after="0" w:line="249"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93">
        <w:r>
          <w:rPr>
            <w:rFonts w:ascii="Arial" w:cs="Arial" w:eastAsia="Arial" w:hAnsi="Arial"/>
            <w:sz w:val="16"/>
            <w:szCs w:val="16"/>
            <w:u w:val="single" w:color="auto"/>
            <w:color w:val="0000FF"/>
          </w:rPr>
          <w:t>Certification of Principal Executive Officer pursuant to Rules</w:t>
        </w:r>
      </w:hyperlink>
      <w:r>
        <w:rPr>
          <w:rFonts w:ascii="Arial" w:cs="Arial" w:eastAsia="Arial" w:hAnsi="Arial"/>
          <w:sz w:val="16"/>
          <w:szCs w:val="16"/>
          <w:u w:val="single" w:color="auto"/>
          <w:color w:val="0000FF"/>
        </w:rPr>
        <w:t xml:space="preserve"> </w:t>
      </w:r>
      <w:hyperlink w:anchor="page93">
        <w:r>
          <w:rPr>
            <w:rFonts w:ascii="Arial" w:cs="Arial" w:eastAsia="Arial" w:hAnsi="Arial"/>
            <w:sz w:val="16"/>
            <w:szCs w:val="16"/>
            <w:u w:val="single" w:color="auto"/>
            <w:color w:val="0000FF"/>
          </w:rPr>
          <w:t>13a-14 and 15-d-14 promulgated pursuant to the Securities</w:t>
        </w:r>
      </w:hyperlink>
      <w:r>
        <w:rPr>
          <w:rFonts w:ascii="Arial" w:cs="Arial" w:eastAsia="Arial" w:hAnsi="Arial"/>
          <w:sz w:val="16"/>
          <w:szCs w:val="16"/>
          <w:u w:val="single" w:color="auto"/>
          <w:color w:val="0000FF"/>
        </w:rPr>
        <w:t xml:space="preserve"> </w:t>
      </w:r>
      <w:hyperlink w:anchor="page93">
        <w:r>
          <w:rPr>
            <w:rFonts w:ascii="Arial" w:cs="Arial" w:eastAsia="Arial" w:hAnsi="Arial"/>
            <w:sz w:val="16"/>
            <w:szCs w:val="16"/>
            <w:u w:val="single" w:color="auto"/>
            <w:color w:val="0000FF"/>
          </w:rPr>
          <w:t>Exchange Act of 1934, as amended, as adopted pursuant to</w:t>
        </w:r>
      </w:hyperlink>
      <w:r>
        <w:rPr>
          <w:rFonts w:ascii="Arial" w:cs="Arial" w:eastAsia="Arial" w:hAnsi="Arial"/>
          <w:sz w:val="16"/>
          <w:szCs w:val="16"/>
          <w:u w:val="single" w:color="auto"/>
          <w:color w:val="0000FF"/>
        </w:rPr>
        <w:t xml:space="preserve"> </w:t>
      </w:r>
      <w:hyperlink w:anchor="page93">
        <w:r>
          <w:rPr>
            <w:rFonts w:ascii="Arial" w:cs="Arial" w:eastAsia="Arial" w:hAnsi="Arial"/>
            <w:sz w:val="16"/>
            <w:szCs w:val="16"/>
            <w:u w:val="single" w:color="auto"/>
            <w:color w:val="0000FF"/>
          </w:rPr>
          <w:t>Section 302 of the Sarbanes-Oxley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810895</wp:posOffset>
            </wp:positionH>
            <wp:positionV relativeFrom="paragraph">
              <wp:posOffset>-363855</wp:posOffset>
            </wp:positionV>
            <wp:extent cx="2837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283718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-252095</wp:posOffset>
            </wp:positionV>
            <wp:extent cx="27222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272224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-140970</wp:posOffset>
            </wp:positionV>
            <wp:extent cx="27285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272859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-29210</wp:posOffset>
            </wp:positionV>
            <wp:extent cx="2167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80" w:lineRule="exact"/>
        <w:rPr>
          <w:rFonts w:ascii="Arial" w:cs="Arial" w:eastAsia="Arial" w:hAnsi="Arial"/>
          <w:sz w:val="16"/>
          <w:szCs w:val="16"/>
          <w:u w:val="single" w:color="auto"/>
          <w:color w:val="0000FF"/>
        </w:rPr>
      </w:pPr>
    </w:p>
    <w:p>
      <w:pPr>
        <w:ind w:left="1280" w:right="40" w:hanging="858"/>
        <w:spacing w:after="0" w:line="249"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94">
        <w:r>
          <w:rPr>
            <w:rFonts w:ascii="Arial" w:cs="Arial" w:eastAsia="Arial" w:hAnsi="Arial"/>
            <w:sz w:val="16"/>
            <w:szCs w:val="16"/>
            <w:u w:val="single" w:color="auto"/>
            <w:color w:val="0000FF"/>
          </w:rPr>
          <w:t>Certification of Principal Financial Officer pursuant to Rules</w:t>
        </w:r>
      </w:hyperlink>
      <w:r>
        <w:rPr>
          <w:rFonts w:ascii="Arial" w:cs="Arial" w:eastAsia="Arial" w:hAnsi="Arial"/>
          <w:sz w:val="16"/>
          <w:szCs w:val="16"/>
          <w:u w:val="single" w:color="auto"/>
          <w:color w:val="0000FF"/>
        </w:rPr>
        <w:t xml:space="preserve"> </w:t>
      </w:r>
      <w:hyperlink w:anchor="page94">
        <w:r>
          <w:rPr>
            <w:rFonts w:ascii="Arial" w:cs="Arial" w:eastAsia="Arial" w:hAnsi="Arial"/>
            <w:sz w:val="16"/>
            <w:szCs w:val="16"/>
            <w:u w:val="single" w:color="auto"/>
            <w:color w:val="0000FF"/>
          </w:rPr>
          <w:t>13a-14 and 15-d-14 promulgated pursuant to the Securities</w:t>
        </w:r>
      </w:hyperlink>
      <w:r>
        <w:rPr>
          <w:rFonts w:ascii="Arial" w:cs="Arial" w:eastAsia="Arial" w:hAnsi="Arial"/>
          <w:sz w:val="16"/>
          <w:szCs w:val="16"/>
          <w:u w:val="single" w:color="auto"/>
          <w:color w:val="0000FF"/>
        </w:rPr>
        <w:t xml:space="preserve"> </w:t>
      </w:r>
      <w:hyperlink w:anchor="page94">
        <w:r>
          <w:rPr>
            <w:rFonts w:ascii="Arial" w:cs="Arial" w:eastAsia="Arial" w:hAnsi="Arial"/>
            <w:sz w:val="16"/>
            <w:szCs w:val="16"/>
            <w:u w:val="single" w:color="auto"/>
            <w:color w:val="0000FF"/>
          </w:rPr>
          <w:t>Exchange Act of 1934, as amended, as adopted pursuant to</w:t>
        </w:r>
      </w:hyperlink>
      <w:r>
        <w:rPr>
          <w:rFonts w:ascii="Arial" w:cs="Arial" w:eastAsia="Arial" w:hAnsi="Arial"/>
          <w:sz w:val="16"/>
          <w:szCs w:val="16"/>
          <w:u w:val="single" w:color="auto"/>
          <w:color w:val="0000FF"/>
        </w:rPr>
        <w:t xml:space="preserve"> </w:t>
      </w:r>
      <w:hyperlink w:anchor="page94">
        <w:r>
          <w:rPr>
            <w:rFonts w:ascii="Arial" w:cs="Arial" w:eastAsia="Arial" w:hAnsi="Arial"/>
            <w:sz w:val="16"/>
            <w:szCs w:val="16"/>
            <w:u w:val="single" w:color="auto"/>
            <w:color w:val="0000FF"/>
          </w:rPr>
          <w:t>Section 302 of the Sarbanes-Oxley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810895</wp:posOffset>
            </wp:positionH>
            <wp:positionV relativeFrom="paragraph">
              <wp:posOffset>-363855</wp:posOffset>
            </wp:positionV>
            <wp:extent cx="28092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280924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-252095</wp:posOffset>
            </wp:positionV>
            <wp:extent cx="27222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272224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-140970</wp:posOffset>
            </wp:positionV>
            <wp:extent cx="27285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272859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-29210</wp:posOffset>
            </wp:positionV>
            <wp:extent cx="2167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2167255" cy="889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tabs>
          <w:tab w:leader="none" w:pos="1200" w:val="left"/>
          <w:tab w:leader="none" w:pos="2320" w:val="left"/>
          <w:tab w:leader="none" w:pos="3380" w:val="left"/>
        </w:tabs>
        <w:rPr>
          <w:sz w:val="20"/>
          <w:szCs w:val="20"/>
          <w:color w:val="auto"/>
        </w:rPr>
      </w:pP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7"/>
          <w:szCs w:val="17"/>
          <w:color w:val="auto"/>
        </w:rPr>
        <w:t>Filed herewith</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57" w:lineRule="exact"/>
        <w:rPr>
          <w:rFonts w:ascii="Arial" w:cs="Arial" w:eastAsia="Arial" w:hAnsi="Arial"/>
          <w:sz w:val="16"/>
          <w:szCs w:val="16"/>
          <w:u w:val="single" w:color="auto"/>
          <w:color w:val="0000FF"/>
        </w:rPr>
      </w:pPr>
    </w:p>
    <w:p>
      <w:pPr>
        <w:spacing w:after="0"/>
        <w:tabs>
          <w:tab w:leader="none" w:pos="1200" w:val="left"/>
          <w:tab w:leader="none" w:pos="2320" w:val="left"/>
          <w:tab w:leader="none" w:pos="3380" w:val="left"/>
        </w:tabs>
        <w:rPr>
          <w:sz w:val="20"/>
          <w:szCs w:val="20"/>
          <w:color w:val="auto"/>
        </w:rPr>
      </w:pP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7"/>
          <w:szCs w:val="17"/>
          <w:color w:val="auto"/>
        </w:rPr>
        <w:t>Filed herewith</w:t>
      </w:r>
    </w:p>
    <w:p>
      <w:pPr>
        <w:spacing w:after="0" w:line="639" w:lineRule="exact"/>
        <w:rPr>
          <w:rFonts w:ascii="Arial" w:cs="Arial" w:eastAsia="Arial" w:hAnsi="Arial"/>
          <w:sz w:val="16"/>
          <w:szCs w:val="16"/>
          <w:u w:val="single" w:color="auto"/>
          <w:color w:val="0000FF"/>
        </w:rPr>
      </w:pPr>
    </w:p>
    <w:p>
      <w:pPr>
        <w:sectPr>
          <w:pgSz w:w="11900" w:h="16838" w:orient="portrait"/>
          <w:cols w:equalWidth="0" w:num="2">
            <w:col w:w="5700" w:space="660"/>
            <w:col w:w="4640"/>
          </w:cols>
          <w:pgMar w:left="320" w:top="324" w:right="579" w:bottom="1440" w:gutter="0" w:footer="0" w:header="0"/>
          <w:type w:val="continuous"/>
        </w:sectPr>
      </w:pPr>
    </w:p>
    <w:tbl>
      <w:tblPr>
        <w:tblLayout w:type="fixed"/>
        <w:tblInd w:w="240" w:type="dxa"/>
        <w:tblCellMar>
          <w:top w:w="0" w:type="dxa"/>
          <w:left w:w="0" w:type="dxa"/>
          <w:bottom w:w="0" w:type="dxa"/>
          <w:right w:w="0" w:type="dxa"/>
        </w:tblCellMar>
      </w:tblPr>
      <w:tr>
        <w:trPr>
          <w:trHeight w:val="20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32.1</w:t>
            </w:r>
          </w:p>
        </w:tc>
        <w:tc>
          <w:tcPr>
            <w:tcW w:w="4760" w:type="dxa"/>
            <w:vAlign w:val="bottom"/>
            <w:gridSpan w:val="6"/>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Certification of Principal Executive Officer and Principal</w:t>
              </w:r>
            </w:hyperlink>
          </w:p>
        </w:tc>
        <w:tc>
          <w:tcPr>
            <w:tcW w:w="1020" w:type="dxa"/>
            <w:vAlign w:val="bottom"/>
          </w:tcPr>
          <w:p>
            <w:pPr>
              <w:ind w:left="320"/>
              <w:spacing w:after="0"/>
              <w:rPr>
                <w:sz w:val="20"/>
                <w:szCs w:val="20"/>
                <w:color w:val="auto"/>
              </w:rPr>
            </w:pPr>
            <w:r>
              <w:rPr>
                <w:rFonts w:ascii="Arial" w:cs="Arial" w:eastAsia="Arial" w:hAnsi="Arial"/>
                <w:sz w:val="18"/>
                <w:szCs w:val="18"/>
                <w:color w:val="252525"/>
              </w:rPr>
              <w:t>—</w:t>
            </w:r>
          </w:p>
        </w:tc>
        <w:tc>
          <w:tcPr>
            <w:tcW w:w="1160" w:type="dxa"/>
            <w:vAlign w:val="bottom"/>
          </w:tcPr>
          <w:p>
            <w:pPr>
              <w:ind w:left="520"/>
              <w:spacing w:after="0"/>
              <w:rPr>
                <w:sz w:val="20"/>
                <w:szCs w:val="20"/>
                <w:color w:val="auto"/>
              </w:rPr>
            </w:pPr>
            <w:r>
              <w:rPr>
                <w:rFonts w:ascii="Arial" w:cs="Arial" w:eastAsia="Arial" w:hAnsi="Arial"/>
                <w:sz w:val="18"/>
                <w:szCs w:val="18"/>
                <w:color w:val="252525"/>
              </w:rPr>
              <w:t>—</w:t>
            </w:r>
          </w:p>
        </w:tc>
        <w:tc>
          <w:tcPr>
            <w:tcW w:w="1100" w:type="dxa"/>
            <w:vAlign w:val="bottom"/>
          </w:tcPr>
          <w:p>
            <w:pPr>
              <w:ind w:left="480"/>
              <w:spacing w:after="0"/>
              <w:rPr>
                <w:sz w:val="20"/>
                <w:szCs w:val="20"/>
                <w:color w:val="auto"/>
              </w:rPr>
            </w:pPr>
            <w:r>
              <w:rPr>
                <w:rFonts w:ascii="Arial" w:cs="Arial" w:eastAsia="Arial" w:hAnsi="Arial"/>
                <w:sz w:val="18"/>
                <w:szCs w:val="18"/>
                <w:color w:val="252525"/>
              </w:rPr>
              <w:t>—</w:t>
            </w:r>
          </w:p>
        </w:tc>
        <w:tc>
          <w:tcPr>
            <w:tcW w:w="1500" w:type="dxa"/>
            <w:vAlign w:val="bottom"/>
          </w:tcPr>
          <w:p>
            <w:pPr>
              <w:ind w:left="440"/>
              <w:spacing w:after="0"/>
              <w:rPr>
                <w:sz w:val="20"/>
                <w:szCs w:val="20"/>
                <w:color w:val="auto"/>
              </w:rPr>
            </w:pPr>
            <w:r>
              <w:rPr>
                <w:rFonts w:ascii="Arial" w:cs="Arial" w:eastAsia="Arial" w:hAnsi="Arial"/>
                <w:sz w:val="18"/>
                <w:szCs w:val="18"/>
                <w:color w:val="auto"/>
                <w:w w:val="92"/>
              </w:rPr>
              <w:t>Filed herewith</w:t>
            </w:r>
          </w:p>
        </w:tc>
      </w:tr>
      <w:tr>
        <w:trPr>
          <w:trHeight w:val="155"/>
        </w:trPr>
        <w:tc>
          <w:tcPr>
            <w:tcW w:w="104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95">
              <w:r>
                <w:rPr>
                  <w:rFonts w:ascii="Arial" w:cs="Arial" w:eastAsia="Arial" w:hAnsi="Arial"/>
                  <w:sz w:val="18"/>
                  <w:szCs w:val="18"/>
                  <w:color w:val="0000FF"/>
                  <w:w w:val="91"/>
                </w:rPr>
                <w:t>Financial Officer pursuant to 18 U.S.C. Section 1350, as</w:t>
              </w:r>
            </w:hyperlink>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4760" w:type="dxa"/>
            <w:vAlign w:val="bottom"/>
            <w:gridSpan w:val="6"/>
          </w:tcPr>
          <w:p>
            <w:pPr>
              <w:spacing w:after="0" w:line="156" w:lineRule="exact"/>
              <w:rPr>
                <w:rFonts w:ascii="Arial" w:cs="Arial" w:eastAsia="Arial" w:hAnsi="Arial"/>
                <w:sz w:val="18"/>
                <w:szCs w:val="18"/>
                <w:color w:val="0000FF"/>
                <w:w w:val="99"/>
              </w:rPr>
            </w:pPr>
            <w:hyperlink w:anchor="page95">
              <w:r>
                <w:rPr>
                  <w:rFonts w:ascii="Arial" w:cs="Arial" w:eastAsia="Arial" w:hAnsi="Arial"/>
                  <w:sz w:val="18"/>
                  <w:szCs w:val="18"/>
                  <w:color w:val="0000FF"/>
                  <w:w w:val="99"/>
                </w:rPr>
                <w:t>adopted pursuant to Section 906 of the Sarbanes-Oxley Act</w:t>
              </w:r>
            </w:hyperlink>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95">
              <w:r>
                <w:rPr>
                  <w:rFonts w:ascii="Arial" w:cs="Arial" w:eastAsia="Arial" w:hAnsi="Arial"/>
                  <w:sz w:val="18"/>
                  <w:szCs w:val="18"/>
                  <w:color w:val="0000FF"/>
                  <w:w w:val="89"/>
                </w:rPr>
                <w:t>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3740" w:type="dxa"/>
            <w:vAlign w:val="bottom"/>
            <w:tcBorders>
              <w:top w:val="single" w:sz="8" w:color="0000FF"/>
            </w:tcBorders>
            <w:gridSpan w:val="3"/>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344"/>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2"/>
              </w:rPr>
              <w:t>101.INS</w:t>
            </w:r>
          </w:p>
        </w:tc>
        <w:tc>
          <w:tcPr>
            <w:tcW w:w="4760" w:type="dxa"/>
            <w:vAlign w:val="bottom"/>
            <w:gridSpan w:val="6"/>
          </w:tcPr>
          <w:p>
            <w:pPr>
              <w:spacing w:after="0"/>
              <w:rPr>
                <w:sz w:val="20"/>
                <w:szCs w:val="20"/>
                <w:color w:val="auto"/>
              </w:rPr>
            </w:pPr>
            <w:r>
              <w:rPr>
                <w:rFonts w:ascii="Arial" w:cs="Arial" w:eastAsia="Arial" w:hAnsi="Arial"/>
                <w:sz w:val="18"/>
                <w:szCs w:val="18"/>
                <w:color w:val="auto"/>
              </w:rPr>
              <w:t xml:space="preserve">Inline XBRL Instance Document </w:t>
            </w:r>
            <w:r>
              <w:rPr>
                <w:rFonts w:ascii="Arial" w:cs="Arial" w:eastAsia="Arial" w:hAnsi="Arial"/>
                <w:sz w:val="21"/>
                <w:szCs w:val="21"/>
                <w:color w:val="auto"/>
              </w:rPr>
              <w:t>–</w:t>
            </w:r>
            <w:r>
              <w:rPr>
                <w:rFonts w:ascii="Arial" w:cs="Arial" w:eastAsia="Arial" w:hAnsi="Arial"/>
                <w:sz w:val="18"/>
                <w:szCs w:val="18"/>
                <w:color w:val="auto"/>
              </w:rPr>
              <w:t xml:space="preserve"> the instance document</w:t>
            </w:r>
          </w:p>
        </w:tc>
        <w:tc>
          <w:tcPr>
            <w:tcW w:w="1020" w:type="dxa"/>
            <w:vAlign w:val="bottom"/>
          </w:tcPr>
          <w:p>
            <w:pPr>
              <w:ind w:left="320"/>
              <w:spacing w:after="0"/>
              <w:rPr>
                <w:sz w:val="20"/>
                <w:szCs w:val="20"/>
                <w:color w:val="auto"/>
              </w:rPr>
            </w:pPr>
            <w:r>
              <w:rPr>
                <w:rFonts w:ascii="Arial" w:cs="Arial" w:eastAsia="Arial" w:hAnsi="Arial"/>
                <w:sz w:val="18"/>
                <w:szCs w:val="18"/>
                <w:color w:val="252525"/>
              </w:rPr>
              <w:t>—</w:t>
            </w:r>
          </w:p>
        </w:tc>
        <w:tc>
          <w:tcPr>
            <w:tcW w:w="1160" w:type="dxa"/>
            <w:vAlign w:val="bottom"/>
          </w:tcPr>
          <w:p>
            <w:pPr>
              <w:ind w:left="520"/>
              <w:spacing w:after="0"/>
              <w:rPr>
                <w:sz w:val="20"/>
                <w:szCs w:val="20"/>
                <w:color w:val="auto"/>
              </w:rPr>
            </w:pPr>
            <w:r>
              <w:rPr>
                <w:rFonts w:ascii="Arial" w:cs="Arial" w:eastAsia="Arial" w:hAnsi="Arial"/>
                <w:sz w:val="18"/>
                <w:szCs w:val="18"/>
                <w:color w:val="252525"/>
              </w:rPr>
              <w:t>—</w:t>
            </w:r>
          </w:p>
        </w:tc>
        <w:tc>
          <w:tcPr>
            <w:tcW w:w="1100" w:type="dxa"/>
            <w:vAlign w:val="bottom"/>
          </w:tcPr>
          <w:p>
            <w:pPr>
              <w:ind w:left="480"/>
              <w:spacing w:after="0"/>
              <w:rPr>
                <w:sz w:val="20"/>
                <w:szCs w:val="20"/>
                <w:color w:val="auto"/>
              </w:rPr>
            </w:pPr>
            <w:r>
              <w:rPr>
                <w:rFonts w:ascii="Arial" w:cs="Arial" w:eastAsia="Arial" w:hAnsi="Arial"/>
                <w:sz w:val="18"/>
                <w:szCs w:val="18"/>
                <w:color w:val="252525"/>
              </w:rPr>
              <w:t>—</w:t>
            </w:r>
          </w:p>
        </w:tc>
        <w:tc>
          <w:tcPr>
            <w:tcW w:w="1500" w:type="dxa"/>
            <w:vAlign w:val="bottom"/>
          </w:tcPr>
          <w:p>
            <w:pPr>
              <w:ind w:left="440"/>
              <w:spacing w:after="0"/>
              <w:rPr>
                <w:sz w:val="20"/>
                <w:szCs w:val="20"/>
                <w:color w:val="auto"/>
              </w:rPr>
            </w:pPr>
            <w:r>
              <w:rPr>
                <w:rFonts w:ascii="Arial" w:cs="Arial" w:eastAsia="Arial" w:hAnsi="Arial"/>
                <w:sz w:val="18"/>
                <w:szCs w:val="18"/>
                <w:color w:val="auto"/>
                <w:w w:val="92"/>
              </w:rPr>
              <w:t>Filed herewith</w:t>
            </w:r>
          </w:p>
        </w:tc>
      </w:tr>
      <w:tr>
        <w:trPr>
          <w:trHeight w:val="176"/>
        </w:trPr>
        <w:tc>
          <w:tcPr>
            <w:tcW w:w="1040" w:type="dxa"/>
            <w:vAlign w:val="bottom"/>
          </w:tcPr>
          <w:p>
            <w:pPr>
              <w:spacing w:after="0"/>
              <w:rPr>
                <w:sz w:val="15"/>
                <w:szCs w:val="15"/>
                <w:color w:val="auto"/>
              </w:rPr>
            </w:pPr>
          </w:p>
        </w:tc>
        <w:tc>
          <w:tcPr>
            <w:tcW w:w="4760" w:type="dxa"/>
            <w:vAlign w:val="bottom"/>
            <w:gridSpan w:val="6"/>
          </w:tcPr>
          <w:p>
            <w:pPr>
              <w:spacing w:after="0" w:line="176" w:lineRule="exact"/>
              <w:rPr>
                <w:sz w:val="20"/>
                <w:szCs w:val="20"/>
                <w:color w:val="auto"/>
              </w:rPr>
            </w:pPr>
            <w:r>
              <w:rPr>
                <w:rFonts w:ascii="Arial" w:cs="Arial" w:eastAsia="Arial" w:hAnsi="Arial"/>
                <w:sz w:val="18"/>
                <w:szCs w:val="18"/>
                <w:color w:val="auto"/>
                <w:w w:val="96"/>
              </w:rPr>
              <w:t>does not appear in the Interactive Data File because its XBRL</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2"/>
        </w:trPr>
        <w:tc>
          <w:tcPr>
            <w:tcW w:w="1040" w:type="dxa"/>
            <w:vAlign w:val="bottom"/>
          </w:tcPr>
          <w:p>
            <w:pPr>
              <w:spacing w:after="0"/>
              <w:rPr>
                <w:sz w:val="17"/>
                <w:szCs w:val="17"/>
                <w:color w:val="auto"/>
              </w:rPr>
            </w:pPr>
          </w:p>
        </w:tc>
        <w:tc>
          <w:tcPr>
            <w:tcW w:w="4760" w:type="dxa"/>
            <w:vAlign w:val="bottom"/>
            <w:gridSpan w:val="6"/>
          </w:tcPr>
          <w:p>
            <w:pPr>
              <w:spacing w:after="0" w:line="201" w:lineRule="exact"/>
              <w:rPr>
                <w:sz w:val="20"/>
                <w:szCs w:val="20"/>
                <w:color w:val="auto"/>
              </w:rPr>
            </w:pPr>
            <w:r>
              <w:rPr>
                <w:rFonts w:ascii="Arial" w:cs="Arial" w:eastAsia="Arial" w:hAnsi="Arial"/>
                <w:sz w:val="18"/>
                <w:szCs w:val="18"/>
                <w:color w:val="auto"/>
              </w:rPr>
              <w:t>tags are embedded within the Inline XBRL document.</w:t>
            </w: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104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0"/>
              </w:rPr>
              <w:t>101.SCH</w:t>
            </w:r>
          </w:p>
        </w:tc>
        <w:tc>
          <w:tcPr>
            <w:tcW w:w="4760" w:type="dxa"/>
            <w:vAlign w:val="bottom"/>
            <w:gridSpan w:val="6"/>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1020" w:type="dxa"/>
            <w:vAlign w:val="bottom"/>
          </w:tcPr>
          <w:p>
            <w:pPr>
              <w:ind w:left="320"/>
              <w:spacing w:after="0" w:line="202" w:lineRule="exact"/>
              <w:rPr>
                <w:sz w:val="20"/>
                <w:szCs w:val="20"/>
                <w:color w:val="auto"/>
              </w:rPr>
            </w:pPr>
            <w:r>
              <w:rPr>
                <w:rFonts w:ascii="Arial" w:cs="Arial" w:eastAsia="Arial" w:hAnsi="Arial"/>
                <w:sz w:val="18"/>
                <w:szCs w:val="18"/>
                <w:color w:val="252525"/>
              </w:rPr>
              <w:t>—</w:t>
            </w:r>
          </w:p>
        </w:tc>
        <w:tc>
          <w:tcPr>
            <w:tcW w:w="1160" w:type="dxa"/>
            <w:vAlign w:val="bottom"/>
          </w:tcPr>
          <w:p>
            <w:pPr>
              <w:ind w:left="520"/>
              <w:spacing w:after="0" w:line="202" w:lineRule="exact"/>
              <w:rPr>
                <w:sz w:val="20"/>
                <w:szCs w:val="20"/>
                <w:color w:val="auto"/>
              </w:rPr>
            </w:pPr>
            <w:r>
              <w:rPr>
                <w:rFonts w:ascii="Arial" w:cs="Arial" w:eastAsia="Arial" w:hAnsi="Arial"/>
                <w:sz w:val="18"/>
                <w:szCs w:val="18"/>
                <w:color w:val="252525"/>
              </w:rPr>
              <w:t>—</w:t>
            </w:r>
          </w:p>
        </w:tc>
        <w:tc>
          <w:tcPr>
            <w:tcW w:w="1100" w:type="dxa"/>
            <w:vAlign w:val="bottom"/>
          </w:tcPr>
          <w:p>
            <w:pPr>
              <w:ind w:left="480"/>
              <w:spacing w:after="0" w:line="202" w:lineRule="exact"/>
              <w:rPr>
                <w:sz w:val="20"/>
                <w:szCs w:val="20"/>
                <w:color w:val="auto"/>
              </w:rPr>
            </w:pPr>
            <w:r>
              <w:rPr>
                <w:rFonts w:ascii="Arial" w:cs="Arial" w:eastAsia="Arial" w:hAnsi="Arial"/>
                <w:sz w:val="18"/>
                <w:szCs w:val="18"/>
                <w:color w:val="252525"/>
              </w:rPr>
              <w:t>—</w:t>
            </w:r>
          </w:p>
        </w:tc>
        <w:tc>
          <w:tcPr>
            <w:tcW w:w="1500" w:type="dxa"/>
            <w:vAlign w:val="bottom"/>
          </w:tcPr>
          <w:p>
            <w:pPr>
              <w:ind w:left="440"/>
              <w:spacing w:after="0" w:line="202" w:lineRule="exact"/>
              <w:rPr>
                <w:sz w:val="20"/>
                <w:szCs w:val="20"/>
                <w:color w:val="auto"/>
              </w:rPr>
            </w:pPr>
            <w:r>
              <w:rPr>
                <w:rFonts w:ascii="Arial" w:cs="Arial" w:eastAsia="Arial" w:hAnsi="Arial"/>
                <w:sz w:val="18"/>
                <w:szCs w:val="18"/>
                <w:color w:val="auto"/>
                <w:w w:val="92"/>
              </w:rPr>
              <w:t>Filed herewith</w:t>
            </w:r>
          </w:p>
        </w:tc>
      </w:tr>
      <w:tr>
        <w:trPr>
          <w:trHeight w:val="176"/>
        </w:trPr>
        <w:tc>
          <w:tcPr>
            <w:tcW w:w="10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97"/>
              </w:rPr>
              <w:t>101.CAL</w:t>
            </w:r>
          </w:p>
        </w:tc>
        <w:tc>
          <w:tcPr>
            <w:tcW w:w="4760" w:type="dxa"/>
            <w:vAlign w:val="bottom"/>
            <w:gridSpan w:val="6"/>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1020" w:type="dxa"/>
            <w:vAlign w:val="bottom"/>
          </w:tcPr>
          <w:p>
            <w:pPr>
              <w:ind w:left="320"/>
              <w:spacing w:after="0" w:line="176" w:lineRule="exact"/>
              <w:rPr>
                <w:sz w:val="20"/>
                <w:szCs w:val="20"/>
                <w:color w:val="auto"/>
              </w:rPr>
            </w:pPr>
            <w:r>
              <w:rPr>
                <w:rFonts w:ascii="Arial" w:cs="Arial" w:eastAsia="Arial" w:hAnsi="Arial"/>
                <w:sz w:val="18"/>
                <w:szCs w:val="18"/>
                <w:color w:val="252525"/>
              </w:rPr>
              <w:t>—</w:t>
            </w:r>
          </w:p>
        </w:tc>
        <w:tc>
          <w:tcPr>
            <w:tcW w:w="1160" w:type="dxa"/>
            <w:vAlign w:val="bottom"/>
          </w:tcPr>
          <w:p>
            <w:pPr>
              <w:ind w:left="520"/>
              <w:spacing w:after="0" w:line="176" w:lineRule="exact"/>
              <w:rPr>
                <w:sz w:val="20"/>
                <w:szCs w:val="20"/>
                <w:color w:val="auto"/>
              </w:rPr>
            </w:pPr>
            <w:r>
              <w:rPr>
                <w:rFonts w:ascii="Arial" w:cs="Arial" w:eastAsia="Arial" w:hAnsi="Arial"/>
                <w:sz w:val="18"/>
                <w:szCs w:val="18"/>
                <w:color w:val="252525"/>
              </w:rPr>
              <w:t>—</w:t>
            </w:r>
          </w:p>
        </w:tc>
        <w:tc>
          <w:tcPr>
            <w:tcW w:w="1100" w:type="dxa"/>
            <w:vAlign w:val="bottom"/>
          </w:tcPr>
          <w:p>
            <w:pPr>
              <w:ind w:left="480"/>
              <w:spacing w:after="0" w:line="176" w:lineRule="exact"/>
              <w:rPr>
                <w:sz w:val="20"/>
                <w:szCs w:val="20"/>
                <w:color w:val="auto"/>
              </w:rPr>
            </w:pPr>
            <w:r>
              <w:rPr>
                <w:rFonts w:ascii="Arial" w:cs="Arial" w:eastAsia="Arial" w:hAnsi="Arial"/>
                <w:sz w:val="18"/>
                <w:szCs w:val="18"/>
                <w:color w:val="252525"/>
              </w:rPr>
              <w:t>—</w:t>
            </w:r>
          </w:p>
        </w:tc>
        <w:tc>
          <w:tcPr>
            <w:tcW w:w="1500" w:type="dxa"/>
            <w:vAlign w:val="bottom"/>
          </w:tcPr>
          <w:p>
            <w:pPr>
              <w:ind w:left="440"/>
              <w:spacing w:after="0" w:line="176" w:lineRule="exact"/>
              <w:rPr>
                <w:sz w:val="20"/>
                <w:szCs w:val="20"/>
                <w:color w:val="auto"/>
              </w:rPr>
            </w:pPr>
            <w:r>
              <w:rPr>
                <w:rFonts w:ascii="Arial" w:cs="Arial" w:eastAsia="Arial" w:hAnsi="Arial"/>
                <w:sz w:val="18"/>
                <w:szCs w:val="18"/>
                <w:color w:val="auto"/>
                <w:w w:val="92"/>
              </w:rPr>
              <w:t>Filed herewith</w:t>
            </w:r>
          </w:p>
        </w:tc>
      </w:tr>
      <w:tr>
        <w:trPr>
          <w:trHeight w:val="202"/>
        </w:trPr>
        <w:tc>
          <w:tcPr>
            <w:tcW w:w="1040" w:type="dxa"/>
            <w:vAlign w:val="bottom"/>
          </w:tcPr>
          <w:p>
            <w:pPr>
              <w:spacing w:after="0"/>
              <w:rPr>
                <w:sz w:val="17"/>
                <w:szCs w:val="17"/>
                <w:color w:val="auto"/>
              </w:rPr>
            </w:pPr>
          </w:p>
        </w:tc>
        <w:tc>
          <w:tcPr>
            <w:tcW w:w="4760" w:type="dxa"/>
            <w:vAlign w:val="bottom"/>
            <w:gridSpan w:val="6"/>
          </w:tcPr>
          <w:p>
            <w:pPr>
              <w:spacing w:after="0" w:line="201" w:lineRule="exact"/>
              <w:rPr>
                <w:sz w:val="20"/>
                <w:szCs w:val="20"/>
                <w:color w:val="auto"/>
              </w:rPr>
            </w:pPr>
            <w:r>
              <w:rPr>
                <w:rFonts w:ascii="Arial" w:cs="Arial" w:eastAsia="Arial" w:hAnsi="Arial"/>
                <w:sz w:val="18"/>
                <w:szCs w:val="18"/>
                <w:color w:val="auto"/>
              </w:rPr>
              <w:t>Document</w:t>
            </w: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6"/>
        </w:trPr>
        <w:tc>
          <w:tcPr>
            <w:tcW w:w="1040" w:type="dxa"/>
            <w:vAlign w:val="bottom"/>
          </w:tcPr>
          <w:p>
            <w:pPr>
              <w:jc w:val="center"/>
              <w:ind w:right="290"/>
              <w:spacing w:after="0" w:line="176" w:lineRule="exact"/>
              <w:rPr>
                <w:sz w:val="20"/>
                <w:szCs w:val="20"/>
                <w:color w:val="auto"/>
              </w:rPr>
            </w:pPr>
            <w:r>
              <w:rPr>
                <w:rFonts w:ascii="Arial" w:cs="Arial" w:eastAsia="Arial" w:hAnsi="Arial"/>
                <w:sz w:val="18"/>
                <w:szCs w:val="18"/>
                <w:color w:val="auto"/>
                <w:w w:val="92"/>
              </w:rPr>
              <w:t>101.DEF</w:t>
            </w:r>
          </w:p>
        </w:tc>
        <w:tc>
          <w:tcPr>
            <w:tcW w:w="4760" w:type="dxa"/>
            <w:vAlign w:val="bottom"/>
            <w:gridSpan w:val="6"/>
          </w:tcPr>
          <w:p>
            <w:pPr>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1020" w:type="dxa"/>
            <w:vAlign w:val="bottom"/>
          </w:tcPr>
          <w:p>
            <w:pPr>
              <w:ind w:left="320"/>
              <w:spacing w:after="0" w:line="176" w:lineRule="exact"/>
              <w:rPr>
                <w:sz w:val="20"/>
                <w:szCs w:val="20"/>
                <w:color w:val="auto"/>
              </w:rPr>
            </w:pPr>
            <w:r>
              <w:rPr>
                <w:rFonts w:ascii="Arial" w:cs="Arial" w:eastAsia="Arial" w:hAnsi="Arial"/>
                <w:sz w:val="18"/>
                <w:szCs w:val="18"/>
                <w:color w:val="252525"/>
              </w:rPr>
              <w:t>—</w:t>
            </w:r>
          </w:p>
        </w:tc>
        <w:tc>
          <w:tcPr>
            <w:tcW w:w="1160" w:type="dxa"/>
            <w:vAlign w:val="bottom"/>
          </w:tcPr>
          <w:p>
            <w:pPr>
              <w:ind w:left="520"/>
              <w:spacing w:after="0" w:line="176" w:lineRule="exact"/>
              <w:rPr>
                <w:sz w:val="20"/>
                <w:szCs w:val="20"/>
                <w:color w:val="auto"/>
              </w:rPr>
            </w:pPr>
            <w:r>
              <w:rPr>
                <w:rFonts w:ascii="Arial" w:cs="Arial" w:eastAsia="Arial" w:hAnsi="Arial"/>
                <w:sz w:val="18"/>
                <w:szCs w:val="18"/>
                <w:color w:val="252525"/>
              </w:rPr>
              <w:t>—</w:t>
            </w:r>
          </w:p>
        </w:tc>
        <w:tc>
          <w:tcPr>
            <w:tcW w:w="1100" w:type="dxa"/>
            <w:vAlign w:val="bottom"/>
          </w:tcPr>
          <w:p>
            <w:pPr>
              <w:ind w:left="480"/>
              <w:spacing w:after="0" w:line="176" w:lineRule="exact"/>
              <w:rPr>
                <w:sz w:val="20"/>
                <w:szCs w:val="20"/>
                <w:color w:val="auto"/>
              </w:rPr>
            </w:pPr>
            <w:r>
              <w:rPr>
                <w:rFonts w:ascii="Arial" w:cs="Arial" w:eastAsia="Arial" w:hAnsi="Arial"/>
                <w:sz w:val="18"/>
                <w:szCs w:val="18"/>
                <w:color w:val="252525"/>
              </w:rPr>
              <w:t>—</w:t>
            </w:r>
          </w:p>
        </w:tc>
        <w:tc>
          <w:tcPr>
            <w:tcW w:w="1500" w:type="dxa"/>
            <w:vAlign w:val="bottom"/>
          </w:tcPr>
          <w:p>
            <w:pPr>
              <w:ind w:left="440"/>
              <w:spacing w:after="0" w:line="176" w:lineRule="exact"/>
              <w:rPr>
                <w:sz w:val="20"/>
                <w:szCs w:val="20"/>
                <w:color w:val="auto"/>
              </w:rPr>
            </w:pPr>
            <w:r>
              <w:rPr>
                <w:rFonts w:ascii="Arial" w:cs="Arial" w:eastAsia="Arial" w:hAnsi="Arial"/>
                <w:sz w:val="18"/>
                <w:szCs w:val="18"/>
                <w:color w:val="auto"/>
                <w:w w:val="92"/>
              </w:rPr>
              <w:t>Filed herewith</w:t>
            </w:r>
          </w:p>
        </w:tc>
      </w:tr>
      <w:tr>
        <w:trPr>
          <w:trHeight w:val="202"/>
        </w:trPr>
        <w:tc>
          <w:tcPr>
            <w:tcW w:w="1040" w:type="dxa"/>
            <w:vAlign w:val="bottom"/>
          </w:tcPr>
          <w:p>
            <w:pPr>
              <w:spacing w:after="0"/>
              <w:rPr>
                <w:sz w:val="17"/>
                <w:szCs w:val="17"/>
                <w:color w:val="auto"/>
              </w:rPr>
            </w:pPr>
          </w:p>
        </w:tc>
        <w:tc>
          <w:tcPr>
            <w:tcW w:w="4760" w:type="dxa"/>
            <w:vAlign w:val="bottom"/>
            <w:gridSpan w:val="6"/>
          </w:tcPr>
          <w:p>
            <w:pPr>
              <w:spacing w:after="0" w:line="201" w:lineRule="exact"/>
              <w:rPr>
                <w:sz w:val="20"/>
                <w:szCs w:val="20"/>
                <w:color w:val="auto"/>
              </w:rPr>
            </w:pPr>
            <w:r>
              <w:rPr>
                <w:rFonts w:ascii="Arial" w:cs="Arial" w:eastAsia="Arial" w:hAnsi="Arial"/>
                <w:sz w:val="18"/>
                <w:szCs w:val="18"/>
                <w:color w:val="auto"/>
              </w:rPr>
              <w:t>Document</w:t>
            </w: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6"/>
        </w:trPr>
        <w:tc>
          <w:tcPr>
            <w:tcW w:w="10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98"/>
              </w:rPr>
              <w:t>101.LAB</w:t>
            </w:r>
          </w:p>
        </w:tc>
        <w:tc>
          <w:tcPr>
            <w:tcW w:w="4760" w:type="dxa"/>
            <w:vAlign w:val="bottom"/>
            <w:gridSpan w:val="6"/>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1020" w:type="dxa"/>
            <w:vAlign w:val="bottom"/>
          </w:tcPr>
          <w:p>
            <w:pPr>
              <w:ind w:left="320"/>
              <w:spacing w:after="0" w:line="176" w:lineRule="exact"/>
              <w:rPr>
                <w:sz w:val="20"/>
                <w:szCs w:val="20"/>
                <w:color w:val="auto"/>
              </w:rPr>
            </w:pPr>
            <w:r>
              <w:rPr>
                <w:rFonts w:ascii="Arial" w:cs="Arial" w:eastAsia="Arial" w:hAnsi="Arial"/>
                <w:sz w:val="18"/>
                <w:szCs w:val="18"/>
                <w:color w:val="252525"/>
              </w:rPr>
              <w:t>—</w:t>
            </w:r>
          </w:p>
        </w:tc>
        <w:tc>
          <w:tcPr>
            <w:tcW w:w="1160" w:type="dxa"/>
            <w:vAlign w:val="bottom"/>
          </w:tcPr>
          <w:p>
            <w:pPr>
              <w:ind w:left="520"/>
              <w:spacing w:after="0" w:line="176" w:lineRule="exact"/>
              <w:rPr>
                <w:sz w:val="20"/>
                <w:szCs w:val="20"/>
                <w:color w:val="auto"/>
              </w:rPr>
            </w:pPr>
            <w:r>
              <w:rPr>
                <w:rFonts w:ascii="Arial" w:cs="Arial" w:eastAsia="Arial" w:hAnsi="Arial"/>
                <w:sz w:val="18"/>
                <w:szCs w:val="18"/>
                <w:color w:val="252525"/>
              </w:rPr>
              <w:t>—</w:t>
            </w:r>
          </w:p>
        </w:tc>
        <w:tc>
          <w:tcPr>
            <w:tcW w:w="1100" w:type="dxa"/>
            <w:vAlign w:val="bottom"/>
          </w:tcPr>
          <w:p>
            <w:pPr>
              <w:ind w:left="480"/>
              <w:spacing w:after="0" w:line="176" w:lineRule="exact"/>
              <w:rPr>
                <w:sz w:val="20"/>
                <w:szCs w:val="20"/>
                <w:color w:val="auto"/>
              </w:rPr>
            </w:pPr>
            <w:r>
              <w:rPr>
                <w:rFonts w:ascii="Arial" w:cs="Arial" w:eastAsia="Arial" w:hAnsi="Arial"/>
                <w:sz w:val="18"/>
                <w:szCs w:val="18"/>
                <w:color w:val="252525"/>
              </w:rPr>
              <w:t>—</w:t>
            </w:r>
          </w:p>
        </w:tc>
        <w:tc>
          <w:tcPr>
            <w:tcW w:w="1500" w:type="dxa"/>
            <w:vAlign w:val="bottom"/>
          </w:tcPr>
          <w:p>
            <w:pPr>
              <w:ind w:left="440"/>
              <w:spacing w:after="0" w:line="176" w:lineRule="exact"/>
              <w:rPr>
                <w:sz w:val="20"/>
                <w:szCs w:val="20"/>
                <w:color w:val="auto"/>
              </w:rPr>
            </w:pPr>
            <w:r>
              <w:rPr>
                <w:rFonts w:ascii="Arial" w:cs="Arial" w:eastAsia="Arial" w:hAnsi="Arial"/>
                <w:sz w:val="18"/>
                <w:szCs w:val="18"/>
                <w:color w:val="auto"/>
                <w:w w:val="92"/>
              </w:rPr>
              <w:t>Filed herewith</w:t>
            </w:r>
          </w:p>
        </w:tc>
      </w:tr>
      <w:tr>
        <w:trPr>
          <w:trHeight w:val="202"/>
        </w:trPr>
        <w:tc>
          <w:tcPr>
            <w:tcW w:w="1040" w:type="dxa"/>
            <w:vAlign w:val="bottom"/>
          </w:tcPr>
          <w:p>
            <w:pPr>
              <w:spacing w:after="0"/>
              <w:rPr>
                <w:sz w:val="17"/>
                <w:szCs w:val="17"/>
                <w:color w:val="auto"/>
              </w:rPr>
            </w:pPr>
          </w:p>
        </w:tc>
        <w:tc>
          <w:tcPr>
            <w:tcW w:w="4760" w:type="dxa"/>
            <w:vAlign w:val="bottom"/>
            <w:gridSpan w:val="6"/>
          </w:tcPr>
          <w:p>
            <w:pPr>
              <w:spacing w:after="0" w:line="201" w:lineRule="exact"/>
              <w:rPr>
                <w:sz w:val="20"/>
                <w:szCs w:val="20"/>
                <w:color w:val="auto"/>
              </w:rPr>
            </w:pPr>
            <w:r>
              <w:rPr>
                <w:rFonts w:ascii="Arial" w:cs="Arial" w:eastAsia="Arial" w:hAnsi="Arial"/>
                <w:sz w:val="18"/>
                <w:szCs w:val="18"/>
                <w:color w:val="auto"/>
              </w:rPr>
              <w:t>Document</w:t>
            </w: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6"/>
        </w:trPr>
        <w:tc>
          <w:tcPr>
            <w:tcW w:w="1040" w:type="dxa"/>
            <w:vAlign w:val="bottom"/>
          </w:tcPr>
          <w:p>
            <w:pPr>
              <w:jc w:val="center"/>
              <w:ind w:right="270"/>
              <w:spacing w:after="0" w:line="176" w:lineRule="exact"/>
              <w:rPr>
                <w:sz w:val="20"/>
                <w:szCs w:val="20"/>
                <w:color w:val="auto"/>
              </w:rPr>
            </w:pPr>
            <w:r>
              <w:rPr>
                <w:rFonts w:ascii="Arial" w:cs="Arial" w:eastAsia="Arial" w:hAnsi="Arial"/>
                <w:sz w:val="18"/>
                <w:szCs w:val="18"/>
                <w:color w:val="auto"/>
                <w:w w:val="88"/>
              </w:rPr>
              <w:t>101.PRE</w:t>
            </w:r>
          </w:p>
        </w:tc>
        <w:tc>
          <w:tcPr>
            <w:tcW w:w="4760" w:type="dxa"/>
            <w:vAlign w:val="bottom"/>
            <w:gridSpan w:val="6"/>
          </w:tcPr>
          <w:p>
            <w:pPr>
              <w:spacing w:after="0" w:line="176" w:lineRule="exact"/>
              <w:rPr>
                <w:sz w:val="20"/>
                <w:szCs w:val="20"/>
                <w:color w:val="auto"/>
              </w:rPr>
            </w:pPr>
            <w:r>
              <w:rPr>
                <w:rFonts w:ascii="Arial" w:cs="Arial" w:eastAsia="Arial" w:hAnsi="Arial"/>
                <w:sz w:val="18"/>
                <w:szCs w:val="18"/>
                <w:color w:val="auto"/>
              </w:rPr>
              <w:t>Inline XBRL Taxonomy Extension Presentation Linkbase</w:t>
            </w:r>
          </w:p>
        </w:tc>
        <w:tc>
          <w:tcPr>
            <w:tcW w:w="1020" w:type="dxa"/>
            <w:vAlign w:val="bottom"/>
          </w:tcPr>
          <w:p>
            <w:pPr>
              <w:ind w:left="320"/>
              <w:spacing w:after="0" w:line="176" w:lineRule="exact"/>
              <w:rPr>
                <w:sz w:val="20"/>
                <w:szCs w:val="20"/>
                <w:color w:val="auto"/>
              </w:rPr>
            </w:pPr>
            <w:r>
              <w:rPr>
                <w:rFonts w:ascii="Arial" w:cs="Arial" w:eastAsia="Arial" w:hAnsi="Arial"/>
                <w:sz w:val="18"/>
                <w:szCs w:val="18"/>
                <w:color w:val="252525"/>
              </w:rPr>
              <w:t>—</w:t>
            </w:r>
          </w:p>
        </w:tc>
        <w:tc>
          <w:tcPr>
            <w:tcW w:w="1160" w:type="dxa"/>
            <w:vAlign w:val="bottom"/>
          </w:tcPr>
          <w:p>
            <w:pPr>
              <w:ind w:left="520"/>
              <w:spacing w:after="0" w:line="176" w:lineRule="exact"/>
              <w:rPr>
                <w:sz w:val="20"/>
                <w:szCs w:val="20"/>
                <w:color w:val="auto"/>
              </w:rPr>
            </w:pPr>
            <w:r>
              <w:rPr>
                <w:rFonts w:ascii="Arial" w:cs="Arial" w:eastAsia="Arial" w:hAnsi="Arial"/>
                <w:sz w:val="18"/>
                <w:szCs w:val="18"/>
                <w:color w:val="252525"/>
              </w:rPr>
              <w:t>—</w:t>
            </w:r>
          </w:p>
        </w:tc>
        <w:tc>
          <w:tcPr>
            <w:tcW w:w="1100" w:type="dxa"/>
            <w:vAlign w:val="bottom"/>
          </w:tcPr>
          <w:p>
            <w:pPr>
              <w:ind w:left="480"/>
              <w:spacing w:after="0" w:line="176" w:lineRule="exact"/>
              <w:rPr>
                <w:sz w:val="20"/>
                <w:szCs w:val="20"/>
                <w:color w:val="auto"/>
              </w:rPr>
            </w:pPr>
            <w:r>
              <w:rPr>
                <w:rFonts w:ascii="Arial" w:cs="Arial" w:eastAsia="Arial" w:hAnsi="Arial"/>
                <w:sz w:val="18"/>
                <w:szCs w:val="18"/>
                <w:color w:val="252525"/>
              </w:rPr>
              <w:t>—</w:t>
            </w:r>
          </w:p>
        </w:tc>
        <w:tc>
          <w:tcPr>
            <w:tcW w:w="1500" w:type="dxa"/>
            <w:vAlign w:val="bottom"/>
          </w:tcPr>
          <w:p>
            <w:pPr>
              <w:ind w:left="440"/>
              <w:spacing w:after="0" w:line="176" w:lineRule="exact"/>
              <w:rPr>
                <w:sz w:val="20"/>
                <w:szCs w:val="20"/>
                <w:color w:val="auto"/>
              </w:rPr>
            </w:pPr>
            <w:r>
              <w:rPr>
                <w:rFonts w:ascii="Arial" w:cs="Arial" w:eastAsia="Arial" w:hAnsi="Arial"/>
                <w:sz w:val="18"/>
                <w:szCs w:val="18"/>
                <w:color w:val="auto"/>
                <w:w w:val="92"/>
              </w:rPr>
              <w:t>Filed herewith</w:t>
            </w:r>
          </w:p>
        </w:tc>
      </w:tr>
      <w:tr>
        <w:trPr>
          <w:trHeight w:val="202"/>
        </w:trPr>
        <w:tc>
          <w:tcPr>
            <w:tcW w:w="1040" w:type="dxa"/>
            <w:vAlign w:val="bottom"/>
          </w:tcPr>
          <w:p>
            <w:pPr>
              <w:spacing w:after="0"/>
              <w:rPr>
                <w:sz w:val="17"/>
                <w:szCs w:val="17"/>
                <w:color w:val="auto"/>
              </w:rPr>
            </w:pPr>
          </w:p>
        </w:tc>
        <w:tc>
          <w:tcPr>
            <w:tcW w:w="4760" w:type="dxa"/>
            <w:vAlign w:val="bottom"/>
            <w:gridSpan w:val="6"/>
          </w:tcPr>
          <w:p>
            <w:pPr>
              <w:spacing w:after="0" w:line="201" w:lineRule="exact"/>
              <w:rPr>
                <w:sz w:val="20"/>
                <w:szCs w:val="20"/>
                <w:color w:val="auto"/>
              </w:rPr>
            </w:pPr>
            <w:r>
              <w:rPr>
                <w:rFonts w:ascii="Arial" w:cs="Arial" w:eastAsia="Arial" w:hAnsi="Arial"/>
                <w:sz w:val="18"/>
                <w:szCs w:val="18"/>
                <w:color w:val="auto"/>
              </w:rPr>
              <w:t>Document</w:t>
            </w: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6"/>
        </w:trPr>
        <w:tc>
          <w:tcPr>
            <w:tcW w:w="1040" w:type="dxa"/>
            <w:vAlign w:val="bottom"/>
          </w:tcPr>
          <w:p>
            <w:pPr>
              <w:jc w:val="right"/>
              <w:ind w:right="470"/>
              <w:spacing w:after="0" w:line="176" w:lineRule="exact"/>
              <w:rPr>
                <w:sz w:val="20"/>
                <w:szCs w:val="20"/>
                <w:color w:val="auto"/>
              </w:rPr>
            </w:pPr>
            <w:r>
              <w:rPr>
                <w:rFonts w:ascii="Arial" w:cs="Arial" w:eastAsia="Arial" w:hAnsi="Arial"/>
                <w:sz w:val="18"/>
                <w:szCs w:val="18"/>
                <w:color w:val="auto"/>
              </w:rPr>
              <w:t>104</w:t>
            </w:r>
          </w:p>
        </w:tc>
        <w:tc>
          <w:tcPr>
            <w:tcW w:w="4760" w:type="dxa"/>
            <w:vAlign w:val="bottom"/>
            <w:gridSpan w:val="6"/>
          </w:tcPr>
          <w:p>
            <w:pPr>
              <w:spacing w:after="0" w:line="176" w:lineRule="exact"/>
              <w:rPr>
                <w:sz w:val="20"/>
                <w:szCs w:val="20"/>
                <w:color w:val="auto"/>
              </w:rPr>
            </w:pPr>
            <w:r>
              <w:rPr>
                <w:rFonts w:ascii="Arial" w:cs="Arial" w:eastAsia="Arial" w:hAnsi="Arial"/>
                <w:sz w:val="18"/>
                <w:szCs w:val="18"/>
                <w:color w:val="212529"/>
              </w:rPr>
              <w:t>Cover Page Interactive Data File (formatted as inline XBRL</w:t>
            </w:r>
          </w:p>
        </w:tc>
        <w:tc>
          <w:tcPr>
            <w:tcW w:w="1020" w:type="dxa"/>
            <w:vAlign w:val="bottom"/>
          </w:tcPr>
          <w:p>
            <w:pPr>
              <w:ind w:left="320"/>
              <w:spacing w:after="0" w:line="176" w:lineRule="exact"/>
              <w:rPr>
                <w:sz w:val="20"/>
                <w:szCs w:val="20"/>
                <w:color w:val="auto"/>
              </w:rPr>
            </w:pPr>
            <w:r>
              <w:rPr>
                <w:rFonts w:ascii="Arial" w:cs="Arial" w:eastAsia="Arial" w:hAnsi="Arial"/>
                <w:sz w:val="18"/>
                <w:szCs w:val="18"/>
                <w:color w:val="252525"/>
              </w:rPr>
              <w:t>—</w:t>
            </w:r>
          </w:p>
        </w:tc>
        <w:tc>
          <w:tcPr>
            <w:tcW w:w="1160" w:type="dxa"/>
            <w:vAlign w:val="bottom"/>
          </w:tcPr>
          <w:p>
            <w:pPr>
              <w:ind w:left="520"/>
              <w:spacing w:after="0" w:line="176" w:lineRule="exact"/>
              <w:rPr>
                <w:sz w:val="20"/>
                <w:szCs w:val="20"/>
                <w:color w:val="auto"/>
              </w:rPr>
            </w:pPr>
            <w:r>
              <w:rPr>
                <w:rFonts w:ascii="Arial" w:cs="Arial" w:eastAsia="Arial" w:hAnsi="Arial"/>
                <w:sz w:val="18"/>
                <w:szCs w:val="18"/>
                <w:color w:val="252525"/>
              </w:rPr>
              <w:t>—</w:t>
            </w:r>
          </w:p>
        </w:tc>
        <w:tc>
          <w:tcPr>
            <w:tcW w:w="1100" w:type="dxa"/>
            <w:vAlign w:val="bottom"/>
          </w:tcPr>
          <w:p>
            <w:pPr>
              <w:ind w:left="480"/>
              <w:spacing w:after="0" w:line="176" w:lineRule="exact"/>
              <w:rPr>
                <w:sz w:val="20"/>
                <w:szCs w:val="20"/>
                <w:color w:val="auto"/>
              </w:rPr>
            </w:pPr>
            <w:r>
              <w:rPr>
                <w:rFonts w:ascii="Arial" w:cs="Arial" w:eastAsia="Arial" w:hAnsi="Arial"/>
                <w:sz w:val="18"/>
                <w:szCs w:val="18"/>
                <w:color w:val="252525"/>
              </w:rPr>
              <w:t>—</w:t>
            </w:r>
          </w:p>
        </w:tc>
        <w:tc>
          <w:tcPr>
            <w:tcW w:w="1500" w:type="dxa"/>
            <w:vAlign w:val="bottom"/>
          </w:tcPr>
          <w:p>
            <w:pPr>
              <w:ind w:left="440"/>
              <w:spacing w:after="0" w:line="176" w:lineRule="exact"/>
              <w:rPr>
                <w:sz w:val="20"/>
                <w:szCs w:val="20"/>
                <w:color w:val="auto"/>
              </w:rPr>
            </w:pPr>
            <w:r>
              <w:rPr>
                <w:rFonts w:ascii="Arial" w:cs="Arial" w:eastAsia="Arial" w:hAnsi="Arial"/>
                <w:sz w:val="18"/>
                <w:szCs w:val="18"/>
                <w:color w:val="auto"/>
                <w:w w:val="92"/>
              </w:rPr>
              <w:t>Filed herewith</w:t>
            </w:r>
          </w:p>
        </w:tc>
      </w:tr>
      <w:tr>
        <w:trPr>
          <w:trHeight w:val="230"/>
        </w:trPr>
        <w:tc>
          <w:tcPr>
            <w:tcW w:w="1040" w:type="dxa"/>
            <w:vAlign w:val="bottom"/>
          </w:tcPr>
          <w:p>
            <w:pPr>
              <w:spacing w:after="0"/>
              <w:rPr>
                <w:sz w:val="20"/>
                <w:szCs w:val="20"/>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212529"/>
              </w:rPr>
              <w:t>and contained in Exhibit 101).</w:t>
            </w: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79" w:lineRule="exact"/>
        <w:rPr>
          <w:sz w:val="20"/>
          <w:szCs w:val="20"/>
          <w:color w:val="auto"/>
        </w:rPr>
      </w:pPr>
    </w:p>
    <w:p>
      <w:pPr>
        <w:ind w:right="4740" w:firstLine="8"/>
        <w:spacing w:after="0" w:line="324" w:lineRule="auto"/>
        <w:tabs>
          <w:tab w:leader="none" w:pos="1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 Certain provisions of this Exhibit have been omitted as confidential information.</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4" w:right="579" w:bottom="1440" w:gutter="0" w:footer="0" w:header="0"/>
          <w:type w:val="continuous"/>
        </w:sectPr>
      </w:pPr>
    </w:p>
    <w:bookmarkStart w:id="79" w:name="page80"/>
    <w:bookmarkEnd w:id="7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Fate Therapeutics, Inc.</w:t>
      </w:r>
    </w:p>
    <w:p>
      <w:pPr>
        <w:spacing w:after="0" w:line="243" w:lineRule="exact"/>
        <w:rPr>
          <w:sz w:val="20"/>
          <w:szCs w:val="20"/>
          <w:color w:val="auto"/>
        </w:rPr>
      </w:pPr>
    </w:p>
    <w:p>
      <w:pPr>
        <w:ind w:left="20"/>
        <w:spacing w:after="0"/>
        <w:tabs>
          <w:tab w:leader="none" w:pos="5640" w:val="left"/>
          <w:tab w:leader="none" w:pos="610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J. S</w:t>
      </w:r>
      <w:r>
        <w:rPr>
          <w:rFonts w:ascii="Arial" w:cs="Arial" w:eastAsia="Arial" w:hAnsi="Arial"/>
          <w:sz w:val="11"/>
          <w:szCs w:val="11"/>
          <w:color w:val="auto"/>
        </w:rPr>
        <w:t>COTT</w:t>
      </w:r>
      <w:r>
        <w:rPr>
          <w:rFonts w:ascii="Arial" w:cs="Arial" w:eastAsia="Arial" w:hAnsi="Arial"/>
          <w:sz w:val="17"/>
          <w:szCs w:val="17"/>
          <w:color w:val="auto"/>
        </w:rPr>
        <w:t xml:space="preserve"> W</w:t>
      </w:r>
      <w:r>
        <w:rPr>
          <w:rFonts w:ascii="Arial" w:cs="Arial" w:eastAsia="Arial" w:hAnsi="Arial"/>
          <w:sz w:val="11"/>
          <w:szCs w:val="11"/>
          <w:color w:val="auto"/>
        </w:rPr>
        <w:t>OLCHKO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 Scott Wolchko</w:t>
      </w:r>
    </w:p>
    <w:p>
      <w:pPr>
        <w:ind w:left="6120"/>
        <w:spacing w:after="0" w:line="234" w:lineRule="auto"/>
        <w:rPr>
          <w:sz w:val="20"/>
          <w:szCs w:val="20"/>
          <w:color w:val="auto"/>
        </w:rPr>
      </w:pPr>
      <w:r>
        <w:rPr>
          <w:rFonts w:ascii="Arial" w:cs="Arial" w:eastAsia="Arial" w:hAnsi="Arial"/>
          <w:sz w:val="18"/>
          <w:szCs w:val="18"/>
          <w:color w:val="auto"/>
        </w:rPr>
        <w:t>President and Chief Executive Officer and Director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5640" w:val="left"/>
          <w:tab w:leader="none" w:pos="610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E</w:t>
      </w:r>
      <w:r>
        <w:rPr>
          <w:rFonts w:ascii="Arial" w:cs="Arial" w:eastAsia="Arial" w:hAnsi="Arial"/>
          <w:sz w:val="11"/>
          <w:szCs w:val="11"/>
          <w:color w:val="auto"/>
        </w:rPr>
        <w:t>DWARD</w:t>
      </w:r>
      <w:r>
        <w:rPr>
          <w:rFonts w:ascii="Arial" w:cs="Arial" w:eastAsia="Arial" w:hAnsi="Arial"/>
          <w:sz w:val="17"/>
          <w:szCs w:val="17"/>
          <w:color w:val="auto"/>
        </w:rPr>
        <w:t xml:space="preserve"> J. D</w:t>
      </w:r>
      <w:r>
        <w:rPr>
          <w:rFonts w:ascii="Arial" w:cs="Arial" w:eastAsia="Arial" w:hAnsi="Arial"/>
          <w:sz w:val="11"/>
          <w:szCs w:val="11"/>
          <w:color w:val="auto"/>
        </w:rPr>
        <w:t>ULAC</w:t>
      </w:r>
      <w:r>
        <w:rPr>
          <w:rFonts w:ascii="Arial" w:cs="Arial" w:eastAsia="Arial" w:hAnsi="Arial"/>
          <w:sz w:val="17"/>
          <w:szCs w:val="17"/>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Edward J. Dulac III</w:t>
      </w:r>
    </w:p>
    <w:p>
      <w:pPr>
        <w:ind w:left="6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526" w:right="779" w:bottom="1440" w:gutter="0" w:footer="0" w:header="0"/>
        </w:sectPr>
      </w:pPr>
    </w:p>
    <w:bookmarkStart w:id="80" w:name="page81"/>
    <w:bookmarkEnd w:id="80"/>
    <w:p>
      <w:pPr>
        <w:jc w:val="both"/>
        <w:spacing w:after="0" w:line="261" w:lineRule="auto"/>
        <w:rPr>
          <w:sz w:val="20"/>
          <w:szCs w:val="20"/>
          <w:color w:val="auto"/>
        </w:rPr>
      </w:pPr>
      <w:r>
        <w:rPr>
          <w:rFonts w:ascii="Arial" w:cs="Arial" w:eastAsia="Arial" w:hAnsi="Arial"/>
          <w:sz w:val="18"/>
          <w:szCs w:val="18"/>
          <w:color w:val="auto"/>
        </w:rPr>
        <w:t>CERTAIN CONFIDENTIAL INFORMATION, MARKED BY [***], HAS BEEN EXCLUDED FROM THIS EXHIBIT BECAUSE IT IS BOTH (I) NOT MATERIAL AND (II) IS THE TYPE THAT THE REGISTRANT TREATS AS PRIVATE OR CONFIDENTIAL.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OPTION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01 </w:t>
      </w:r>
      <w:r>
        <w:rPr>
          <w:rFonts w:ascii="Arial" w:cs="Arial" w:eastAsia="Arial" w:hAnsi="Arial"/>
          <w:sz w:val="13"/>
          <w:szCs w:val="13"/>
          <w:b w:val="1"/>
          <w:bCs w:val="1"/>
          <w:color w:val="auto"/>
        </w:rPr>
        <w:t>TO</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OLLABORATION AND</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First Amendment</w:t>
      </w:r>
      <w:r>
        <w:rPr>
          <w:rFonts w:ascii="Arial" w:cs="Arial" w:eastAsia="Arial" w:hAnsi="Arial"/>
          <w:sz w:val="20"/>
          <w:szCs w:val="20"/>
          <w:color w:val="auto"/>
        </w:rPr>
        <w:t>") is made and entered into as</w:t>
      </w:r>
      <w:r>
        <w:rPr>
          <w:rFonts w:ascii="Arial" w:cs="Arial" w:eastAsia="Arial" w:hAnsi="Arial"/>
          <w:sz w:val="20"/>
          <w:szCs w:val="20"/>
          <w:b w:val="1"/>
          <w:bCs w:val="1"/>
          <w:color w:val="auto"/>
        </w:rPr>
        <w:t xml:space="preserve"> </w:t>
      </w:r>
      <w:r>
        <w:rPr>
          <w:rFonts w:ascii="Arial" w:cs="Arial" w:eastAsia="Arial" w:hAnsi="Arial"/>
          <w:sz w:val="20"/>
          <w:szCs w:val="20"/>
          <w:color w:val="auto"/>
        </w:rPr>
        <w:t>of June 28th, 2022 (the "</w:t>
      </w:r>
      <w:r>
        <w:rPr>
          <w:rFonts w:ascii="Arial" w:cs="Arial" w:eastAsia="Arial" w:hAnsi="Arial"/>
          <w:sz w:val="20"/>
          <w:szCs w:val="20"/>
          <w:b w:val="1"/>
          <w:bCs w:val="1"/>
          <w:color w:val="auto"/>
        </w:rPr>
        <w:t>Amendment 01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FATE Therapeutics, Inc.</w:t>
      </w:r>
      <w:r>
        <w:rPr>
          <w:rFonts w:ascii="Arial" w:cs="Arial" w:eastAsia="Arial" w:hAnsi="Arial"/>
          <w:sz w:val="20"/>
          <w:szCs w:val="20"/>
          <w:color w:val="auto"/>
        </w:rPr>
        <w:t>, a Delaware corporation located at 3535 General Atomics Court, Suite 200, San Diego, California 92121, United States of America ("</w:t>
      </w:r>
      <w:r>
        <w:rPr>
          <w:rFonts w:ascii="Arial" w:cs="Arial" w:eastAsia="Arial" w:hAnsi="Arial"/>
          <w:sz w:val="20"/>
          <w:szCs w:val="20"/>
          <w:b w:val="1"/>
          <w:bCs w:val="1"/>
          <w:color w:val="auto"/>
        </w:rPr>
        <w:t>FATE</w:t>
      </w:r>
      <w:r>
        <w:rPr>
          <w:rFonts w:ascii="Arial" w:cs="Arial" w:eastAsia="Arial" w:hAnsi="Arial"/>
          <w:sz w:val="20"/>
          <w:szCs w:val="20"/>
          <w:color w:val="auto"/>
        </w:rPr>
        <w:t xml:space="preserve">"), and </w:t>
      </w:r>
      <w:r>
        <w:rPr>
          <w:rFonts w:ascii="Arial" w:cs="Arial" w:eastAsia="Arial" w:hAnsi="Arial"/>
          <w:sz w:val="20"/>
          <w:szCs w:val="20"/>
          <w:b w:val="1"/>
          <w:bCs w:val="1"/>
          <w:color w:val="auto"/>
        </w:rPr>
        <w:t>Ono</w:t>
      </w:r>
      <w:r>
        <w:rPr>
          <w:rFonts w:ascii="Arial" w:cs="Arial" w:eastAsia="Arial" w:hAnsi="Arial"/>
          <w:sz w:val="20"/>
          <w:szCs w:val="20"/>
          <w:color w:val="auto"/>
        </w:rPr>
        <w:t xml:space="preserve"> </w:t>
      </w:r>
      <w:r>
        <w:rPr>
          <w:rFonts w:ascii="Arial" w:cs="Arial" w:eastAsia="Arial" w:hAnsi="Arial"/>
          <w:sz w:val="20"/>
          <w:szCs w:val="20"/>
          <w:b w:val="1"/>
          <w:bCs w:val="1"/>
          <w:color w:val="auto"/>
        </w:rPr>
        <w:t>Pharmaceutical Co., Ltd.</w:t>
      </w:r>
      <w:r>
        <w:rPr>
          <w:rFonts w:ascii="Arial" w:cs="Arial" w:eastAsia="Arial" w:hAnsi="Arial"/>
          <w:sz w:val="20"/>
          <w:szCs w:val="20"/>
          <w:color w:val="auto"/>
        </w:rPr>
        <w:t>, 8-2, Kyutaromachi 1-chome, Chuo-ku, Osaka, Osaka 541-8564, Japan ("</w:t>
      </w:r>
      <w:r>
        <w:rPr>
          <w:rFonts w:ascii="Arial" w:cs="Arial" w:eastAsia="Arial" w:hAnsi="Arial"/>
          <w:sz w:val="20"/>
          <w:szCs w:val="20"/>
          <w:b w:val="1"/>
          <w:bCs w:val="1"/>
          <w:color w:val="auto"/>
        </w:rPr>
        <w:t>ONO</w:t>
      </w:r>
      <w:r>
        <w:rPr>
          <w:rFonts w:ascii="Arial" w:cs="Arial" w:eastAsia="Arial" w:hAnsi="Arial"/>
          <w:sz w:val="20"/>
          <w:szCs w:val="20"/>
          <w:color w:val="auto"/>
        </w:rPr>
        <w:t>"). FATE and ONO</w:t>
      </w:r>
      <w:r>
        <w:rPr>
          <w:rFonts w:ascii="Arial" w:cs="Arial" w:eastAsia="Arial" w:hAnsi="Arial"/>
          <w:sz w:val="20"/>
          <w:szCs w:val="20"/>
          <w:b w:val="1"/>
          <w:bCs w:val="1"/>
          <w:color w:val="auto"/>
        </w:rPr>
        <w:t xml:space="preserve"> </w:t>
      </w:r>
      <w:r>
        <w:rPr>
          <w:rFonts w:ascii="Arial" w:cs="Arial" w:eastAsia="Arial" w:hAnsi="Arial"/>
          <w:sz w:val="20"/>
          <w:szCs w:val="20"/>
          <w:color w:val="auto"/>
        </w:rPr>
        <w:t>are sometimes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have entered into a Collaboration and Option Agreement dated September 14, 2018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pursuant to which the Parties are conducting a research collaboration;</w:t>
      </w:r>
    </w:p>
    <w:p>
      <w:pPr>
        <w:spacing w:after="0" w:line="163" w:lineRule="exact"/>
        <w:rPr>
          <w:sz w:val="20"/>
          <w:szCs w:val="20"/>
          <w:color w:val="auto"/>
        </w:rPr>
      </w:pPr>
    </w:p>
    <w:p>
      <w:pPr>
        <w:jc w:val="both"/>
        <w:ind w:right="20" w:firstLine="749"/>
        <w:spacing w:after="0" w:line="30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as agreed in the Letter Agreement effective on December 4, 2020, the Agreement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Candidate 1 was terminated;</w:t>
      </w:r>
    </w:p>
    <w:p>
      <w:pPr>
        <w:spacing w:after="0" w:line="163" w:lineRule="exact"/>
        <w:rPr>
          <w:sz w:val="20"/>
          <w:szCs w:val="20"/>
          <w:color w:val="auto"/>
        </w:rPr>
      </w:pPr>
    </w:p>
    <w:p>
      <w:pPr>
        <w:jc w:val="both"/>
        <w:ind w:right="20" w:firstLine="749"/>
        <w:spacing w:after="0" w:line="30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as part of the Letter Agreement, ONO has designated certain Antigen Binding Domains using [***] as ONO</w:t>
      </w:r>
      <w:r>
        <w:rPr>
          <w:rFonts w:ascii="Arial" w:cs="Arial" w:eastAsia="Arial" w:hAnsi="Arial"/>
          <w:sz w:val="22"/>
          <w:szCs w:val="22"/>
          <w:b w:val="1"/>
          <w:bCs w:val="1"/>
          <w:color w:val="auto"/>
        </w:rPr>
        <w:t xml:space="preserve"> </w:t>
      </w:r>
      <w:r>
        <w:rPr>
          <w:rFonts w:ascii="Arial" w:cs="Arial" w:eastAsia="Arial" w:hAnsi="Arial"/>
          <w:sz w:val="22"/>
          <w:szCs w:val="22"/>
          <w:color w:val="auto"/>
        </w:rPr>
        <w:t>Antigen Binding Domains;</w:t>
      </w:r>
    </w:p>
    <w:p>
      <w:pPr>
        <w:spacing w:after="0" w:line="163" w:lineRule="exact"/>
        <w:rPr>
          <w:sz w:val="20"/>
          <w:szCs w:val="20"/>
          <w:color w:val="auto"/>
        </w:rPr>
      </w:pPr>
    </w:p>
    <w:p>
      <w:pPr>
        <w:jc w:val="both"/>
        <w:ind w:right="20" w:firstLine="749"/>
        <w:spacing w:after="0" w:line="362"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Parties wish to start another drug discovery program using [***] to identify Antigen Binding Domains,</w:t>
      </w:r>
      <w:r>
        <w:rPr>
          <w:rFonts w:ascii="Arial" w:cs="Arial" w:eastAsia="Arial" w:hAnsi="Arial"/>
          <w:sz w:val="20"/>
          <w:szCs w:val="20"/>
          <w:b w:val="1"/>
          <w:bCs w:val="1"/>
          <w:color w:val="auto"/>
        </w:rPr>
        <w:t xml:space="preserve"> </w:t>
      </w:r>
      <w:r>
        <w:rPr>
          <w:rFonts w:ascii="Arial" w:cs="Arial" w:eastAsia="Arial" w:hAnsi="Arial"/>
          <w:sz w:val="20"/>
          <w:szCs w:val="20"/>
          <w:color w:val="auto"/>
        </w:rPr>
        <w:t>with which Collaboration Candidates and Collaboration Products will be Researched and Developed under the Agreement;</w:t>
      </w:r>
    </w:p>
    <w:p>
      <w:pPr>
        <w:spacing w:after="0" w:line="116"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also wish to add CAR-targeted natural killer (NK) cells derived from engineered master induced</w:t>
      </w:r>
      <w:r>
        <w:rPr>
          <w:rFonts w:ascii="Arial" w:cs="Arial" w:eastAsia="Arial" w:hAnsi="Arial"/>
          <w:sz w:val="22"/>
          <w:szCs w:val="22"/>
          <w:b w:val="1"/>
          <w:bCs w:val="1"/>
          <w:color w:val="auto"/>
        </w:rPr>
        <w:t xml:space="preserve"> </w:t>
      </w:r>
      <w:r>
        <w:rPr>
          <w:rFonts w:ascii="Arial" w:cs="Arial" w:eastAsia="Arial" w:hAnsi="Arial"/>
          <w:sz w:val="22"/>
          <w:szCs w:val="22"/>
          <w:color w:val="auto"/>
        </w:rPr>
        <w:t>pluripotent stem cells (iPSC) as potential effector cells under the Agreement;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foregoing and the mutual agreements set forth below, the Parties agree as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54"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1</w:t>
      </w: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 xml:space="preserve"> Capitalized terms used but not defined herein shall have the same respective meanings ascribed to such terms in the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ind w:left="760" w:hanging="752"/>
        <w:spacing w:after="0"/>
        <w:tabs>
          <w:tab w:leader="none" w:pos="7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sz w:val="20"/>
          <w:szCs w:val="20"/>
          <w:color w:val="auto"/>
        </w:rPr>
      </w:pPr>
    </w:p>
    <w:p>
      <w:pPr>
        <w:jc w:val="both"/>
        <w:ind w:left="1060" w:hanging="598"/>
        <w:spacing w:after="0" w:line="341" w:lineRule="auto"/>
        <w:tabs>
          <w:tab w:leader="none" w:pos="10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Prior to Amendment 01 Effective Date, the Agreement contemplates that ONO will designate ONO Antigen Binding Domain(s) directed to [***] (referred to as “[***]” under the Agreement), for which Collaboration Candidate 2 will be Researched and Developed under the Agreement and for which ONO has the right to exercise the ONO Option. As of the Amendment 01 Effective Date, ONO has designated [***] as [***] and certain ONO Antigen Binding Domain(s) directed to [***] as ONO Antigen Binding Domain [***] pursuant to the Letter Agreement.</w:t>
      </w:r>
    </w:p>
    <w:p>
      <w:pPr>
        <w:spacing w:after="0" w:line="149" w:lineRule="exact"/>
        <w:rPr>
          <w:sz w:val="20"/>
          <w:szCs w:val="20"/>
          <w:color w:val="auto"/>
        </w:rPr>
      </w:pPr>
    </w:p>
    <w:p>
      <w:pPr>
        <w:jc w:val="both"/>
        <w:ind w:left="1060" w:hanging="598"/>
        <w:spacing w:after="0" w:line="285" w:lineRule="auto"/>
        <w:tabs>
          <w:tab w:leader="none" w:pos="10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The Parties agree that, pursuant to this First Amendment, ONO shall have the right to designate ONO Antigen Binding Domain(s) directed to [***] (“[***]”) under the Agreement. As of the Amendment 01 Effective Date, ONO hereby does designate [***] as [***] and Antigen Binding Domain(s) directed to [***] as “</w:t>
      </w:r>
      <w:r>
        <w:rPr>
          <w:rFonts w:ascii="Arial" w:cs="Arial" w:eastAsia="Arial" w:hAnsi="Arial"/>
          <w:sz w:val="22"/>
          <w:szCs w:val="22"/>
          <w:b w:val="1"/>
          <w:bCs w:val="1"/>
          <w:color w:val="auto"/>
        </w:rPr>
        <w:t>ONO Antigen Binding</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Domain </w:t>
      </w:r>
      <w:r>
        <w:rPr>
          <w:rFonts w:ascii="Arial" w:cs="Arial" w:eastAsia="Arial" w:hAnsi="Arial"/>
          <w:sz w:val="22"/>
          <w:szCs w:val="22"/>
          <w:color w:val="auto"/>
        </w:rPr>
        <w:t>[***]” (individually) or “</w:t>
      </w:r>
      <w:r>
        <w:rPr>
          <w:rFonts w:ascii="Arial" w:cs="Arial" w:eastAsia="Arial" w:hAnsi="Arial"/>
          <w:sz w:val="22"/>
          <w:szCs w:val="22"/>
          <w:b w:val="1"/>
          <w:bCs w:val="1"/>
          <w:color w:val="auto"/>
        </w:rPr>
        <w:t xml:space="preserve">ONO Antigen Binding Domains </w:t>
      </w:r>
      <w:r>
        <w:rPr>
          <w:rFonts w:ascii="Arial" w:cs="Arial" w:eastAsia="Arial" w:hAnsi="Arial"/>
          <w:sz w:val="22"/>
          <w:szCs w:val="22"/>
          <w:color w:val="auto"/>
        </w:rPr>
        <w:t>[***]” (collectively). Collaboration Candidates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Collaboration Products (“</w:t>
      </w:r>
      <w:r>
        <w:rPr>
          <w:rFonts w:ascii="Arial" w:cs="Arial" w:eastAsia="Arial" w:hAnsi="Arial"/>
          <w:sz w:val="22"/>
          <w:szCs w:val="22"/>
          <w:b w:val="1"/>
          <w:bCs w:val="1"/>
          <w:color w:val="auto"/>
        </w:rPr>
        <w:t>Collaboration Candidate 3</w:t>
      </w:r>
      <w:r>
        <w:rPr>
          <w:rFonts w:ascii="Arial" w:cs="Arial" w:eastAsia="Arial" w:hAnsi="Arial"/>
          <w:sz w:val="22"/>
          <w:szCs w:val="22"/>
          <w:color w:val="auto"/>
        </w:rPr>
        <w:t>” and “</w:t>
      </w:r>
      <w:r>
        <w:rPr>
          <w:rFonts w:ascii="Arial" w:cs="Arial" w:eastAsia="Arial" w:hAnsi="Arial"/>
          <w:sz w:val="22"/>
          <w:szCs w:val="22"/>
          <w:b w:val="1"/>
          <w:bCs w:val="1"/>
          <w:color w:val="auto"/>
        </w:rPr>
        <w:t>Collaboration Product 3</w:t>
      </w:r>
      <w:r>
        <w:rPr>
          <w:rFonts w:ascii="Arial" w:cs="Arial" w:eastAsia="Arial" w:hAnsi="Arial"/>
          <w:sz w:val="22"/>
          <w:szCs w:val="22"/>
          <w:color w:val="auto"/>
        </w:rPr>
        <w:t>”) directed to [***] will be Researched and Developed in accordance with the Agreement, for which ONO has the right to exercise the ONO Option.</w:t>
      </w:r>
    </w:p>
    <w:p>
      <w:pPr>
        <w:spacing w:after="0" w:line="192" w:lineRule="exact"/>
        <w:rPr>
          <w:sz w:val="20"/>
          <w:szCs w:val="20"/>
          <w:color w:val="auto"/>
        </w:rPr>
      </w:pPr>
    </w:p>
    <w:p>
      <w:pPr>
        <w:jc w:val="both"/>
        <w:ind w:left="1060" w:hanging="598"/>
        <w:spacing w:after="0" w:line="306" w:lineRule="auto"/>
        <w:tabs>
          <w:tab w:leader="none" w:pos="10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color w:val="auto"/>
        </w:rPr>
        <w:t xml:space="preserve">ONO agrees to provide [***] of the Amendment 01 Effective Date. The Parties acknowledge and agree that there shall be [***] (as set forth in Section [***] of the Agreement) owed by ONO to Fate upon such delivery. If ONO does not provide [***] within [***] of the Amendment 01 Effective Date, then ONO shall be deemed to have terminated the Agreement with respect to [***] in its entirety (the “[***] </w:t>
      </w:r>
      <w:r>
        <w:rPr>
          <w:rFonts w:ascii="Arial" w:cs="Arial" w:eastAsia="Arial" w:hAnsi="Arial"/>
          <w:sz w:val="21"/>
          <w:szCs w:val="21"/>
          <w:b w:val="1"/>
          <w:bCs w:val="1"/>
          <w:color w:val="auto"/>
        </w:rPr>
        <w:t>Termination</w:t>
      </w:r>
      <w:r>
        <w:rPr>
          <w:rFonts w:ascii="Arial" w:cs="Arial" w:eastAsia="Arial" w:hAnsi="Arial"/>
          <w:sz w:val="21"/>
          <w:szCs w:val="21"/>
          <w:color w:val="auto"/>
        </w:rPr>
        <w:t>”).]</w:t>
      </w:r>
    </w:p>
    <w:p>
      <w:pPr>
        <w:spacing w:after="0" w:line="172" w:lineRule="exact"/>
        <w:rPr>
          <w:sz w:val="20"/>
          <w:szCs w:val="20"/>
          <w:color w:val="auto"/>
        </w:rPr>
      </w:pPr>
    </w:p>
    <w:p>
      <w:pPr>
        <w:jc w:val="both"/>
        <w:ind w:left="1060" w:hanging="598"/>
        <w:spacing w:after="0" w:line="285" w:lineRule="auto"/>
        <w:tabs>
          <w:tab w:leader="none" w:pos="10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All references in the Agreement to ONO Antigen Binding Domain shall read ONO Antigen Binding Domain [***] (and, as such, applicable solely to [***]). The terms and conditions of the Agreement applicable to [***], ONO Antigen Binding Domain [***], Collaboration Candidate 2, Collaboration Product 2, Competitive Product 2 and Terminated Collaboration Candidate 2 (collectively, the “</w:t>
      </w:r>
      <w:r>
        <w:rPr>
          <w:rFonts w:ascii="Arial" w:cs="Arial" w:eastAsia="Arial" w:hAnsi="Arial"/>
          <w:sz w:val="22"/>
          <w:szCs w:val="22"/>
          <w:b w:val="1"/>
          <w:bCs w:val="1"/>
          <w:color w:val="auto"/>
        </w:rPr>
        <w:t>Collaboration Program 2</w:t>
      </w:r>
      <w:r>
        <w:rPr>
          <w:rFonts w:ascii="Arial" w:cs="Arial" w:eastAsia="Arial" w:hAnsi="Arial"/>
          <w:sz w:val="22"/>
          <w:szCs w:val="22"/>
          <w:color w:val="auto"/>
        </w:rPr>
        <w:t xml:space="preserve">”) shall also apply, </w:t>
      </w:r>
      <w:r>
        <w:rPr>
          <w:rFonts w:ascii="Arial" w:cs="Arial" w:eastAsia="Arial" w:hAnsi="Arial"/>
          <w:sz w:val="22"/>
          <w:szCs w:val="22"/>
          <w:i w:val="1"/>
          <w:iCs w:val="1"/>
          <w:color w:val="auto"/>
        </w:rPr>
        <w:t>mutatis</w:t>
      </w:r>
      <w:r>
        <w:rPr>
          <w:rFonts w:ascii="Arial" w:cs="Arial" w:eastAsia="Arial" w:hAnsi="Arial"/>
          <w:sz w:val="22"/>
          <w:szCs w:val="22"/>
          <w:color w:val="auto"/>
        </w:rPr>
        <w:t xml:space="preserve"> </w:t>
      </w:r>
      <w:r>
        <w:rPr>
          <w:rFonts w:ascii="Arial" w:cs="Arial" w:eastAsia="Arial" w:hAnsi="Arial"/>
          <w:sz w:val="22"/>
          <w:szCs w:val="22"/>
          <w:i w:val="1"/>
          <w:iCs w:val="1"/>
          <w:color w:val="auto"/>
        </w:rPr>
        <w:t>mutandis</w:t>
      </w:r>
      <w:r>
        <w:rPr>
          <w:rFonts w:ascii="Arial" w:cs="Arial" w:eastAsia="Arial" w:hAnsi="Arial"/>
          <w:sz w:val="22"/>
          <w:szCs w:val="22"/>
          <w:color w:val="auto"/>
        </w:rPr>
        <w:t>, to [***] (i.e., [***]), ONO Antigen Binding Domain [***], Collaboration Candidate 3, Collaboration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Product 3, Competitive Product 3 and Terminated Collaboration Candidate 3 (defined </w:t>
      </w:r>
      <w:r>
        <w:rPr>
          <w:rFonts w:ascii="Arial" w:cs="Arial" w:eastAsia="Arial" w:hAnsi="Arial"/>
          <w:sz w:val="22"/>
          <w:szCs w:val="22"/>
          <w:i w:val="1"/>
          <w:iCs w:val="1"/>
          <w:color w:val="auto"/>
        </w:rPr>
        <w:t>mutatis mutandis</w:t>
      </w:r>
      <w:r>
        <w:rPr>
          <w:rFonts w:ascii="Arial" w:cs="Arial" w:eastAsia="Arial" w:hAnsi="Arial"/>
          <w:sz w:val="22"/>
          <w:szCs w:val="22"/>
          <w:color w:val="auto"/>
        </w:rPr>
        <w:t>) (collectively, the “</w:t>
      </w:r>
      <w:r>
        <w:rPr>
          <w:rFonts w:ascii="Arial" w:cs="Arial" w:eastAsia="Arial" w:hAnsi="Arial"/>
          <w:sz w:val="22"/>
          <w:szCs w:val="22"/>
          <w:b w:val="1"/>
          <w:bCs w:val="1"/>
          <w:color w:val="auto"/>
        </w:rPr>
        <w:t>Collaboration Program 3</w:t>
      </w:r>
      <w:r>
        <w:rPr>
          <w:rFonts w:ascii="Arial" w:cs="Arial" w:eastAsia="Arial" w:hAnsi="Arial"/>
          <w:sz w:val="22"/>
          <w:szCs w:val="22"/>
          <w:color w:val="auto"/>
        </w:rPr>
        <w:t>”).</w:t>
      </w:r>
    </w:p>
    <w:p>
      <w:pPr>
        <w:spacing w:after="0" w:line="192" w:lineRule="exact"/>
        <w:rPr>
          <w:sz w:val="20"/>
          <w:szCs w:val="20"/>
          <w:color w:val="auto"/>
        </w:rPr>
      </w:pPr>
    </w:p>
    <w:p>
      <w:pPr>
        <w:jc w:val="both"/>
        <w:ind w:left="1060" w:right="20" w:hanging="598"/>
        <w:spacing w:after="0" w:line="291" w:lineRule="auto"/>
        <w:tabs>
          <w:tab w:leader="none" w:pos="10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Collaboration Program 2 and Collaboration Program 3 shall be two (2) separate programs under the Agreement, in that: (a) the ONO Option will be exercised, if at all, separately for one (1) [***] and one (1) [***], and a separate Option Exercise Payment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2" w:name="page83"/>
    <w:bookmarkEnd w:id="82"/>
    <w:p>
      <w:pPr>
        <w:jc w:val="both"/>
        <w:ind w:left="1060"/>
        <w:spacing w:after="0" w:line="286" w:lineRule="auto"/>
        <w:rPr>
          <w:sz w:val="20"/>
          <w:szCs w:val="20"/>
          <w:color w:val="auto"/>
        </w:rPr>
      </w:pPr>
      <w:r>
        <w:rPr>
          <w:rFonts w:ascii="Arial" w:cs="Arial" w:eastAsia="Arial" w:hAnsi="Arial"/>
          <w:sz w:val="22"/>
          <w:szCs w:val="22"/>
          <w:color w:val="auto"/>
        </w:rPr>
        <w:t xml:space="preserve">under Section 6.3.3(b) will be due for each of [***] and [***]; (b) in addition to ONO’s payment obligations under the Agreement with respect to [***] and [***], ONO has a separate set of payment obligations for [***]; (c) the same mechanism for any [***] or [***] to become a Fate Cell Therapy under [***] shall also serve as the mechanism for any [***] or [***] to become a Fate Cell Therapy under [***], applied </w:t>
      </w:r>
      <w:r>
        <w:rPr>
          <w:rFonts w:ascii="Arial" w:cs="Arial" w:eastAsia="Arial" w:hAnsi="Arial"/>
          <w:sz w:val="22"/>
          <w:szCs w:val="22"/>
          <w:i w:val="1"/>
          <w:iCs w:val="1"/>
          <w:color w:val="auto"/>
        </w:rPr>
        <w:t>mutatis mutandis</w:t>
      </w:r>
      <w:r>
        <w:rPr>
          <w:rFonts w:ascii="Arial" w:cs="Arial" w:eastAsia="Arial" w:hAnsi="Arial"/>
          <w:sz w:val="22"/>
          <w:szCs w:val="22"/>
          <w:color w:val="auto"/>
        </w:rPr>
        <w:t>; and (d) the FATE CDCC Option will be exercised, if at all, separately for [***] and [***].</w:t>
      </w:r>
    </w:p>
    <w:p>
      <w:pPr>
        <w:spacing w:after="0" w:line="194" w:lineRule="exact"/>
        <w:rPr>
          <w:sz w:val="20"/>
          <w:szCs w:val="20"/>
          <w:color w:val="auto"/>
        </w:rPr>
      </w:pPr>
    </w:p>
    <w:p>
      <w:pPr>
        <w:ind w:left="1060" w:hanging="598"/>
        <w:spacing w:after="0" w:line="302" w:lineRule="auto"/>
        <w:tabs>
          <w:tab w:leader="none" w:pos="10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color w:val="auto"/>
        </w:rPr>
        <w:t>Section 2.3.5 of the Agreement, which governs the identification of an Alternative Antigen Binding Domain, shall be of no further effect and shall be deleted in its entirety from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3</w:t>
      </w:r>
      <w:r>
        <w:rPr>
          <w:rFonts w:ascii="Arial" w:cs="Arial" w:eastAsia="Arial" w:hAnsi="Arial"/>
          <w:sz w:val="19"/>
          <w:szCs w:val="19"/>
          <w:b w:val="1"/>
          <w:bCs w:val="1"/>
          <w:u w:val="single" w:color="auto"/>
          <w:color w:val="auto"/>
        </w:rPr>
        <w:t>Amendments to the Agreement.</w:t>
      </w:r>
      <w:r>
        <w:rPr>
          <w:rFonts w:ascii="Arial" w:cs="Arial" w:eastAsia="Arial" w:hAnsi="Arial"/>
          <w:sz w:val="19"/>
          <w:szCs w:val="19"/>
          <w:color w:val="auto"/>
        </w:rPr>
        <w:t xml:space="preserve"> The Parties hereby agree on the following amendments to the Agreement effective as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Amendment 01 Effective Date:</w:t>
      </w:r>
    </w:p>
    <w:p>
      <w:pPr>
        <w:spacing w:after="0" w:line="283"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Section 1.102 of the Agreement shall be replaced in its entirety to read as follows:</w:t>
      </w:r>
    </w:p>
    <w:p>
      <w:pPr>
        <w:spacing w:after="0" w:line="25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2</w:t>
      </w:r>
      <w:r>
        <w:rPr>
          <w:rFonts w:ascii="Arial" w:cs="Arial" w:eastAsia="Arial" w:hAnsi="Arial"/>
          <w:sz w:val="22"/>
          <w:szCs w:val="22"/>
          <w:color w:val="auto"/>
        </w:rPr>
        <w:t>” means: [***].</w:t>
      </w:r>
    </w:p>
    <w:p>
      <w:pPr>
        <w:spacing w:after="0" w:line="266"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Section 1.102(a) is hereby added to the Agreement to read as follows:</w:t>
      </w:r>
    </w:p>
    <w:p>
      <w:pPr>
        <w:spacing w:after="0" w:line="25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3</w:t>
      </w:r>
      <w:r>
        <w:rPr>
          <w:rFonts w:ascii="Arial" w:cs="Arial" w:eastAsia="Arial" w:hAnsi="Arial"/>
          <w:sz w:val="22"/>
          <w:szCs w:val="22"/>
          <w:color w:val="auto"/>
        </w:rPr>
        <w:t>” means: [***].</w:t>
      </w:r>
    </w:p>
    <w:p>
      <w:pPr>
        <w:spacing w:after="0" w:line="260" w:lineRule="exact"/>
        <w:rPr>
          <w:sz w:val="20"/>
          <w:szCs w:val="20"/>
          <w:color w:val="auto"/>
        </w:rPr>
      </w:pPr>
    </w:p>
    <w:p>
      <w:pPr>
        <w:ind w:left="1040" w:hanging="588"/>
        <w:spacing w:after="0" w:line="307" w:lineRule="auto"/>
        <w:tabs>
          <w:tab w:leader="none" w:pos="10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b w:val="1"/>
          <w:bCs w:val="1"/>
          <w:color w:val="auto"/>
        </w:rPr>
        <w:t>Research and Development Costs</w:t>
      </w:r>
      <w:r>
        <w:rPr>
          <w:rFonts w:ascii="Arial" w:cs="Arial" w:eastAsia="Arial" w:hAnsi="Arial"/>
          <w:sz w:val="22"/>
          <w:szCs w:val="22"/>
          <w:color w:val="auto"/>
        </w:rPr>
        <w:t>. The table of Annual R&amp;D Fees in Section 6.2.2 shall be replaced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to read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1260" w:type="dxa"/>
            <w:vAlign w:val="bottom"/>
            <w:tcBorders>
              <w:righ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96"/>
              </w:rPr>
              <w:t>Estimated Annual Collaboration</w:t>
            </w:r>
          </w:p>
        </w:tc>
        <w:tc>
          <w:tcPr>
            <w:tcW w:w="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82"/>
        </w:trPr>
        <w:tc>
          <w:tcPr>
            <w:tcW w:w="12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tcBorders>
              <w:right w:val="single" w:sz="8" w:color="auto"/>
            </w:tcBorders>
            <w:gridSpan w:val="2"/>
          </w:tcPr>
          <w:p>
            <w:pPr>
              <w:ind w:left="340"/>
              <w:spacing w:after="0"/>
              <w:rPr>
                <w:sz w:val="20"/>
                <w:szCs w:val="20"/>
                <w:color w:val="auto"/>
              </w:rPr>
            </w:pPr>
            <w:r>
              <w:rPr>
                <w:rFonts w:ascii="Arial" w:cs="Arial" w:eastAsia="Arial" w:hAnsi="Arial"/>
                <w:sz w:val="22"/>
                <w:szCs w:val="22"/>
                <w:b w:val="1"/>
                <w:bCs w:val="1"/>
                <w:color w:val="auto"/>
              </w:rPr>
              <w:t>Research Term Year</w:t>
            </w:r>
          </w:p>
        </w:tc>
        <w:tc>
          <w:tcPr>
            <w:tcW w:w="100" w:type="dxa"/>
            <w:vAlign w:val="bottom"/>
          </w:tcPr>
          <w:p>
            <w:pPr>
              <w:spacing w:after="0"/>
              <w:rPr>
                <w:sz w:val="24"/>
                <w:szCs w:val="24"/>
                <w:color w:val="auto"/>
              </w:rPr>
            </w:pPr>
          </w:p>
        </w:tc>
        <w:tc>
          <w:tcPr>
            <w:tcW w:w="3520" w:type="dxa"/>
            <w:vAlign w:val="bottom"/>
          </w:tcPr>
          <w:p>
            <w:pPr>
              <w:jc w:val="right"/>
              <w:ind w:right="1332"/>
              <w:spacing w:after="0"/>
              <w:rPr>
                <w:sz w:val="20"/>
                <w:szCs w:val="20"/>
                <w:color w:val="auto"/>
              </w:rPr>
            </w:pPr>
            <w:r>
              <w:rPr>
                <w:rFonts w:ascii="Arial" w:cs="Arial" w:eastAsia="Arial" w:hAnsi="Arial"/>
                <w:sz w:val="22"/>
                <w:szCs w:val="22"/>
                <w:b w:val="1"/>
                <w:bCs w:val="1"/>
                <w:color w:val="auto"/>
              </w:rPr>
              <w:t>Budget</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Borders>
              <w:right w:val="single" w:sz="8" w:color="auto"/>
            </w:tcBorders>
            <w:gridSpan w:val="2"/>
          </w:tcPr>
          <w:p>
            <w:pPr>
              <w:ind w:left="380"/>
              <w:spacing w:after="0"/>
              <w:rPr>
                <w:sz w:val="20"/>
                <w:szCs w:val="20"/>
                <w:color w:val="auto"/>
              </w:rPr>
            </w:pPr>
            <w:r>
              <w:rPr>
                <w:rFonts w:ascii="Arial" w:cs="Arial" w:eastAsia="Arial" w:hAnsi="Arial"/>
                <w:sz w:val="22"/>
                <w:szCs w:val="22"/>
                <w:b w:val="1"/>
                <w:bCs w:val="1"/>
                <w:color w:val="auto"/>
              </w:rPr>
              <w:t>Annual R&amp;D Fees</w:t>
            </w:r>
          </w:p>
        </w:tc>
        <w:tc>
          <w:tcPr>
            <w:tcW w:w="840" w:type="dxa"/>
            <w:vAlign w:val="bottom"/>
          </w:tcPr>
          <w:p>
            <w:pPr>
              <w:spacing w:after="0"/>
              <w:rPr>
                <w:sz w:val="24"/>
                <w:szCs w:val="24"/>
                <w:color w:val="auto"/>
              </w:rPr>
            </w:pPr>
          </w:p>
        </w:tc>
      </w:tr>
      <w:tr>
        <w:trPr>
          <w:trHeight w:val="66"/>
        </w:trPr>
        <w:tc>
          <w:tcPr>
            <w:tcW w:w="126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56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52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8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40" w:type="dxa"/>
            <w:vAlign w:val="bottom"/>
          </w:tcPr>
          <w:p>
            <w:pPr>
              <w:spacing w:after="0"/>
              <w:rPr>
                <w:sz w:val="5"/>
                <w:szCs w:val="5"/>
                <w:color w:val="auto"/>
              </w:rPr>
            </w:pPr>
          </w:p>
        </w:tc>
      </w:tr>
      <w:tr>
        <w:trPr>
          <w:trHeight w:val="257"/>
        </w:trPr>
        <w:tc>
          <w:tcPr>
            <w:tcW w:w="1260" w:type="dxa"/>
            <w:vAlign w:val="bottom"/>
            <w:tcBorders>
              <w:right w:val="single" w:sz="8" w:color="auto"/>
            </w:tcBorders>
          </w:tcPr>
          <w:p>
            <w:pPr>
              <w:spacing w:after="0"/>
              <w:rPr>
                <w:sz w:val="22"/>
                <w:szCs w:val="22"/>
                <w:color w:val="auto"/>
              </w:rPr>
            </w:pPr>
          </w:p>
        </w:tc>
        <w:tc>
          <w:tcPr>
            <w:tcW w:w="2600" w:type="dxa"/>
            <w:vAlign w:val="bottom"/>
            <w:gridSpan w:val="2"/>
          </w:tcPr>
          <w:p>
            <w:pPr>
              <w:jc w:val="center"/>
              <w:spacing w:after="0"/>
              <w:rPr>
                <w:sz w:val="20"/>
                <w:szCs w:val="20"/>
                <w:color w:val="auto"/>
              </w:rPr>
            </w:pPr>
            <w:r>
              <w:rPr>
                <w:rFonts w:ascii="Arial" w:cs="Arial" w:eastAsia="Arial" w:hAnsi="Arial"/>
                <w:sz w:val="22"/>
                <w:szCs w:val="22"/>
                <w:color w:val="auto"/>
                <w:w w:val="97"/>
              </w:rPr>
              <w:t>1</w:t>
            </w:r>
          </w:p>
        </w:tc>
        <w:tc>
          <w:tcPr>
            <w:tcW w:w="120" w:type="dxa"/>
            <w:vAlign w:val="bottom"/>
            <w:tcBorders>
              <w:right w:val="single" w:sz="8" w:color="auto"/>
            </w:tcBorders>
          </w:tcPr>
          <w:p>
            <w:pPr>
              <w:spacing w:after="0"/>
              <w:rPr>
                <w:sz w:val="22"/>
                <w:szCs w:val="22"/>
                <w:color w:val="auto"/>
              </w:rPr>
            </w:pPr>
          </w:p>
        </w:tc>
        <w:tc>
          <w:tcPr>
            <w:tcW w:w="3620" w:type="dxa"/>
            <w:vAlign w:val="bottom"/>
            <w:gridSpan w:val="2"/>
          </w:tcPr>
          <w:p>
            <w:pPr>
              <w:jc w:val="right"/>
              <w:ind w:right="1632"/>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2"/>
                <w:szCs w:val="22"/>
                <w:color w:val="auto"/>
              </w:rPr>
            </w:pPr>
          </w:p>
        </w:tc>
        <w:tc>
          <w:tcPr>
            <w:tcW w:w="2580" w:type="dxa"/>
            <w:vAlign w:val="bottom"/>
            <w:gridSpan w:val="2"/>
          </w:tcPr>
          <w:p>
            <w:pPr>
              <w:jc w:val="center"/>
              <w:ind w:right="192"/>
              <w:spacing w:after="0"/>
              <w:rPr>
                <w:sz w:val="20"/>
                <w:szCs w:val="20"/>
                <w:color w:val="auto"/>
              </w:rPr>
            </w:pPr>
            <w:r>
              <w:rPr>
                <w:rFonts w:ascii="Arial" w:cs="Arial" w:eastAsia="Arial" w:hAnsi="Arial"/>
                <w:sz w:val="22"/>
                <w:szCs w:val="22"/>
                <w:color w:val="auto"/>
                <w:w w:val="87"/>
              </w:rPr>
              <w:t>$5,000,000</w:t>
            </w:r>
          </w:p>
        </w:tc>
        <w:tc>
          <w:tcPr>
            <w:tcW w:w="100" w:type="dxa"/>
            <w:vAlign w:val="bottom"/>
            <w:tcBorders>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r>
      <w:tr>
        <w:trPr>
          <w:trHeight w:val="44"/>
        </w:trPr>
        <w:tc>
          <w:tcPr>
            <w:tcW w:w="1260" w:type="dxa"/>
            <w:vAlign w:val="bottom"/>
            <w:tcBorders>
              <w:right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1260" w:type="dxa"/>
            <w:vAlign w:val="bottom"/>
            <w:tcBorders>
              <w:right w:val="single" w:sz="8" w:color="auto"/>
            </w:tcBorders>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3620" w:type="dxa"/>
            <w:vAlign w:val="bottom"/>
            <w:gridSpan w:val="2"/>
          </w:tcPr>
          <w:p>
            <w:pPr>
              <w:jc w:val="right"/>
              <w:ind w:right="1672"/>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2580" w:type="dxa"/>
            <w:vAlign w:val="bottom"/>
            <w:gridSpan w:val="2"/>
          </w:tcPr>
          <w:p>
            <w:pPr>
              <w:jc w:val="center"/>
              <w:ind w:right="192"/>
              <w:spacing w:after="0"/>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r>
      <w:tr>
        <w:trPr>
          <w:trHeight w:val="44"/>
        </w:trPr>
        <w:tc>
          <w:tcPr>
            <w:tcW w:w="1260" w:type="dxa"/>
            <w:vAlign w:val="bottom"/>
            <w:tcBorders>
              <w:right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1260" w:type="dxa"/>
            <w:vAlign w:val="bottom"/>
            <w:tcBorders>
              <w:right w:val="single" w:sz="8" w:color="auto"/>
            </w:tcBorders>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3620" w:type="dxa"/>
            <w:vAlign w:val="bottom"/>
            <w:gridSpan w:val="2"/>
          </w:tcPr>
          <w:p>
            <w:pPr>
              <w:jc w:val="right"/>
              <w:ind w:right="1672"/>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2580" w:type="dxa"/>
            <w:vAlign w:val="bottom"/>
            <w:gridSpan w:val="2"/>
          </w:tcPr>
          <w:p>
            <w:pPr>
              <w:jc w:val="center"/>
              <w:ind w:right="192"/>
              <w:spacing w:after="0"/>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r>
      <w:tr>
        <w:trPr>
          <w:trHeight w:val="44"/>
        </w:trPr>
        <w:tc>
          <w:tcPr>
            <w:tcW w:w="1260" w:type="dxa"/>
            <w:vAlign w:val="bottom"/>
            <w:tcBorders>
              <w:right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1260" w:type="dxa"/>
            <w:vAlign w:val="bottom"/>
            <w:tcBorders>
              <w:right w:val="single" w:sz="8" w:color="auto"/>
            </w:tcBorders>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3620" w:type="dxa"/>
            <w:vAlign w:val="bottom"/>
            <w:gridSpan w:val="2"/>
          </w:tcPr>
          <w:p>
            <w:pPr>
              <w:jc w:val="right"/>
              <w:ind w:right="1672"/>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2580" w:type="dxa"/>
            <w:vAlign w:val="bottom"/>
            <w:gridSpan w:val="2"/>
          </w:tcPr>
          <w:p>
            <w:pPr>
              <w:jc w:val="center"/>
              <w:ind w:right="192"/>
              <w:spacing w:after="0"/>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r>
      <w:tr>
        <w:trPr>
          <w:trHeight w:val="44"/>
        </w:trPr>
        <w:tc>
          <w:tcPr>
            <w:tcW w:w="1260" w:type="dxa"/>
            <w:vAlign w:val="bottom"/>
            <w:tcBorders>
              <w:right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1260" w:type="dxa"/>
            <w:vAlign w:val="bottom"/>
            <w:tcBorders>
              <w:right w:val="single" w:sz="8" w:color="auto"/>
            </w:tcBorders>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3620" w:type="dxa"/>
            <w:vAlign w:val="bottom"/>
            <w:gridSpan w:val="2"/>
          </w:tcPr>
          <w:p>
            <w:pPr>
              <w:jc w:val="right"/>
              <w:ind w:right="1672"/>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2580" w:type="dxa"/>
            <w:vAlign w:val="bottom"/>
            <w:gridSpan w:val="2"/>
          </w:tcPr>
          <w:p>
            <w:pPr>
              <w:jc w:val="center"/>
              <w:ind w:right="192"/>
              <w:spacing w:after="0"/>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r>
      <w:tr>
        <w:trPr>
          <w:trHeight w:val="44"/>
        </w:trPr>
        <w:tc>
          <w:tcPr>
            <w:tcW w:w="1260" w:type="dxa"/>
            <w:vAlign w:val="bottom"/>
            <w:tcBorders>
              <w:right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1260" w:type="dxa"/>
            <w:vAlign w:val="bottom"/>
            <w:tcBorders>
              <w:right w:val="single" w:sz="8" w:color="auto"/>
            </w:tcBorders>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3620" w:type="dxa"/>
            <w:vAlign w:val="bottom"/>
            <w:gridSpan w:val="2"/>
          </w:tcPr>
          <w:p>
            <w:pPr>
              <w:jc w:val="right"/>
              <w:ind w:right="1672"/>
              <w:spacing w:after="0"/>
              <w:rPr>
                <w:sz w:val="20"/>
                <w:szCs w:val="20"/>
                <w:color w:val="auto"/>
              </w:rPr>
            </w:pPr>
            <w:r>
              <w:rPr>
                <w:rFonts w:ascii="Arial" w:cs="Arial" w:eastAsia="Arial" w:hAnsi="Arial"/>
                <w:sz w:val="22"/>
                <w:szCs w:val="22"/>
                <w:color w:val="auto"/>
              </w:rPr>
              <w:t>[***]</w:t>
            </w:r>
          </w:p>
        </w:tc>
        <w:tc>
          <w:tcPr>
            <w:tcW w:w="120" w:type="dxa"/>
            <w:vAlign w:val="bottom"/>
            <w:tcBorders>
              <w:right w:val="single" w:sz="8" w:color="auto"/>
            </w:tcBorders>
          </w:tcPr>
          <w:p>
            <w:pPr>
              <w:spacing w:after="0"/>
              <w:rPr>
                <w:sz w:val="23"/>
                <w:szCs w:val="23"/>
                <w:color w:val="auto"/>
              </w:rPr>
            </w:pPr>
          </w:p>
        </w:tc>
        <w:tc>
          <w:tcPr>
            <w:tcW w:w="2580" w:type="dxa"/>
            <w:vAlign w:val="bottom"/>
            <w:gridSpan w:val="2"/>
          </w:tcPr>
          <w:p>
            <w:pPr>
              <w:jc w:val="center"/>
              <w:ind w:right="192"/>
              <w:spacing w:after="0"/>
              <w:rPr>
                <w:sz w:val="20"/>
                <w:szCs w:val="20"/>
                <w:color w:val="auto"/>
              </w:rPr>
            </w:pPr>
            <w:r>
              <w:rPr>
                <w:rFonts w:ascii="Arial" w:cs="Arial" w:eastAsia="Arial" w:hAnsi="Arial"/>
                <w:sz w:val="22"/>
                <w:szCs w:val="22"/>
                <w:color w:val="auto"/>
              </w:rPr>
              <w:t>[***]</w:t>
            </w:r>
          </w:p>
        </w:tc>
        <w:tc>
          <w:tcPr>
            <w:tcW w:w="10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r>
      <w:tr>
        <w:trPr>
          <w:trHeight w:val="44"/>
        </w:trPr>
        <w:tc>
          <w:tcPr>
            <w:tcW w:w="1260" w:type="dxa"/>
            <w:vAlign w:val="bottom"/>
            <w:tcBorders>
              <w:right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3860" w:type="dxa"/>
            <w:vAlign w:val="bottom"/>
            <w:gridSpan w:val="3"/>
          </w:tcPr>
          <w:p>
            <w:pPr>
              <w:jc w:val="right"/>
              <w:ind w:right="1652"/>
              <w:spacing w:after="0"/>
              <w:rPr>
                <w:sz w:val="20"/>
                <w:szCs w:val="20"/>
                <w:color w:val="auto"/>
              </w:rPr>
            </w:pPr>
            <w:r>
              <w:rPr>
                <w:rFonts w:ascii="Arial" w:cs="Arial" w:eastAsia="Arial" w:hAnsi="Arial"/>
                <w:sz w:val="20"/>
                <w:szCs w:val="20"/>
                <w:color w:val="auto"/>
              </w:rPr>
              <w:t>* [</w:t>
            </w:r>
            <w:r>
              <w:rPr>
                <w:rFonts w:ascii="Arial" w:cs="Arial" w:eastAsia="Arial" w:hAnsi="Arial"/>
                <w:sz w:val="21"/>
                <w:szCs w:val="21"/>
                <w:color w:val="auto"/>
              </w:rPr>
              <w:t>***</w:t>
            </w: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513"/>
        </w:trPr>
        <w:tc>
          <w:tcPr>
            <w:tcW w:w="3980" w:type="dxa"/>
            <w:vAlign w:val="bottom"/>
            <w:gridSpan w:val="4"/>
          </w:tcPr>
          <w:p>
            <w:pPr>
              <w:ind w:left="46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Development Milestones.</w:t>
            </w: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88"/>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jc w:val="right"/>
              <w:ind w:right="1692"/>
              <w:spacing w:after="0"/>
              <w:rPr>
                <w:sz w:val="20"/>
                <w:szCs w:val="20"/>
                <w:color w:val="auto"/>
              </w:rPr>
            </w:pPr>
            <w:r>
              <w:rPr>
                <w:rFonts w:ascii="Arial" w:cs="Arial" w:eastAsia="Arial" w:hAnsi="Arial"/>
                <w:sz w:val="22"/>
                <w:szCs w:val="22"/>
                <w:color w:val="auto"/>
              </w:rPr>
              <w:t>- 3 -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5"/>
        </w:trPr>
        <w:tc>
          <w:tcPr>
            <w:tcW w:w="1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3" w:name="page84"/>
    <w:bookmarkEnd w:id="83"/>
    <w:p>
      <w:pPr>
        <w:jc w:val="both"/>
        <w:ind w:left="2100" w:hanging="744"/>
        <w:spacing w:after="0" w:line="291" w:lineRule="auto"/>
        <w:tabs>
          <w:tab w:leader="none" w:pos="21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tables of milestone payments in Section 6.3.4 (b), (c) and (d) are deleted in their entirety and replaced by the following tables, and each such milestone payment shall be payable once for [***] and once for [***]:</w:t>
      </w:r>
    </w:p>
    <w:p>
      <w:pPr>
        <w:spacing w:after="0" w:line="180" w:lineRule="exact"/>
        <w:rPr>
          <w:rFonts w:ascii="Arial" w:cs="Arial" w:eastAsia="Arial" w:hAnsi="Arial"/>
          <w:sz w:val="22"/>
          <w:szCs w:val="22"/>
          <w:color w:val="auto"/>
        </w:rPr>
      </w:pPr>
    </w:p>
    <w:p>
      <w:pPr>
        <w:ind w:left="2100" w:hanging="744"/>
        <w:spacing w:after="0"/>
        <w:tabs>
          <w:tab w:leader="none" w:pos="210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In the United States.</w:t>
      </w:r>
    </w:p>
    <w:p>
      <w:pPr>
        <w:spacing w:after="0" w:line="237" w:lineRule="exact"/>
        <w:rPr>
          <w:sz w:val="20"/>
          <w:szCs w:val="20"/>
          <w:color w:val="auto"/>
        </w:rPr>
      </w:pPr>
    </w:p>
    <w:tbl>
      <w:tblPr>
        <w:tblLayout w:type="fixed"/>
        <w:tblInd w:w="1390" w:type="dxa"/>
        <w:tblCellMar>
          <w:top w:w="0" w:type="dxa"/>
          <w:left w:w="0" w:type="dxa"/>
          <w:bottom w:w="0" w:type="dxa"/>
          <w:right w:w="0" w:type="dxa"/>
        </w:tblCellMar>
      </w:tblPr>
      <w:tr>
        <w:trPr>
          <w:trHeight w:val="300"/>
        </w:trPr>
        <w:tc>
          <w:tcPr>
            <w:tcW w:w="160" w:type="dxa"/>
            <w:vAlign w:val="bottom"/>
            <w:tcBorders>
              <w:top w:val="single" w:sz="8" w:color="auto"/>
              <w:left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380" w:type="dxa"/>
            <w:vAlign w:val="bottom"/>
            <w:tcBorders>
              <w:top w:val="single" w:sz="8" w:color="auto"/>
              <w:right w:val="single" w:sz="8" w:color="auto"/>
            </w:tcBorders>
            <w:gridSpan w:val="2"/>
          </w:tcPr>
          <w:p>
            <w:pPr>
              <w:ind w:left="240"/>
              <w:spacing w:after="0"/>
              <w:rPr>
                <w:sz w:val="20"/>
                <w:szCs w:val="20"/>
                <w:color w:val="auto"/>
              </w:rPr>
            </w:pPr>
            <w:r>
              <w:rPr>
                <w:rFonts w:ascii="Arial" w:cs="Arial" w:eastAsia="Arial" w:hAnsi="Arial"/>
                <w:sz w:val="22"/>
                <w:szCs w:val="22"/>
                <w:b w:val="1"/>
                <w:bCs w:val="1"/>
                <w:color w:val="auto"/>
              </w:rPr>
              <w:t>Development Milestone Event *</w:t>
            </w: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gridSpan w:val="6"/>
          </w:tcPr>
          <w:p>
            <w:pPr>
              <w:ind w:left="140"/>
              <w:spacing w:after="0"/>
              <w:rPr>
                <w:sz w:val="20"/>
                <w:szCs w:val="20"/>
                <w:color w:val="auto"/>
              </w:rPr>
            </w:pPr>
            <w:r>
              <w:rPr>
                <w:rFonts w:ascii="Arial" w:cs="Arial" w:eastAsia="Arial" w:hAnsi="Arial"/>
                <w:sz w:val="22"/>
                <w:szCs w:val="22"/>
                <w:b w:val="1"/>
                <w:bCs w:val="1"/>
                <w:color w:val="auto"/>
              </w:rPr>
              <w:t>Milestone Payment</w:t>
            </w:r>
          </w:p>
        </w:tc>
      </w:tr>
      <w:tr>
        <w:trPr>
          <w:trHeight w:val="51"/>
        </w:trPr>
        <w:tc>
          <w:tcPr>
            <w:tcW w:w="160" w:type="dxa"/>
            <w:vAlign w:val="bottom"/>
            <w:tcBorders>
              <w:left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4220" w:type="dxa"/>
            <w:vAlign w:val="bottom"/>
            <w:tcBorders>
              <w:top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57"/>
        </w:trPr>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380" w:type="dxa"/>
            <w:vAlign w:val="bottom"/>
            <w:tcBorders>
              <w:right w:val="single" w:sz="8" w:color="auto"/>
            </w:tcBorders>
            <w:gridSpan w:val="2"/>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2"/>
                <w:szCs w:val="22"/>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r>
      <w:tr>
        <w:trPr>
          <w:trHeight w:val="44"/>
        </w:trPr>
        <w:tc>
          <w:tcPr>
            <w:tcW w:w="980" w:type="dxa"/>
            <w:vAlign w:val="bottom"/>
            <w:tcBorders>
              <w:bottom w:val="single" w:sz="8" w:color="auto"/>
            </w:tcBorders>
            <w:gridSpan w:val="2"/>
          </w:tcPr>
          <w:p>
            <w:pPr>
              <w:spacing w:after="0"/>
              <w:rPr>
                <w:sz w:val="3"/>
                <w:szCs w:val="3"/>
                <w:color w:val="auto"/>
              </w:rPr>
            </w:pPr>
          </w:p>
        </w:tc>
        <w:tc>
          <w:tcPr>
            <w:tcW w:w="438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3"/>
        </w:trPr>
        <w:tc>
          <w:tcPr>
            <w:tcW w:w="98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438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80" w:type="dxa"/>
            <w:vAlign w:val="bottom"/>
            <w:tcBorders>
              <w:bottom w:val="single" w:sz="8" w:color="auto"/>
            </w:tcBorders>
            <w:gridSpan w:val="2"/>
          </w:tcPr>
          <w:p>
            <w:pPr>
              <w:spacing w:after="0"/>
              <w:rPr>
                <w:sz w:val="3"/>
                <w:szCs w:val="3"/>
                <w:color w:val="auto"/>
              </w:rPr>
            </w:pPr>
          </w:p>
        </w:tc>
        <w:tc>
          <w:tcPr>
            <w:tcW w:w="438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3"/>
        </w:trPr>
        <w:tc>
          <w:tcPr>
            <w:tcW w:w="98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438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80" w:type="dxa"/>
            <w:vAlign w:val="bottom"/>
            <w:tcBorders>
              <w:bottom w:val="single" w:sz="8" w:color="auto"/>
            </w:tcBorders>
            <w:gridSpan w:val="2"/>
          </w:tcPr>
          <w:p>
            <w:pPr>
              <w:spacing w:after="0"/>
              <w:rPr>
                <w:sz w:val="3"/>
                <w:szCs w:val="3"/>
                <w:color w:val="auto"/>
              </w:rPr>
            </w:pPr>
          </w:p>
        </w:tc>
        <w:tc>
          <w:tcPr>
            <w:tcW w:w="438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3"/>
        </w:trPr>
        <w:tc>
          <w:tcPr>
            <w:tcW w:w="98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438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80" w:type="dxa"/>
            <w:vAlign w:val="bottom"/>
            <w:tcBorders>
              <w:bottom w:val="single" w:sz="8" w:color="auto"/>
            </w:tcBorders>
            <w:gridSpan w:val="2"/>
          </w:tcPr>
          <w:p>
            <w:pPr>
              <w:spacing w:after="0"/>
              <w:rPr>
                <w:sz w:val="3"/>
                <w:szCs w:val="3"/>
                <w:color w:val="auto"/>
              </w:rPr>
            </w:pPr>
          </w:p>
        </w:tc>
        <w:tc>
          <w:tcPr>
            <w:tcW w:w="438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4"/>
        </w:trPr>
        <w:tc>
          <w:tcPr>
            <w:tcW w:w="98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438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80" w:type="dxa"/>
            <w:vAlign w:val="bottom"/>
            <w:tcBorders>
              <w:bottom w:val="single" w:sz="8" w:color="auto"/>
            </w:tcBorders>
            <w:gridSpan w:val="2"/>
          </w:tcPr>
          <w:p>
            <w:pPr>
              <w:spacing w:after="0"/>
              <w:rPr>
                <w:sz w:val="3"/>
                <w:szCs w:val="3"/>
                <w:color w:val="auto"/>
              </w:rPr>
            </w:pPr>
          </w:p>
        </w:tc>
        <w:tc>
          <w:tcPr>
            <w:tcW w:w="438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5"/>
        </w:trPr>
        <w:tc>
          <w:tcPr>
            <w:tcW w:w="98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438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36"/>
        </w:trPr>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7"/>
        </w:trPr>
        <w:tc>
          <w:tcPr>
            <w:tcW w:w="98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4380" w:type="dxa"/>
            <w:vAlign w:val="bottom"/>
            <w:tcBorders>
              <w:right w:val="single" w:sz="8" w:color="auto"/>
            </w:tcBorders>
            <w:gridSpan w:val="2"/>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4"/>
                <w:szCs w:val="2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274"/>
        </w:trPr>
        <w:tc>
          <w:tcPr>
            <w:tcW w:w="98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438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80" w:type="dxa"/>
            <w:vAlign w:val="bottom"/>
            <w:tcBorders>
              <w:bottom w:val="single" w:sz="8" w:color="auto"/>
            </w:tcBorders>
            <w:gridSpan w:val="2"/>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314"/>
        </w:trPr>
        <w:tc>
          <w:tcPr>
            <w:tcW w:w="980" w:type="dxa"/>
            <w:vAlign w:val="bottom"/>
            <w:gridSpan w:val="2"/>
          </w:tcPr>
          <w:p>
            <w:pPr>
              <w:ind w:left="100"/>
              <w:spacing w:after="0"/>
              <w:rPr>
                <w:sz w:val="20"/>
                <w:szCs w:val="20"/>
                <w:color w:val="auto"/>
              </w:rPr>
            </w:pPr>
            <w:r>
              <w:rPr>
                <w:rFonts w:ascii="Arial" w:cs="Arial" w:eastAsia="Arial" w:hAnsi="Arial"/>
                <w:sz w:val="22"/>
                <w:szCs w:val="22"/>
                <w:color w:val="auto"/>
              </w:rPr>
              <w:t>* [***]</w:t>
            </w: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40" w:type="dxa"/>
            <w:vAlign w:val="bottom"/>
            <w:gridSpan w:val="3"/>
          </w:tcPr>
          <w:p>
            <w:pPr>
              <w:ind w:left="1360"/>
              <w:spacing w:after="0"/>
              <w:rPr>
                <w:sz w:val="20"/>
                <w:szCs w:val="20"/>
                <w:color w:val="auto"/>
              </w:rPr>
            </w:pPr>
            <w:r>
              <w:rPr>
                <w:rFonts w:ascii="Arial" w:cs="Arial" w:eastAsia="Arial" w:hAnsi="Arial"/>
                <w:sz w:val="22"/>
                <w:szCs w:val="22"/>
                <w:b w:val="1"/>
                <w:bCs w:val="1"/>
                <w:color w:val="auto"/>
              </w:rPr>
              <w:t>(c)</w:t>
            </w:r>
          </w:p>
        </w:tc>
        <w:tc>
          <w:tcPr>
            <w:tcW w:w="4660" w:type="dxa"/>
            <w:vAlign w:val="bottom"/>
            <w:gridSpan w:val="2"/>
          </w:tcPr>
          <w:p>
            <w:pPr>
              <w:ind w:left="60"/>
              <w:spacing w:after="0"/>
              <w:rPr>
                <w:sz w:val="20"/>
                <w:szCs w:val="20"/>
                <w:color w:val="auto"/>
              </w:rPr>
            </w:pPr>
            <w:r>
              <w:rPr>
                <w:rFonts w:ascii="Arial" w:cs="Arial" w:eastAsia="Arial" w:hAnsi="Arial"/>
                <w:sz w:val="22"/>
                <w:szCs w:val="22"/>
                <w:b w:val="1"/>
                <w:bCs w:val="1"/>
                <w:color w:val="auto"/>
              </w:rPr>
              <w:t>In Europe.</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14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Pr>
          <w:p>
            <w:pPr>
              <w:spacing w:after="0"/>
              <w:rPr>
                <w:sz w:val="21"/>
                <w:szCs w:val="21"/>
                <w:color w:val="auto"/>
              </w:rPr>
            </w:pPr>
          </w:p>
        </w:tc>
      </w:tr>
      <w:tr>
        <w:trPr>
          <w:trHeight w:val="247"/>
        </w:trPr>
        <w:tc>
          <w:tcPr>
            <w:tcW w:w="14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60" w:type="dxa"/>
            <w:vAlign w:val="bottom"/>
            <w:tcBorders>
              <w:right w:val="single" w:sz="8" w:color="auto"/>
            </w:tcBorders>
            <w:gridSpan w:val="2"/>
          </w:tcPr>
          <w:p>
            <w:pPr>
              <w:ind w:left="560"/>
              <w:spacing w:after="0" w:line="247" w:lineRule="exact"/>
              <w:rPr>
                <w:sz w:val="20"/>
                <w:szCs w:val="20"/>
                <w:color w:val="auto"/>
              </w:rPr>
            </w:pPr>
            <w:r>
              <w:rPr>
                <w:rFonts w:ascii="Arial" w:cs="Arial" w:eastAsia="Arial" w:hAnsi="Arial"/>
                <w:sz w:val="22"/>
                <w:szCs w:val="22"/>
                <w:b w:val="1"/>
                <w:bCs w:val="1"/>
                <w:color w:val="auto"/>
              </w:rPr>
              <w:t>Development Milestone Event *</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20" w:type="dxa"/>
            <w:vAlign w:val="bottom"/>
            <w:gridSpan w:val="6"/>
          </w:tcPr>
          <w:p>
            <w:pPr>
              <w:ind w:left="140"/>
              <w:spacing w:after="0" w:line="247" w:lineRule="exact"/>
              <w:rPr>
                <w:sz w:val="20"/>
                <w:szCs w:val="20"/>
                <w:color w:val="auto"/>
              </w:rPr>
            </w:pPr>
            <w:r>
              <w:rPr>
                <w:rFonts w:ascii="Arial" w:cs="Arial" w:eastAsia="Arial" w:hAnsi="Arial"/>
                <w:sz w:val="22"/>
                <w:szCs w:val="22"/>
                <w:b w:val="1"/>
                <w:bCs w:val="1"/>
                <w:color w:val="auto"/>
              </w:rPr>
              <w:t>Milestone Payment</w:t>
            </w:r>
          </w:p>
        </w:tc>
        <w:tc>
          <w:tcPr>
            <w:tcW w:w="540" w:type="dxa"/>
            <w:vAlign w:val="bottom"/>
          </w:tcPr>
          <w:p>
            <w:pPr>
              <w:spacing w:after="0"/>
              <w:rPr>
                <w:sz w:val="21"/>
                <w:szCs w:val="21"/>
                <w:color w:val="auto"/>
              </w:rPr>
            </w:pPr>
          </w:p>
        </w:tc>
      </w:tr>
      <w:tr>
        <w:trPr>
          <w:trHeight w:val="64"/>
        </w:trPr>
        <w:tc>
          <w:tcPr>
            <w:tcW w:w="144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top w:val="single" w:sz="8" w:color="auto"/>
              <w:bottom w:val="single" w:sz="8" w:color="auto"/>
            </w:tcBorders>
          </w:tcPr>
          <w:p>
            <w:pPr>
              <w:spacing w:after="0"/>
              <w:rPr>
                <w:sz w:val="5"/>
                <w:szCs w:val="5"/>
                <w:color w:val="auto"/>
              </w:rPr>
            </w:pPr>
          </w:p>
        </w:tc>
        <w:tc>
          <w:tcPr>
            <w:tcW w:w="454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600" w:type="dxa"/>
            <w:vAlign w:val="bottom"/>
            <w:tcBorders>
              <w:top w:val="single" w:sz="8" w:color="auto"/>
              <w:bottom w:val="single" w:sz="8" w:color="auto"/>
            </w:tcBorders>
          </w:tcPr>
          <w:p>
            <w:pPr>
              <w:spacing w:after="0"/>
              <w:rPr>
                <w:sz w:val="5"/>
                <w:szCs w:val="5"/>
                <w:color w:val="auto"/>
              </w:rPr>
            </w:pPr>
          </w:p>
        </w:tc>
        <w:tc>
          <w:tcPr>
            <w:tcW w:w="6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480" w:type="dxa"/>
            <w:vAlign w:val="bottom"/>
            <w:tcBorders>
              <w:top w:val="single" w:sz="8" w:color="auto"/>
              <w:bottom w:val="single" w:sz="8" w:color="auto"/>
            </w:tcBorders>
          </w:tcPr>
          <w:p>
            <w:pPr>
              <w:spacing w:after="0"/>
              <w:rPr>
                <w:sz w:val="5"/>
                <w:szCs w:val="5"/>
                <w:color w:val="auto"/>
              </w:rPr>
            </w:pPr>
          </w:p>
        </w:tc>
        <w:tc>
          <w:tcPr>
            <w:tcW w:w="130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Pr>
          <w:p>
            <w:pPr>
              <w:spacing w:after="0"/>
              <w:rPr>
                <w:sz w:val="5"/>
                <w:szCs w:val="5"/>
                <w:color w:val="auto"/>
              </w:rPr>
            </w:pPr>
          </w:p>
        </w:tc>
      </w:tr>
      <w:tr>
        <w:trPr>
          <w:trHeight w:val="257"/>
        </w:trPr>
        <w:tc>
          <w:tcPr>
            <w:tcW w:w="1440" w:type="dxa"/>
            <w:vAlign w:val="bottom"/>
            <w:tcBorders>
              <w:right w:val="single" w:sz="8" w:color="auto"/>
            </w:tcBorders>
          </w:tcPr>
          <w:p>
            <w:pPr>
              <w:spacing w:after="0"/>
              <w:rPr>
                <w:sz w:val="22"/>
                <w:szCs w:val="22"/>
                <w:color w:val="auto"/>
              </w:rPr>
            </w:pP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45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2"/>
                <w:szCs w:val="22"/>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r>
      <w:tr>
        <w:trPr>
          <w:trHeight w:val="44"/>
        </w:trPr>
        <w:tc>
          <w:tcPr>
            <w:tcW w:w="1440" w:type="dxa"/>
            <w:vAlign w:val="bottom"/>
            <w:tcBorders>
              <w:right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74"/>
        </w:trPr>
        <w:tc>
          <w:tcPr>
            <w:tcW w:w="1440" w:type="dxa"/>
            <w:vAlign w:val="bottom"/>
            <w:tcBorders>
              <w:right w:val="single" w:sz="8" w:color="auto"/>
            </w:tcBorders>
          </w:tcPr>
          <w:p>
            <w:pPr>
              <w:spacing w:after="0"/>
              <w:rPr>
                <w:sz w:val="23"/>
                <w:szCs w:val="23"/>
                <w:color w:val="auto"/>
              </w:rPr>
            </w:pP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45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r>
      <w:tr>
        <w:trPr>
          <w:trHeight w:val="44"/>
        </w:trPr>
        <w:tc>
          <w:tcPr>
            <w:tcW w:w="1440" w:type="dxa"/>
            <w:vAlign w:val="bottom"/>
            <w:tcBorders>
              <w:right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74"/>
        </w:trPr>
        <w:tc>
          <w:tcPr>
            <w:tcW w:w="1440" w:type="dxa"/>
            <w:vAlign w:val="bottom"/>
            <w:tcBorders>
              <w:right w:val="single" w:sz="8" w:color="auto"/>
            </w:tcBorders>
          </w:tcPr>
          <w:p>
            <w:pPr>
              <w:spacing w:after="0"/>
              <w:rPr>
                <w:sz w:val="23"/>
                <w:szCs w:val="23"/>
                <w:color w:val="auto"/>
              </w:rPr>
            </w:pP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45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r>
      <w:tr>
        <w:trPr>
          <w:trHeight w:val="44"/>
        </w:trPr>
        <w:tc>
          <w:tcPr>
            <w:tcW w:w="1440" w:type="dxa"/>
            <w:vAlign w:val="bottom"/>
            <w:tcBorders>
              <w:right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74"/>
        </w:trPr>
        <w:tc>
          <w:tcPr>
            <w:tcW w:w="1440" w:type="dxa"/>
            <w:vAlign w:val="bottom"/>
            <w:tcBorders>
              <w:right w:val="single" w:sz="8" w:color="auto"/>
            </w:tcBorders>
          </w:tcPr>
          <w:p>
            <w:pPr>
              <w:spacing w:after="0"/>
              <w:rPr>
                <w:sz w:val="23"/>
                <w:szCs w:val="23"/>
                <w:color w:val="auto"/>
              </w:rPr>
            </w:pP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45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r>
      <w:tr>
        <w:trPr>
          <w:trHeight w:val="44"/>
        </w:trPr>
        <w:tc>
          <w:tcPr>
            <w:tcW w:w="1440" w:type="dxa"/>
            <w:vAlign w:val="bottom"/>
            <w:tcBorders>
              <w:right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74"/>
        </w:trPr>
        <w:tc>
          <w:tcPr>
            <w:tcW w:w="1440" w:type="dxa"/>
            <w:vAlign w:val="bottom"/>
            <w:tcBorders>
              <w:right w:val="single" w:sz="8" w:color="auto"/>
            </w:tcBorders>
          </w:tcPr>
          <w:p>
            <w:pPr>
              <w:spacing w:after="0"/>
              <w:rPr>
                <w:sz w:val="23"/>
                <w:szCs w:val="23"/>
                <w:color w:val="auto"/>
              </w:rPr>
            </w:pP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45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r>
      <w:tr>
        <w:trPr>
          <w:trHeight w:val="44"/>
        </w:trPr>
        <w:tc>
          <w:tcPr>
            <w:tcW w:w="1440" w:type="dxa"/>
            <w:vAlign w:val="bottom"/>
            <w:tcBorders>
              <w:right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75"/>
        </w:trPr>
        <w:tc>
          <w:tcPr>
            <w:tcW w:w="1440" w:type="dxa"/>
            <w:vAlign w:val="bottom"/>
            <w:tcBorders>
              <w:right w:val="single" w:sz="8" w:color="auto"/>
            </w:tcBorders>
          </w:tcPr>
          <w:p>
            <w:pPr>
              <w:spacing w:after="0"/>
              <w:rPr>
                <w:sz w:val="23"/>
                <w:szCs w:val="23"/>
                <w:color w:val="auto"/>
              </w:rPr>
            </w:pP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45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r>
      <w:tr>
        <w:trPr>
          <w:trHeight w:val="36"/>
        </w:trPr>
        <w:tc>
          <w:tcPr>
            <w:tcW w:w="1440" w:type="dxa"/>
            <w:vAlign w:val="bottom"/>
            <w:tcBorders>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75"/>
        </w:trPr>
        <w:tc>
          <w:tcPr>
            <w:tcW w:w="1440" w:type="dxa"/>
            <w:vAlign w:val="bottom"/>
            <w:tcBorders>
              <w:right w:val="single" w:sz="8" w:color="auto"/>
            </w:tcBorders>
          </w:tcPr>
          <w:p>
            <w:pPr>
              <w:spacing w:after="0"/>
              <w:rPr>
                <w:sz w:val="23"/>
                <w:szCs w:val="23"/>
                <w:color w:val="auto"/>
              </w:rPr>
            </w:pP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45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
        </w:trPr>
        <w:tc>
          <w:tcPr>
            <w:tcW w:w="14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3"/>
        </w:trPr>
        <w:tc>
          <w:tcPr>
            <w:tcW w:w="1440" w:type="dxa"/>
            <w:vAlign w:val="bottom"/>
            <w:tcBorders>
              <w:right w:val="single" w:sz="8" w:color="auto"/>
            </w:tcBorders>
          </w:tcPr>
          <w:p>
            <w:pPr>
              <w:spacing w:after="0"/>
              <w:rPr>
                <w:sz w:val="23"/>
                <w:szCs w:val="23"/>
                <w:color w:val="auto"/>
              </w:rPr>
            </w:pPr>
          </w:p>
        </w:tc>
        <w:tc>
          <w:tcPr>
            <w:tcW w:w="6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45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r>
      <w:tr>
        <w:trPr>
          <w:trHeight w:val="44"/>
        </w:trPr>
        <w:tc>
          <w:tcPr>
            <w:tcW w:w="1440" w:type="dxa"/>
            <w:vAlign w:val="bottom"/>
            <w:tcBorders>
              <w:right w:val="single" w:sz="8" w:color="auto"/>
            </w:tcBorders>
          </w:tcPr>
          <w:p>
            <w:pPr>
              <w:spacing w:after="0"/>
              <w:rPr>
                <w:sz w:val="3"/>
                <w:szCs w:val="3"/>
                <w:color w:val="auto"/>
              </w:rPr>
            </w:pPr>
          </w:p>
        </w:tc>
        <w:tc>
          <w:tcPr>
            <w:tcW w:w="514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300"/>
        </w:trPr>
        <w:tc>
          <w:tcPr>
            <w:tcW w:w="6580" w:type="dxa"/>
            <w:vAlign w:val="bottom"/>
            <w:gridSpan w:val="4"/>
          </w:tcPr>
          <w:p>
            <w:pPr>
              <w:ind w:left="1480"/>
              <w:spacing w:after="0"/>
              <w:rPr>
                <w:sz w:val="20"/>
                <w:szCs w:val="20"/>
                <w:color w:val="auto"/>
              </w:rPr>
            </w:pPr>
            <w:r>
              <w:rPr>
                <w:rFonts w:ascii="Arial" w:cs="Arial" w:eastAsia="Arial" w:hAnsi="Arial"/>
                <w:sz w:val="22"/>
                <w:szCs w:val="22"/>
                <w:color w:val="auto"/>
              </w:rPr>
              <w:t>*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88"/>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tcPr>
          <w:p>
            <w:pPr>
              <w:jc w:val="right"/>
              <w:ind w:right="672"/>
              <w:spacing w:after="0"/>
              <w:rPr>
                <w:sz w:val="20"/>
                <w:szCs w:val="20"/>
                <w:color w:val="auto"/>
              </w:rPr>
            </w:pPr>
            <w:r>
              <w:rPr>
                <w:rFonts w:ascii="Arial" w:cs="Arial" w:eastAsia="Arial" w:hAnsi="Arial"/>
                <w:sz w:val="22"/>
                <w:szCs w:val="22"/>
                <w:color w:val="auto"/>
              </w:rPr>
              <w:t>- 4 -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05"/>
        </w:trPr>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4" w:name="page85"/>
    <w:bookmarkEnd w:id="84"/>
    <w:p>
      <w:pPr>
        <w:ind w:left="2100" w:hanging="744"/>
        <w:spacing w:after="0"/>
        <w:tabs>
          <w:tab w:leader="none" w:pos="21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In Asia.</w:t>
      </w:r>
    </w:p>
    <w:p>
      <w:pPr>
        <w:spacing w:after="0" w:line="237" w:lineRule="exact"/>
        <w:rPr>
          <w:sz w:val="20"/>
          <w:szCs w:val="20"/>
          <w:color w:val="auto"/>
        </w:rPr>
      </w:pPr>
    </w:p>
    <w:tbl>
      <w:tblPr>
        <w:tblLayout w:type="fixed"/>
        <w:tblInd w:w="1390" w:type="dxa"/>
        <w:tblCellMar>
          <w:top w:w="0" w:type="dxa"/>
          <w:left w:w="0" w:type="dxa"/>
          <w:bottom w:w="0" w:type="dxa"/>
          <w:right w:w="0" w:type="dxa"/>
        </w:tblCellMar>
      </w:tblPr>
      <w:tr>
        <w:trPr>
          <w:trHeight w:val="300"/>
        </w:trPr>
        <w:tc>
          <w:tcPr>
            <w:tcW w:w="160" w:type="dxa"/>
            <w:vAlign w:val="bottom"/>
            <w:tcBorders>
              <w:top w:val="single" w:sz="8" w:color="auto"/>
              <w:left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20" w:type="dxa"/>
            <w:vAlign w:val="bottom"/>
            <w:tcBorders>
              <w:top w:val="single" w:sz="8" w:color="auto"/>
              <w:right w:val="single" w:sz="8" w:color="auto"/>
            </w:tcBorders>
            <w:gridSpan w:val="2"/>
          </w:tcPr>
          <w:p>
            <w:pPr>
              <w:ind w:left="340"/>
              <w:spacing w:after="0"/>
              <w:rPr>
                <w:sz w:val="20"/>
                <w:szCs w:val="20"/>
                <w:color w:val="auto"/>
              </w:rPr>
            </w:pPr>
            <w:r>
              <w:rPr>
                <w:rFonts w:ascii="Arial" w:cs="Arial" w:eastAsia="Arial" w:hAnsi="Arial"/>
                <w:sz w:val="22"/>
                <w:szCs w:val="22"/>
                <w:b w:val="1"/>
                <w:bCs w:val="1"/>
                <w:color w:val="auto"/>
              </w:rPr>
              <w:t>Development Milestone Event</w:t>
            </w: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gridSpan w:val="6"/>
          </w:tcPr>
          <w:p>
            <w:pPr>
              <w:ind w:left="140"/>
              <w:spacing w:after="0"/>
              <w:rPr>
                <w:sz w:val="20"/>
                <w:szCs w:val="20"/>
                <w:color w:val="auto"/>
              </w:rPr>
            </w:pPr>
            <w:r>
              <w:rPr>
                <w:rFonts w:ascii="Arial" w:cs="Arial" w:eastAsia="Arial" w:hAnsi="Arial"/>
                <w:sz w:val="22"/>
                <w:szCs w:val="22"/>
                <w:b w:val="1"/>
                <w:bCs w:val="1"/>
                <w:color w:val="auto"/>
              </w:rPr>
              <w:t>Milestone Payment</w:t>
            </w:r>
          </w:p>
        </w:tc>
      </w:tr>
      <w:tr>
        <w:trPr>
          <w:trHeight w:val="51"/>
        </w:trPr>
        <w:tc>
          <w:tcPr>
            <w:tcW w:w="160" w:type="dxa"/>
            <w:vAlign w:val="bottom"/>
            <w:tcBorders>
              <w:left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4260" w:type="dxa"/>
            <w:vAlign w:val="bottom"/>
            <w:tcBorders>
              <w:top w:val="single" w:sz="8" w:color="auto"/>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57"/>
        </w:trPr>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20" w:type="dxa"/>
            <w:vAlign w:val="bottom"/>
            <w:tcBorders>
              <w:right w:val="single" w:sz="8" w:color="auto"/>
            </w:tcBorders>
            <w:gridSpan w:val="2"/>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2"/>
                <w:szCs w:val="22"/>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r>
      <w:tr>
        <w:trPr>
          <w:trHeight w:val="44"/>
        </w:trPr>
        <w:tc>
          <w:tcPr>
            <w:tcW w:w="940" w:type="dxa"/>
            <w:vAlign w:val="bottom"/>
            <w:tcBorders>
              <w:bottom w:val="single" w:sz="8" w:color="auto"/>
            </w:tcBorders>
            <w:gridSpan w:val="2"/>
          </w:tcPr>
          <w:p>
            <w:pPr>
              <w:spacing w:after="0"/>
              <w:rPr>
                <w:sz w:val="3"/>
                <w:szCs w:val="3"/>
                <w:color w:val="auto"/>
              </w:rPr>
            </w:pPr>
          </w:p>
        </w:tc>
        <w:tc>
          <w:tcPr>
            <w:tcW w:w="442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4"/>
        </w:trPr>
        <w:tc>
          <w:tcPr>
            <w:tcW w:w="94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442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40" w:type="dxa"/>
            <w:vAlign w:val="bottom"/>
            <w:tcBorders>
              <w:bottom w:val="single" w:sz="8" w:color="auto"/>
            </w:tcBorders>
            <w:gridSpan w:val="2"/>
          </w:tcPr>
          <w:p>
            <w:pPr>
              <w:spacing w:after="0"/>
              <w:rPr>
                <w:sz w:val="3"/>
                <w:szCs w:val="3"/>
                <w:color w:val="auto"/>
              </w:rPr>
            </w:pPr>
          </w:p>
        </w:tc>
        <w:tc>
          <w:tcPr>
            <w:tcW w:w="442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4"/>
        </w:trPr>
        <w:tc>
          <w:tcPr>
            <w:tcW w:w="94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442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40" w:type="dxa"/>
            <w:vAlign w:val="bottom"/>
            <w:tcBorders>
              <w:bottom w:val="single" w:sz="8" w:color="auto"/>
            </w:tcBorders>
            <w:gridSpan w:val="2"/>
          </w:tcPr>
          <w:p>
            <w:pPr>
              <w:spacing w:after="0"/>
              <w:rPr>
                <w:sz w:val="3"/>
                <w:szCs w:val="3"/>
                <w:color w:val="auto"/>
              </w:rPr>
            </w:pPr>
          </w:p>
        </w:tc>
        <w:tc>
          <w:tcPr>
            <w:tcW w:w="442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4"/>
        </w:trPr>
        <w:tc>
          <w:tcPr>
            <w:tcW w:w="94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442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40" w:type="dxa"/>
            <w:vAlign w:val="bottom"/>
            <w:tcBorders>
              <w:bottom w:val="single" w:sz="8" w:color="auto"/>
            </w:tcBorders>
            <w:gridSpan w:val="2"/>
          </w:tcPr>
          <w:p>
            <w:pPr>
              <w:spacing w:after="0"/>
              <w:rPr>
                <w:sz w:val="3"/>
                <w:szCs w:val="3"/>
                <w:color w:val="auto"/>
              </w:rPr>
            </w:pPr>
          </w:p>
        </w:tc>
        <w:tc>
          <w:tcPr>
            <w:tcW w:w="442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4"/>
        </w:trPr>
        <w:tc>
          <w:tcPr>
            <w:tcW w:w="94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442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940" w:type="dxa"/>
            <w:vAlign w:val="bottom"/>
            <w:tcBorders>
              <w:bottom w:val="single" w:sz="8" w:color="auto"/>
            </w:tcBorders>
            <w:gridSpan w:val="2"/>
          </w:tcPr>
          <w:p>
            <w:pPr>
              <w:spacing w:after="0"/>
              <w:rPr>
                <w:sz w:val="3"/>
                <w:szCs w:val="3"/>
                <w:color w:val="auto"/>
              </w:rPr>
            </w:pPr>
          </w:p>
        </w:tc>
        <w:tc>
          <w:tcPr>
            <w:tcW w:w="4420" w:type="dxa"/>
            <w:vAlign w:val="bottom"/>
            <w:tcBorders>
              <w:bottom w:val="single" w:sz="8" w:color="auto"/>
              <w:right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5"/>
        </w:trPr>
        <w:tc>
          <w:tcPr>
            <w:tcW w:w="94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442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36"/>
        </w:trPr>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75"/>
        </w:trPr>
        <w:tc>
          <w:tcPr>
            <w:tcW w:w="94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442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23"/>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273"/>
        </w:trPr>
        <w:tc>
          <w:tcPr>
            <w:tcW w:w="94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4420" w:type="dxa"/>
            <w:vAlign w:val="bottom"/>
            <w:tcBorders>
              <w:right w:val="single" w:sz="8" w:color="auto"/>
            </w:tcBorders>
            <w:gridSpan w:val="2"/>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gridSpan w:val="2"/>
          </w:tcPr>
          <w:p>
            <w:pPr>
              <w:spacing w:after="0"/>
              <w:rPr>
                <w:sz w:val="23"/>
                <w:szCs w:val="23"/>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bl>
    <w:p>
      <w:pPr>
        <w:spacing w:after="0" w:line="24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The provisions regarding milestone payments set forth in Section 6.3.4 shall be applicable to each [***] and to</w:t>
      </w:r>
    </w:p>
    <w:p>
      <w:pPr>
        <w:spacing w:after="0" w:line="79" w:lineRule="exact"/>
        <w:rPr>
          <w:sz w:val="20"/>
          <w:szCs w:val="20"/>
          <w:color w:val="auto"/>
        </w:rPr>
      </w:pPr>
    </w:p>
    <w:p>
      <w:pPr>
        <w:ind w:left="2200" w:hanging="545"/>
        <w:spacing w:after="0"/>
        <w:tabs>
          <w:tab w:leader="none" w:pos="22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individually.  For clarity, a separate set of milestone payments will be payable for each of [***] and</w:t>
      </w:r>
    </w:p>
    <w:p>
      <w:pPr>
        <w:spacing w:after="0" w:line="78" w:lineRule="exact"/>
        <w:rPr>
          <w:rFonts w:ascii="Arial" w:cs="Arial" w:eastAsia="Arial" w:hAnsi="Arial"/>
          <w:sz w:val="19"/>
          <w:szCs w:val="19"/>
          <w:color w:val="auto"/>
        </w:rPr>
      </w:pPr>
    </w:p>
    <w:p>
      <w:pPr>
        <w:ind w:left="166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41" w:lineRule="exact"/>
        <w:rPr>
          <w:sz w:val="20"/>
          <w:szCs w:val="20"/>
          <w:color w:val="auto"/>
        </w:rPr>
      </w:pPr>
    </w:p>
    <w:p>
      <w:pPr>
        <w:jc w:val="both"/>
        <w:ind w:left="1060" w:right="460" w:hanging="598"/>
        <w:spacing w:after="0" w:line="269" w:lineRule="auto"/>
        <w:tabs>
          <w:tab w:leader="none" w:pos="10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b w:val="1"/>
          <w:bCs w:val="1"/>
          <w:color w:val="auto"/>
        </w:rPr>
        <w:t xml:space="preserve">Sales Milestones and Royalties. </w:t>
      </w:r>
      <w:r>
        <w:rPr>
          <w:rFonts w:ascii="Arial" w:cs="Arial" w:eastAsia="Arial" w:hAnsi="Arial"/>
          <w:sz w:val="22"/>
          <w:szCs w:val="22"/>
          <w:color w:val="auto"/>
        </w:rPr>
        <w:t>The provisions regarding milestone and royalty payments set forth in Sections</w:t>
      </w:r>
      <w:r>
        <w:rPr>
          <w:rFonts w:ascii="Arial" w:cs="Arial" w:eastAsia="Arial" w:hAnsi="Arial"/>
          <w:sz w:val="22"/>
          <w:szCs w:val="22"/>
          <w:b w:val="1"/>
          <w:bCs w:val="1"/>
          <w:color w:val="auto"/>
        </w:rPr>
        <w:t xml:space="preserve"> </w:t>
      </w:r>
      <w:r>
        <w:rPr>
          <w:rFonts w:ascii="Arial" w:cs="Arial" w:eastAsia="Arial" w:hAnsi="Arial"/>
          <w:sz w:val="22"/>
          <w:szCs w:val="22"/>
          <w:color w:val="auto"/>
        </w:rPr>
        <w:t>6.3.5 and 6.4 shall be applicable to [***] and to [***] individually. For clarity, a separate set of sales milestone payments will be payable for each of [***] and [***].</w:t>
      </w:r>
    </w:p>
    <w:p>
      <w:pPr>
        <w:spacing w:after="0" w:line="243" w:lineRule="exact"/>
        <w:rPr>
          <w:sz w:val="20"/>
          <w:szCs w:val="20"/>
          <w:color w:val="auto"/>
        </w:rPr>
      </w:pPr>
    </w:p>
    <w:p>
      <w:pPr>
        <w:ind w:left="1060" w:right="60" w:hanging="598"/>
        <w:spacing w:after="0" w:line="282" w:lineRule="auto"/>
        <w:tabs>
          <w:tab w:leader="none" w:pos="10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b w:val="1"/>
          <w:bCs w:val="1"/>
          <w:color w:val="auto"/>
        </w:rPr>
        <w:t>Termination</w:t>
      </w:r>
      <w:r>
        <w:rPr>
          <w:rFonts w:ascii="Arial" w:cs="Arial" w:eastAsia="Arial" w:hAnsi="Arial"/>
          <w:sz w:val="22"/>
          <w:szCs w:val="22"/>
          <w:color w:val="auto"/>
        </w:rPr>
        <w:t>. The termination rights and consequence in Article 11 of the Agreement shall apply separately to [***]</w:t>
      </w:r>
      <w:r>
        <w:rPr>
          <w:rFonts w:ascii="Arial" w:cs="Arial" w:eastAsia="Arial" w:hAnsi="Arial"/>
          <w:sz w:val="22"/>
          <w:szCs w:val="22"/>
          <w:b w:val="1"/>
          <w:bCs w:val="1"/>
          <w:color w:val="auto"/>
        </w:rPr>
        <w:t xml:space="preserve"> </w:t>
      </w:r>
      <w:r>
        <w:rPr>
          <w:rFonts w:ascii="Arial" w:cs="Arial" w:eastAsia="Arial" w:hAnsi="Arial"/>
          <w:sz w:val="22"/>
          <w:szCs w:val="22"/>
          <w:color w:val="auto"/>
        </w:rPr>
        <w:t>and [***], on the one hand, and [***] and [***], on the other hand.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b w:val="1"/>
          <w:bCs w:val="1"/>
          <w:u w:val="single" w:color="auto"/>
          <w:color w:val="auto"/>
        </w:rPr>
        <w:t>CAR-targeted NK Cell Therapeutics.</w:t>
      </w:r>
    </w:p>
    <w:p>
      <w:pPr>
        <w:spacing w:after="0" w:line="260"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 xml:space="preserve">No CAR-Targeted NK Therapy Prior to Amendment 01 Effective Date. </w:t>
      </w:r>
      <w:r>
        <w:rPr>
          <w:rFonts w:ascii="Arial" w:cs="Arial" w:eastAsia="Arial" w:hAnsi="Arial"/>
          <w:sz w:val="19"/>
          <w:szCs w:val="19"/>
          <w:color w:val="auto"/>
        </w:rPr>
        <w:t>The Parties acknowledge and agree that,</w:t>
      </w:r>
    </w:p>
    <w:p>
      <w:pPr>
        <w:spacing w:after="0" w:line="50" w:lineRule="exact"/>
        <w:rPr>
          <w:sz w:val="20"/>
          <w:szCs w:val="20"/>
          <w:color w:val="auto"/>
        </w:rPr>
      </w:pPr>
    </w:p>
    <w:p>
      <w:pPr>
        <w:ind w:left="1060" w:right="20"/>
        <w:spacing w:after="0" w:line="387" w:lineRule="auto"/>
        <w:rPr>
          <w:sz w:val="20"/>
          <w:szCs w:val="20"/>
          <w:color w:val="auto"/>
        </w:rPr>
      </w:pPr>
      <w:r>
        <w:rPr>
          <w:rFonts w:ascii="Arial" w:cs="Arial" w:eastAsia="Arial" w:hAnsi="Arial"/>
          <w:sz w:val="19"/>
          <w:szCs w:val="19"/>
          <w:color w:val="auto"/>
        </w:rPr>
        <w:t>prior to the Amendment 01 Effective Date, the collaboration between the Parties under the Agreement only encompassed CAR-targeted T-lymphocyte therapeutics and did not encompass CAR-targeted NK cell therapeutics.</w:t>
      </w:r>
    </w:p>
    <w:p>
      <w:pPr>
        <w:spacing w:after="0" w:line="99" w:lineRule="exact"/>
        <w:rPr>
          <w:sz w:val="20"/>
          <w:szCs w:val="20"/>
          <w:color w:val="auto"/>
        </w:rPr>
      </w:pPr>
    </w:p>
    <w:p>
      <w:pPr>
        <w:ind w:left="1060" w:hanging="598"/>
        <w:spacing w:after="0" w:line="307" w:lineRule="auto"/>
        <w:tabs>
          <w:tab w:leader="none" w:pos="10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color w:val="auto"/>
        </w:rPr>
        <w:t xml:space="preserve">Exploration of CAR-Targeted NK Therapy. </w:t>
      </w:r>
      <w:r>
        <w:rPr>
          <w:rFonts w:ascii="Arial" w:cs="Arial" w:eastAsia="Arial" w:hAnsi="Arial"/>
          <w:sz w:val="22"/>
          <w:szCs w:val="22"/>
          <w:color w:val="auto"/>
        </w:rPr>
        <w:t>The Parties hereby agree that, as of the Amendment 01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w:t>
      </w:r>
    </w:p>
    <w:p>
      <w:pPr>
        <w:spacing w:after="0" w:line="169" w:lineRule="exact"/>
        <w:rPr>
          <w:sz w:val="20"/>
          <w:szCs w:val="20"/>
          <w:color w:val="auto"/>
        </w:rPr>
      </w:pPr>
    </w:p>
    <w:p>
      <w:pPr>
        <w:ind w:left="1500" w:hanging="598"/>
        <w:spacing w:after="0" w:line="302" w:lineRule="auto"/>
        <w:tabs>
          <w:tab w:leader="none" w:pos="1480" w:val="left"/>
        </w:tabs>
        <w:rPr>
          <w:sz w:val="20"/>
          <w:szCs w:val="20"/>
          <w:color w:val="auto"/>
        </w:rPr>
      </w:pPr>
      <w:r>
        <w:rPr>
          <w:rFonts w:ascii="Arial" w:cs="Arial" w:eastAsia="Arial" w:hAnsi="Arial"/>
          <w:sz w:val="22"/>
          <w:szCs w:val="22"/>
          <w:color w:val="auto"/>
        </w:rPr>
        <w:t>4.2.1</w:t>
        <w:tab/>
        <w:t>FATE shall have the right to and will use Commercially Reasonable Efforts to Research and Develop CAR-targeted NK cell therapeutics incorporating ONO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5" w:name="page86"/>
    <w:bookmarkEnd w:id="85"/>
    <w:p>
      <w:pPr>
        <w:ind w:left="1040"/>
        <w:spacing w:after="0" w:line="302" w:lineRule="auto"/>
        <w:rPr>
          <w:sz w:val="20"/>
          <w:szCs w:val="20"/>
          <w:color w:val="auto"/>
        </w:rPr>
      </w:pPr>
      <w:r>
        <w:rPr>
          <w:rFonts w:ascii="Arial" w:cs="Arial" w:eastAsia="Arial" w:hAnsi="Arial"/>
          <w:sz w:val="22"/>
          <w:szCs w:val="22"/>
          <w:color w:val="auto"/>
        </w:rPr>
        <w:t>Antigen Binding Domain(s) directed to [***] and [***] (after the delivery thereof by ONO); provided, however, that [***]</w:t>
      </w:r>
    </w:p>
    <w:p>
      <w:pPr>
        <w:spacing w:after="0" w:line="173" w:lineRule="exact"/>
        <w:rPr>
          <w:sz w:val="20"/>
          <w:szCs w:val="20"/>
          <w:color w:val="auto"/>
        </w:rPr>
      </w:pPr>
    </w:p>
    <w:p>
      <w:pPr>
        <w:jc w:val="both"/>
        <w:ind w:left="1040" w:hanging="598"/>
        <w:spacing w:after="0" w:line="291" w:lineRule="auto"/>
        <w:tabs>
          <w:tab w:leader="none" w:pos="1020" w:val="left"/>
        </w:tabs>
        <w:rPr>
          <w:sz w:val="20"/>
          <w:szCs w:val="20"/>
          <w:color w:val="auto"/>
        </w:rPr>
      </w:pPr>
      <w:r>
        <w:rPr>
          <w:rFonts w:ascii="Arial" w:cs="Arial" w:eastAsia="Arial" w:hAnsi="Arial"/>
          <w:sz w:val="22"/>
          <w:szCs w:val="22"/>
          <w:color w:val="auto"/>
        </w:rPr>
        <w:t>4.2.2</w:t>
        <w:tab/>
        <w:t>Upon FATE and ONO’s effectuating a mutually-agreeable Joint Development Plan to include Research activities for CAR-targeted NK cell therapeutics incorporating ONO Antigen Binding Domain(s) directed to [***] and [***], then with respect to each such target, (i) [***]</w:t>
      </w:r>
    </w:p>
    <w:p>
      <w:pPr>
        <w:spacing w:after="0" w:line="187" w:lineRule="exact"/>
        <w:rPr>
          <w:sz w:val="20"/>
          <w:szCs w:val="20"/>
          <w:color w:val="auto"/>
        </w:rPr>
      </w:pPr>
    </w:p>
    <w:p>
      <w:pPr>
        <w:jc w:val="both"/>
        <w:ind w:left="1040" w:hanging="598"/>
        <w:spacing w:after="0" w:line="302" w:lineRule="auto"/>
        <w:tabs>
          <w:tab w:leader="none" w:pos="1020" w:val="left"/>
        </w:tabs>
        <w:rPr>
          <w:sz w:val="20"/>
          <w:szCs w:val="20"/>
          <w:color w:val="auto"/>
        </w:rPr>
      </w:pPr>
      <w:r>
        <w:rPr>
          <w:rFonts w:ascii="Arial" w:cs="Arial" w:eastAsia="Arial" w:hAnsi="Arial"/>
          <w:sz w:val="22"/>
          <w:szCs w:val="22"/>
          <w:color w:val="auto"/>
        </w:rPr>
        <w:t>4.2.3</w:t>
        <w:tab/>
        <w:t>In the event ONO exercises the ONO Option with respect to [***] or [***], ONO shall have the right to elect whether such Collaboration Candidate shall be [***]</w:t>
      </w:r>
    </w:p>
    <w:p>
      <w:pPr>
        <w:spacing w:after="0" w:line="173"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22"/>
          <w:szCs w:val="22"/>
          <w:color w:val="auto"/>
        </w:rPr>
        <w:t>4.2.4</w:t>
        <w:tab/>
        <w:t>[***]</w:t>
      </w:r>
    </w:p>
    <w:p>
      <w:pPr>
        <w:spacing w:after="0" w:line="260"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22"/>
          <w:szCs w:val="22"/>
          <w:color w:val="auto"/>
        </w:rPr>
        <w:t>4.2.5</w:t>
      </w:r>
      <w:r>
        <w:rPr>
          <w:sz w:val="20"/>
          <w:szCs w:val="20"/>
          <w:color w:val="auto"/>
        </w:rPr>
        <w:tab/>
      </w:r>
      <w:r>
        <w:rPr>
          <w:rFonts w:ascii="Arial" w:cs="Arial" w:eastAsia="Arial" w:hAnsi="Arial"/>
          <w:sz w:val="19"/>
          <w:szCs w:val="19"/>
          <w:color w:val="auto"/>
        </w:rPr>
        <w:t>Section 7.10.2 of the Agreement shall apply to any and all [***]</w:t>
      </w:r>
    </w:p>
    <w:p>
      <w:pPr>
        <w:spacing w:after="0" w:line="260"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22"/>
          <w:szCs w:val="22"/>
          <w:color w:val="auto"/>
        </w:rPr>
        <w:t>4.2.6</w:t>
        <w:tab/>
        <w:t>[***]</w:t>
      </w:r>
    </w:p>
    <w:p>
      <w:pPr>
        <w:spacing w:after="0" w:line="254" w:lineRule="exact"/>
        <w:rPr>
          <w:sz w:val="20"/>
          <w:szCs w:val="20"/>
          <w:color w:val="auto"/>
        </w:rPr>
      </w:pPr>
    </w:p>
    <w:p>
      <w:pPr>
        <w:jc w:val="both"/>
        <w:ind w:left="600" w:hanging="598"/>
        <w:spacing w:after="0" w:line="339" w:lineRule="auto"/>
        <w:tabs>
          <w:tab w:leader="none" w:pos="5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 xml:space="preserve">ONO Option Exercise for CAR-targeted NK Cell Therapeutics. </w:t>
      </w:r>
      <w:r>
        <w:rPr>
          <w:rFonts w:ascii="Arial" w:cs="Arial" w:eastAsia="Arial" w:hAnsi="Arial"/>
          <w:sz w:val="19"/>
          <w:szCs w:val="19"/>
          <w:color w:val="auto"/>
        </w:rPr>
        <w:t>The following definitions and provisions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added or modified upon ONO’s exercise of the ONO Option following effectuation of an amendment to the Joint Development Plan to encompass CAR-targeted NK cell therapeutics for [***] or [***] that incorporate a particular ONO Antigen Binding Domain; provided, however, that any such additions and/or modifications shall only apply to the [***] or [***], as applicable, for which the Joint Development Plan is expanded to encompass CAR-targeted NK cell therapeutics that incorporate such ONO Antigen Binding Domain:</w:t>
      </w:r>
    </w:p>
    <w:p>
      <w:pPr>
        <w:spacing w:after="0" w:line="154" w:lineRule="exact"/>
        <w:rPr>
          <w:sz w:val="20"/>
          <w:szCs w:val="20"/>
          <w:color w:val="auto"/>
        </w:rPr>
      </w:pPr>
    </w:p>
    <w:p>
      <w:pPr>
        <w:jc w:val="both"/>
        <w:ind w:left="1200" w:hanging="748"/>
        <w:spacing w:after="0" w:line="261" w:lineRule="auto"/>
        <w:tabs>
          <w:tab w:leader="none" w:pos="1180" w:val="left"/>
        </w:tabs>
        <w:rPr>
          <w:sz w:val="20"/>
          <w:szCs w:val="20"/>
          <w:color w:val="auto"/>
        </w:rPr>
      </w:pPr>
      <w:r>
        <w:rPr>
          <w:rFonts w:ascii="Arial" w:cs="Arial" w:eastAsia="Arial" w:hAnsi="Arial"/>
          <w:sz w:val="22"/>
          <w:szCs w:val="22"/>
          <w:color w:val="auto"/>
        </w:rPr>
        <w:t>4.3.1</w:t>
      </w:r>
      <w:r>
        <w:rPr>
          <w:sz w:val="20"/>
          <w:szCs w:val="20"/>
          <w:color w:val="auto"/>
        </w:rPr>
        <w:tab/>
      </w:r>
      <w:r>
        <w:rPr>
          <w:rFonts w:ascii="Arial" w:cs="Arial" w:eastAsia="Arial" w:hAnsi="Arial"/>
          <w:sz w:val="22"/>
          <w:szCs w:val="22"/>
          <w:b w:val="1"/>
          <w:bCs w:val="1"/>
          <w:color w:val="auto"/>
        </w:rPr>
        <w:t xml:space="preserve">“Biosimilar Products”. </w:t>
      </w:r>
      <w:r>
        <w:rPr>
          <w:rFonts w:ascii="Arial" w:cs="Arial" w:eastAsia="Arial" w:hAnsi="Arial"/>
          <w:sz w:val="22"/>
          <w:szCs w:val="22"/>
          <w:color w:val="auto"/>
        </w:rPr>
        <w:t>The words “a CAR-targeted T-lymphocyte therapeutic” in Section 1.7, 4</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line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deleted and replaced by “a CAR-targeted T-lymphocyte therapeutic or a CAR-targeted NK cell therapeutic”.</w:t>
      </w:r>
    </w:p>
    <w:p>
      <w:pPr>
        <w:spacing w:after="0" w:line="212" w:lineRule="exact"/>
        <w:rPr>
          <w:sz w:val="20"/>
          <w:szCs w:val="20"/>
          <w:color w:val="auto"/>
        </w:rPr>
      </w:pPr>
    </w:p>
    <w:p>
      <w:pPr>
        <w:jc w:val="both"/>
        <w:ind w:left="1200" w:hanging="748"/>
        <w:spacing w:after="0" w:line="307" w:lineRule="auto"/>
        <w:tabs>
          <w:tab w:leader="none" w:pos="1180" w:val="left"/>
        </w:tabs>
        <w:rPr>
          <w:sz w:val="20"/>
          <w:szCs w:val="20"/>
          <w:color w:val="auto"/>
        </w:rPr>
      </w:pPr>
      <w:r>
        <w:rPr>
          <w:rFonts w:ascii="Arial" w:cs="Arial" w:eastAsia="Arial" w:hAnsi="Arial"/>
          <w:sz w:val="22"/>
          <w:szCs w:val="22"/>
          <w:color w:val="auto"/>
        </w:rPr>
        <w:t>4.3.2</w:t>
      </w:r>
      <w:r>
        <w:rPr>
          <w:sz w:val="20"/>
          <w:szCs w:val="20"/>
          <w:color w:val="auto"/>
        </w:rPr>
        <w:tab/>
      </w:r>
      <w:r>
        <w:rPr>
          <w:rFonts w:ascii="Arial" w:cs="Arial" w:eastAsia="Arial" w:hAnsi="Arial"/>
          <w:sz w:val="22"/>
          <w:szCs w:val="22"/>
          <w:b w:val="1"/>
          <w:bCs w:val="1"/>
          <w:color w:val="auto"/>
        </w:rPr>
        <w:t xml:space="preserve">“Collaboration Candidate 2”. </w:t>
      </w:r>
      <w:r>
        <w:rPr>
          <w:rFonts w:ascii="Arial" w:cs="Arial" w:eastAsia="Arial" w:hAnsi="Arial"/>
          <w:sz w:val="22"/>
          <w:szCs w:val="22"/>
          <w:color w:val="auto"/>
        </w:rPr>
        <w:t>Section 1.22 of the Agreement shall be deleted in its entirety and replaced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w:t>
      </w:r>
    </w:p>
    <w:p>
      <w:pPr>
        <w:spacing w:after="0" w:line="163" w:lineRule="exact"/>
        <w:rPr>
          <w:sz w:val="20"/>
          <w:szCs w:val="20"/>
          <w:color w:val="auto"/>
        </w:rPr>
      </w:pPr>
    </w:p>
    <w:p>
      <w:pPr>
        <w:jc w:val="both"/>
        <w:ind w:left="1200"/>
        <w:spacing w:after="0" w:line="343" w:lineRule="auto"/>
        <w:rPr>
          <w:sz w:val="20"/>
          <w:szCs w:val="20"/>
          <w:color w:val="auto"/>
        </w:rPr>
      </w:pPr>
      <w:r>
        <w:rPr>
          <w:rFonts w:ascii="Arial" w:cs="Arial" w:eastAsia="Arial" w:hAnsi="Arial"/>
          <w:sz w:val="19"/>
          <w:szCs w:val="19"/>
          <w:b w:val="1"/>
          <w:bCs w:val="1"/>
          <w:color w:val="auto"/>
        </w:rPr>
        <w:t xml:space="preserve">1.22 “Collaboration Candidate 2” </w:t>
      </w:r>
      <w:r>
        <w:rPr>
          <w:rFonts w:ascii="Arial" w:cs="Arial" w:eastAsia="Arial" w:hAnsi="Arial"/>
          <w:sz w:val="19"/>
          <w:szCs w:val="19"/>
          <w:color w:val="auto"/>
        </w:rPr>
        <w:t>means a CAR-targeted T-lymphocyte therapeutic or a CAR-targeted NK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cell therapeutic derived from a master iPSC line and generated under the Joint Development Plan, where such master iPSC line is engineered to [***] for which FATE is conducting Research and Development under the Joint Development Plan and for which: (a) ONO has not exercised the ONO Option pursuant to </w:t>
      </w:r>
      <w:r>
        <w:rPr>
          <w:rFonts w:ascii="Arial" w:cs="Arial" w:eastAsia="Arial" w:hAnsi="Arial"/>
          <w:sz w:val="19"/>
          <w:szCs w:val="19"/>
          <w:b w:val="1"/>
          <w:bCs w:val="1"/>
          <w:color w:val="auto"/>
        </w:rPr>
        <w:t>Section 2.4.3</w:t>
      </w:r>
      <w:r>
        <w:rPr>
          <w:rFonts w:ascii="Arial" w:cs="Arial" w:eastAsia="Arial" w:hAnsi="Arial"/>
          <w:sz w:val="19"/>
          <w:szCs w:val="19"/>
          <w:color w:val="auto"/>
        </w:rPr>
        <w:t xml:space="preserve"> </w:t>
      </w:r>
      <w:r>
        <w:rPr>
          <w:rFonts w:ascii="Arial" w:cs="Arial" w:eastAsia="Arial" w:hAnsi="Arial"/>
          <w:sz w:val="19"/>
          <w:szCs w:val="19"/>
          <w:b w:val="1"/>
          <w:bCs w:val="1"/>
          <w:color w:val="auto"/>
        </w:rPr>
        <w:t>(Option Exercise)</w:t>
      </w:r>
      <w:r>
        <w:rPr>
          <w:rFonts w:ascii="Arial" w:cs="Arial" w:eastAsia="Arial" w:hAnsi="Arial"/>
          <w:sz w:val="19"/>
          <w:szCs w:val="19"/>
          <w:color w:val="auto"/>
        </w:rPr>
        <w:t>; and (b) the applicable ONO Option Period has not expired.</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62865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80" w:top="550" w:right="339" w:bottom="1440" w:gutter="0" w:footer="0" w:header="0"/>
        </w:sectPr>
      </w:pPr>
    </w:p>
    <w:bookmarkStart w:id="86" w:name="page87"/>
    <w:bookmarkEnd w:id="86"/>
    <w:p>
      <w:pPr>
        <w:ind w:left="540" w:hanging="748"/>
        <w:spacing w:after="0" w:line="247" w:lineRule="auto"/>
        <w:tabs>
          <w:tab w:leader="none" w:pos="520" w:val="left"/>
        </w:tabs>
        <w:rPr>
          <w:sz w:val="20"/>
          <w:szCs w:val="20"/>
          <w:color w:val="auto"/>
        </w:rPr>
      </w:pPr>
      <w:r>
        <w:rPr>
          <w:rFonts w:ascii="Arial" w:cs="Arial" w:eastAsia="Arial" w:hAnsi="Arial"/>
          <w:sz w:val="22"/>
          <w:szCs w:val="22"/>
          <w:color w:val="auto"/>
        </w:rPr>
        <w:t>4.3.3</w:t>
      </w:r>
      <w:r>
        <w:rPr>
          <w:sz w:val="20"/>
          <w:szCs w:val="20"/>
          <w:color w:val="auto"/>
        </w:rPr>
        <w:tab/>
      </w:r>
      <w:r>
        <w:rPr>
          <w:rFonts w:ascii="Arial" w:cs="Arial" w:eastAsia="Arial" w:hAnsi="Arial"/>
          <w:sz w:val="22"/>
          <w:szCs w:val="22"/>
          <w:b w:val="1"/>
          <w:bCs w:val="1"/>
          <w:color w:val="auto"/>
        </w:rPr>
        <w:t xml:space="preserve">“FATE Platform Technology”. </w:t>
      </w:r>
      <w:r>
        <w:rPr>
          <w:rFonts w:ascii="Arial" w:cs="Arial" w:eastAsia="Arial" w:hAnsi="Arial"/>
          <w:sz w:val="22"/>
          <w:szCs w:val="22"/>
          <w:color w:val="auto"/>
        </w:rPr>
        <w:t>The words [***] in the 5</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line of Section [***] of the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and replaced by [***].</w:t>
      </w:r>
    </w:p>
    <w:p>
      <w:pPr>
        <w:spacing w:after="0" w:line="224" w:lineRule="exact"/>
        <w:rPr>
          <w:sz w:val="20"/>
          <w:szCs w:val="20"/>
          <w:color w:val="auto"/>
        </w:rPr>
      </w:pPr>
    </w:p>
    <w:p>
      <w:pPr>
        <w:ind w:left="540" w:right="20" w:hanging="748"/>
        <w:spacing w:after="0" w:line="307" w:lineRule="auto"/>
        <w:tabs>
          <w:tab w:leader="none" w:pos="520" w:val="left"/>
        </w:tabs>
        <w:rPr>
          <w:sz w:val="20"/>
          <w:szCs w:val="20"/>
          <w:color w:val="auto"/>
        </w:rPr>
      </w:pPr>
      <w:r>
        <w:rPr>
          <w:rFonts w:ascii="Arial" w:cs="Arial" w:eastAsia="Arial" w:hAnsi="Arial"/>
          <w:sz w:val="22"/>
          <w:szCs w:val="22"/>
          <w:color w:val="auto"/>
        </w:rPr>
        <w:t>4.3.4</w:t>
      </w:r>
      <w:r>
        <w:rPr>
          <w:sz w:val="20"/>
          <w:szCs w:val="20"/>
          <w:color w:val="auto"/>
        </w:rPr>
        <w:tab/>
      </w:r>
      <w:r>
        <w:rPr>
          <w:rFonts w:ascii="Arial" w:cs="Arial" w:eastAsia="Arial" w:hAnsi="Arial"/>
          <w:sz w:val="22"/>
          <w:szCs w:val="22"/>
          <w:b w:val="1"/>
          <w:bCs w:val="1"/>
          <w:color w:val="auto"/>
        </w:rPr>
        <w:t xml:space="preserve">“T cell Biology”. </w:t>
      </w:r>
      <w:r>
        <w:rPr>
          <w:rFonts w:ascii="Arial" w:cs="Arial" w:eastAsia="Arial" w:hAnsi="Arial"/>
          <w:sz w:val="22"/>
          <w:szCs w:val="22"/>
          <w:color w:val="auto"/>
        </w:rPr>
        <w:t>Section 1.103 of the Agreement shall be deleted in its entirety and replaced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 xml:space="preserve">1.103 “T and NK cell Biology” </w:t>
      </w:r>
      <w:r>
        <w:rPr>
          <w:rFonts w:ascii="Arial" w:cs="Arial" w:eastAsia="Arial" w:hAnsi="Arial"/>
          <w:sz w:val="22"/>
          <w:szCs w:val="22"/>
          <w:color w:val="auto"/>
        </w:rPr>
        <w:t>means [***].</w:t>
      </w:r>
    </w:p>
    <w:p>
      <w:pPr>
        <w:spacing w:after="0" w:line="260" w:lineRule="exact"/>
        <w:rPr>
          <w:sz w:val="20"/>
          <w:szCs w:val="20"/>
          <w:color w:val="auto"/>
        </w:rPr>
      </w:pPr>
    </w:p>
    <w:p>
      <w:pPr>
        <w:ind w:left="540" w:hanging="748"/>
        <w:spacing w:after="0" w:line="307" w:lineRule="auto"/>
        <w:tabs>
          <w:tab w:leader="none" w:pos="520" w:val="left"/>
        </w:tabs>
        <w:rPr>
          <w:sz w:val="20"/>
          <w:szCs w:val="20"/>
          <w:color w:val="auto"/>
        </w:rPr>
      </w:pPr>
      <w:r>
        <w:rPr>
          <w:rFonts w:ascii="Arial" w:cs="Arial" w:eastAsia="Arial" w:hAnsi="Arial"/>
          <w:sz w:val="22"/>
          <w:szCs w:val="22"/>
          <w:color w:val="auto"/>
        </w:rPr>
        <w:t>4.3.5</w:t>
      </w:r>
      <w:r>
        <w:rPr>
          <w:sz w:val="20"/>
          <w:szCs w:val="20"/>
          <w:color w:val="auto"/>
        </w:rPr>
        <w:tab/>
      </w:r>
      <w:r>
        <w:rPr>
          <w:rFonts w:ascii="Arial" w:cs="Arial" w:eastAsia="Arial" w:hAnsi="Arial"/>
          <w:sz w:val="22"/>
          <w:szCs w:val="22"/>
          <w:b w:val="1"/>
          <w:bCs w:val="1"/>
          <w:color w:val="auto"/>
        </w:rPr>
        <w:t xml:space="preserve">“T Cell Biology Activities”. </w:t>
      </w:r>
      <w:r>
        <w:rPr>
          <w:rFonts w:ascii="Arial" w:cs="Arial" w:eastAsia="Arial" w:hAnsi="Arial"/>
          <w:sz w:val="22"/>
          <w:szCs w:val="22"/>
          <w:color w:val="auto"/>
        </w:rPr>
        <w:t>Section 1.104 of the Agreement shall be deleted in its entirety and replaced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w:t>
      </w:r>
    </w:p>
    <w:p>
      <w:pPr>
        <w:spacing w:after="0" w:line="163" w:lineRule="exact"/>
        <w:rPr>
          <w:sz w:val="20"/>
          <w:szCs w:val="20"/>
          <w:color w:val="auto"/>
        </w:rPr>
      </w:pPr>
    </w:p>
    <w:p>
      <w:pPr>
        <w:jc w:val="both"/>
        <w:ind w:left="540"/>
        <w:spacing w:after="0" w:line="314" w:lineRule="auto"/>
        <w:rPr>
          <w:sz w:val="20"/>
          <w:szCs w:val="20"/>
          <w:color w:val="auto"/>
        </w:rPr>
      </w:pPr>
      <w:r>
        <w:rPr>
          <w:rFonts w:ascii="Arial" w:cs="Arial" w:eastAsia="Arial" w:hAnsi="Arial"/>
          <w:sz w:val="21"/>
          <w:szCs w:val="21"/>
          <w:b w:val="1"/>
          <w:bCs w:val="1"/>
          <w:color w:val="auto"/>
        </w:rPr>
        <w:t xml:space="preserve">1.104 “T and NK Cell Biology Activities” </w:t>
      </w:r>
      <w:r>
        <w:rPr>
          <w:rFonts w:ascii="Arial" w:cs="Arial" w:eastAsia="Arial" w:hAnsi="Arial"/>
          <w:sz w:val="21"/>
          <w:szCs w:val="21"/>
          <w:color w:val="auto"/>
        </w:rPr>
        <w:t>means those Research and Development activities that are</w:t>
      </w:r>
      <w:r>
        <w:rPr>
          <w:rFonts w:ascii="Arial" w:cs="Arial" w:eastAsia="Arial" w:hAnsi="Arial"/>
          <w:sz w:val="21"/>
          <w:szCs w:val="21"/>
          <w:b w:val="1"/>
          <w:bCs w:val="1"/>
          <w:color w:val="auto"/>
        </w:rPr>
        <w:t xml:space="preserve"> </w:t>
      </w:r>
      <w:r>
        <w:rPr>
          <w:rFonts w:ascii="Arial" w:cs="Arial" w:eastAsia="Arial" w:hAnsi="Arial"/>
          <w:sz w:val="21"/>
          <w:szCs w:val="21"/>
          <w:color w:val="auto"/>
        </w:rPr>
        <w:t>specifically related to T and NK Cell Biology and which are set forth under the Joint Development Plan and identified as T and NK Cell Biology Activities in the Joint Development Plan.</w:t>
      </w:r>
    </w:p>
    <w:p>
      <w:pPr>
        <w:spacing w:after="0" w:line="159" w:lineRule="exact"/>
        <w:rPr>
          <w:sz w:val="20"/>
          <w:szCs w:val="20"/>
          <w:color w:val="auto"/>
        </w:rPr>
      </w:pPr>
    </w:p>
    <w:p>
      <w:pPr>
        <w:jc w:val="both"/>
        <w:ind w:left="540" w:hanging="748"/>
        <w:spacing w:after="0" w:line="314" w:lineRule="auto"/>
        <w:tabs>
          <w:tab w:leader="none" w:pos="520" w:val="left"/>
        </w:tabs>
        <w:rPr>
          <w:sz w:val="20"/>
          <w:szCs w:val="20"/>
          <w:color w:val="auto"/>
        </w:rPr>
      </w:pPr>
      <w:r>
        <w:rPr>
          <w:rFonts w:ascii="Arial" w:cs="Arial" w:eastAsia="Arial" w:hAnsi="Arial"/>
          <w:sz w:val="22"/>
          <w:szCs w:val="22"/>
          <w:color w:val="auto"/>
        </w:rPr>
        <w:t>4.3.6</w:t>
      </w:r>
      <w:r>
        <w:rPr>
          <w:sz w:val="20"/>
          <w:szCs w:val="20"/>
          <w:color w:val="auto"/>
        </w:rPr>
        <w:tab/>
      </w:r>
      <w:r>
        <w:rPr>
          <w:rFonts w:ascii="Arial" w:cs="Arial" w:eastAsia="Arial" w:hAnsi="Arial"/>
          <w:sz w:val="21"/>
          <w:szCs w:val="21"/>
          <w:b w:val="1"/>
          <w:bCs w:val="1"/>
          <w:color w:val="auto"/>
        </w:rPr>
        <w:t xml:space="preserve">Non-exclusive License for Parties' Internal Use. </w:t>
      </w:r>
      <w:r>
        <w:rPr>
          <w:rFonts w:ascii="Arial" w:cs="Arial" w:eastAsia="Arial" w:hAnsi="Arial"/>
          <w:sz w:val="21"/>
          <w:szCs w:val="21"/>
          <w:color w:val="auto"/>
        </w:rPr>
        <w:t>All the terms “T Cell Biology” in Sections [***] and [***]</w:t>
      </w:r>
      <w:r>
        <w:rPr>
          <w:rFonts w:ascii="Arial" w:cs="Arial" w:eastAsia="Arial" w:hAnsi="Arial"/>
          <w:sz w:val="21"/>
          <w:szCs w:val="21"/>
          <w:b w:val="1"/>
          <w:bCs w:val="1"/>
          <w:color w:val="auto"/>
        </w:rPr>
        <w:t xml:space="preserve"> </w:t>
      </w:r>
      <w:r>
        <w:rPr>
          <w:rFonts w:ascii="Arial" w:cs="Arial" w:eastAsia="Arial" w:hAnsi="Arial"/>
          <w:sz w:val="21"/>
          <w:szCs w:val="21"/>
          <w:color w:val="auto"/>
        </w:rPr>
        <w:t>of the Agreement shall be replaced by “T and NK Cell Biology” and the Joint Development Plan set forth on Exhibit 1.69 shall also include activities directed to NK Cell Biology, as applicable.</w:t>
      </w:r>
    </w:p>
    <w:p>
      <w:pPr>
        <w:spacing w:after="0" w:line="159" w:lineRule="exact"/>
        <w:rPr>
          <w:sz w:val="20"/>
          <w:szCs w:val="20"/>
          <w:color w:val="auto"/>
        </w:rPr>
      </w:pPr>
    </w:p>
    <w:p>
      <w:pPr>
        <w:jc w:val="both"/>
        <w:ind w:left="540" w:hanging="748"/>
        <w:spacing w:after="0" w:line="332" w:lineRule="auto"/>
        <w:tabs>
          <w:tab w:leader="none" w:pos="520" w:val="left"/>
        </w:tabs>
        <w:rPr>
          <w:sz w:val="20"/>
          <w:szCs w:val="20"/>
          <w:color w:val="auto"/>
        </w:rPr>
      </w:pPr>
      <w:r>
        <w:rPr>
          <w:rFonts w:ascii="Arial" w:cs="Arial" w:eastAsia="Arial" w:hAnsi="Arial"/>
          <w:sz w:val="22"/>
          <w:szCs w:val="22"/>
          <w:color w:val="auto"/>
        </w:rPr>
        <w:t>4.3.7</w:t>
      </w:r>
      <w:r>
        <w:rPr>
          <w:sz w:val="20"/>
          <w:szCs w:val="20"/>
          <w:color w:val="auto"/>
        </w:rPr>
        <w:tab/>
      </w:r>
      <w:r>
        <w:rPr>
          <w:rFonts w:ascii="Arial" w:cs="Arial" w:eastAsia="Arial" w:hAnsi="Arial"/>
          <w:sz w:val="19"/>
          <w:szCs w:val="19"/>
          <w:b w:val="1"/>
          <w:bCs w:val="1"/>
          <w:color w:val="auto"/>
        </w:rPr>
        <w:t>Existing NK Cell License Agreements</w:t>
      </w:r>
      <w:r>
        <w:rPr>
          <w:rFonts w:ascii="Arial" w:cs="Arial" w:eastAsia="Arial" w:hAnsi="Arial"/>
          <w:sz w:val="19"/>
          <w:szCs w:val="19"/>
          <w:color w:val="auto"/>
        </w:rPr>
        <w:t>. Prior to the Effective Date, FATE entered into certain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which FATE has been granted licenses in relation to iPSC-derived NK cell technology subject to Third Party payment obligations that are set forth on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w:t>
      </w:r>
      <w:r>
        <w:rPr>
          <w:rFonts w:ascii="Arial" w:cs="Arial" w:eastAsia="Arial" w:hAnsi="Arial"/>
          <w:sz w:val="19"/>
          <w:szCs w:val="19"/>
          <w:b w:val="1"/>
          <w:bCs w:val="1"/>
          <w:color w:val="auto"/>
        </w:rPr>
        <w:t>FATE NK Cell Agreements</w:t>
      </w:r>
      <w:r>
        <w:rPr>
          <w:rFonts w:ascii="Arial" w:cs="Arial" w:eastAsia="Arial" w:hAnsi="Arial"/>
          <w:sz w:val="19"/>
          <w:szCs w:val="19"/>
          <w:color w:val="auto"/>
        </w:rPr>
        <w:t>”). As of the Amendment 01 Effective Date, the Parties acknowledge that, with respect to CAR-targeted NK cell therapeutics, no sublicense has been granted from FATE to ONO under the FATE NK Cell Agreements and no agreements between FATE and any Third Party shall be deemed an Existing Agreement under the Agreement. In the event ONO desires to exercise the ONO Option with respect to a CAR-targeted NK cell therapeutic, FATE may wish to amend any of the FATE NK Cell Agreements prior to granting ONO a sublicense under the FATE NK Cell Agreements, and if so, FATE will use Commercially Reasonable Efforts to enter into such amendments, subject to ONO’s prior consent on any such amended terms, which consent by ONO shall not be unreasonably withheld, delayed or conditioned. Thereafter, upon ONO’s exercise of the ONO Option with respect to a CAR-targeted NK therapeutic, such FATE NK Cell Agreements shall be deemed Existing Agreements under the Agreement and such Patents shall be added to the Agreement as FATE Patents and sublicensed to ONO with respect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2" w:right="339" w:bottom="1440" w:gutter="0" w:footer="0" w:header="0"/>
        </w:sectPr>
      </w:pPr>
    </w:p>
    <w:bookmarkStart w:id="87" w:name="page88"/>
    <w:bookmarkEnd w:id="87"/>
    <w:p>
      <w:pPr>
        <w:ind w:left="1660"/>
        <w:spacing w:after="0"/>
        <w:rPr>
          <w:sz w:val="20"/>
          <w:szCs w:val="20"/>
          <w:color w:val="auto"/>
        </w:rPr>
      </w:pPr>
      <w:r>
        <w:rPr>
          <w:rFonts w:ascii="Arial" w:cs="Arial" w:eastAsia="Arial" w:hAnsi="Arial"/>
          <w:sz w:val="22"/>
          <w:szCs w:val="22"/>
          <w:color w:val="auto"/>
        </w:rPr>
        <w:t>such CAR-targeted NK therapeutic, effective upon such ONO Option exercise relating thereto.</w:t>
      </w:r>
    </w:p>
    <w:p>
      <w:pPr>
        <w:spacing w:after="0" w:line="254" w:lineRule="exact"/>
        <w:rPr>
          <w:sz w:val="20"/>
          <w:szCs w:val="20"/>
          <w:color w:val="auto"/>
        </w:rPr>
      </w:pPr>
    </w:p>
    <w:p>
      <w:pPr>
        <w:jc w:val="both"/>
        <w:ind w:left="1660" w:hanging="748"/>
        <w:spacing w:after="0" w:line="301" w:lineRule="auto"/>
        <w:tabs>
          <w:tab w:leader="none" w:pos="1640" w:val="left"/>
        </w:tabs>
        <w:rPr>
          <w:sz w:val="20"/>
          <w:szCs w:val="20"/>
          <w:color w:val="auto"/>
        </w:rPr>
      </w:pPr>
      <w:r>
        <w:rPr>
          <w:rFonts w:ascii="Arial" w:cs="Arial" w:eastAsia="Arial" w:hAnsi="Arial"/>
          <w:sz w:val="22"/>
          <w:szCs w:val="22"/>
          <w:color w:val="auto"/>
        </w:rPr>
        <w:t>4.3.8</w:t>
      </w:r>
      <w:r>
        <w:rPr>
          <w:sz w:val="20"/>
          <w:szCs w:val="20"/>
          <w:color w:val="auto"/>
        </w:rPr>
        <w:tab/>
      </w:r>
      <w:r>
        <w:rPr>
          <w:rFonts w:ascii="Arial" w:cs="Arial" w:eastAsia="Arial" w:hAnsi="Arial"/>
          <w:sz w:val="21"/>
          <w:szCs w:val="21"/>
          <w:b w:val="1"/>
          <w:bCs w:val="1"/>
          <w:color w:val="auto"/>
        </w:rPr>
        <w:t>FATE NK Cell Patents</w:t>
      </w:r>
      <w:r>
        <w:rPr>
          <w:rFonts w:ascii="Arial" w:cs="Arial" w:eastAsia="Arial" w:hAnsi="Arial"/>
          <w:sz w:val="21"/>
          <w:szCs w:val="21"/>
          <w:color w:val="auto"/>
        </w:rPr>
        <w:t>. FATE hereby represents and warrants to ONO, as of the Amendment 01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Date, that the Patents set forth on Exhibit B of this Amendment 01 (FATE NK Cell Patents) are Controlled by FATE or its Affiliates in connection with the Research, Development and Commercialization of any CAR-targeted NK cell therapeutics. Upon ONO’s exercise of the ONO Option with respect to a CAR-targeted NK cell therapeutic, the Parties agree that such Patents shall be added to Exhibit 1.48 (FATE Patents) of the Agreement and sublicensed to ONO with respect to such CAR-targeted NK therapeutic, effective upon such ONO Option exercise relating thereto.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b w:val="1"/>
          <w:bCs w:val="1"/>
          <w:u w:val="single" w:color="auto"/>
          <w:color w:val="auto"/>
        </w:rPr>
        <w:t>ONO Option Period for</w:t>
      </w:r>
      <w:r>
        <w:rPr>
          <w:rFonts w:ascii="Arial" w:cs="Arial" w:eastAsia="Arial" w:hAnsi="Arial"/>
          <w:sz w:val="22"/>
          <w:szCs w:val="22"/>
          <w:color w:val="auto"/>
        </w:rPr>
        <w:t xml:space="preserve"> [***].</w:t>
      </w:r>
    </w:p>
    <w:p>
      <w:pPr>
        <w:spacing w:after="0" w:line="260" w:lineRule="exact"/>
        <w:rPr>
          <w:sz w:val="20"/>
          <w:szCs w:val="20"/>
          <w:color w:val="auto"/>
        </w:rPr>
      </w:pPr>
    </w:p>
    <w:p>
      <w:pPr>
        <w:jc w:val="both"/>
        <w:ind w:left="1040" w:hanging="588"/>
        <w:spacing w:after="0" w:line="307" w:lineRule="auto"/>
        <w:tabs>
          <w:tab w:leader="none" w:pos="10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b w:val="1"/>
          <w:bCs w:val="1"/>
          <w:color w:val="auto"/>
        </w:rPr>
        <w:t>Collaboration Candidate 3 Research Term</w:t>
      </w:r>
      <w:r>
        <w:rPr>
          <w:rFonts w:ascii="Arial" w:cs="Arial" w:eastAsia="Arial" w:hAnsi="Arial"/>
          <w:sz w:val="22"/>
          <w:szCs w:val="22"/>
          <w:color w:val="auto"/>
        </w:rPr>
        <w:t>. Upon the expiration of the ONO Option Period for [***] (the “[***]</w:t>
      </w:r>
      <w:r>
        <w:rPr>
          <w:rFonts w:ascii="Arial" w:cs="Arial" w:eastAsia="Arial" w:hAnsi="Arial"/>
          <w:sz w:val="22"/>
          <w:szCs w:val="22"/>
          <w:b w:val="1"/>
          <w:bCs w:val="1"/>
          <w:color w:val="auto"/>
        </w:rPr>
        <w:t xml:space="preserve"> Option Expiration</w:t>
      </w:r>
      <w:r>
        <w:rPr>
          <w:rFonts w:ascii="Arial" w:cs="Arial" w:eastAsia="Arial" w:hAnsi="Arial"/>
          <w:sz w:val="22"/>
          <w:szCs w:val="22"/>
          <w:color w:val="auto"/>
        </w:rPr>
        <w:t>”), ONO shall, by written notice to FATE, to elect to [***]</w:t>
      </w:r>
    </w:p>
    <w:p>
      <w:pPr>
        <w:spacing w:after="0" w:line="163" w:lineRule="exact"/>
        <w:rPr>
          <w:sz w:val="20"/>
          <w:szCs w:val="20"/>
          <w:color w:val="auto"/>
        </w:rPr>
      </w:pPr>
    </w:p>
    <w:p>
      <w:pPr>
        <w:jc w:val="both"/>
        <w:ind w:left="1040" w:hanging="588"/>
        <w:spacing w:after="0" w:line="298" w:lineRule="auto"/>
        <w:tabs>
          <w:tab w:leader="none" w:pos="10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b w:val="1"/>
          <w:bCs w:val="1"/>
          <w:color w:val="auto"/>
        </w:rPr>
        <w:t>ONO Option for Collaboration Candidate 3</w:t>
      </w:r>
      <w:r>
        <w:rPr>
          <w:rFonts w:ascii="Arial" w:cs="Arial" w:eastAsia="Arial" w:hAnsi="Arial"/>
          <w:sz w:val="21"/>
          <w:szCs w:val="21"/>
          <w:color w:val="auto"/>
        </w:rPr>
        <w:t>. ONO may exercise the ONO Option with respect to Collaboration</w:t>
      </w:r>
      <w:r>
        <w:rPr>
          <w:rFonts w:ascii="Arial" w:cs="Arial" w:eastAsia="Arial" w:hAnsi="Arial"/>
          <w:sz w:val="21"/>
          <w:szCs w:val="21"/>
          <w:b w:val="1"/>
          <w:bCs w:val="1"/>
          <w:color w:val="auto"/>
        </w:rPr>
        <w:t xml:space="preserve"> </w:t>
      </w:r>
      <w:r>
        <w:rPr>
          <w:rFonts w:ascii="Arial" w:cs="Arial" w:eastAsia="Arial" w:hAnsi="Arial"/>
          <w:sz w:val="21"/>
          <w:szCs w:val="21"/>
          <w:color w:val="auto"/>
        </w:rPr>
        <w:t>Candidate 3 in accordance with Section 2.4.3 of the Agreement; provided, however, that in the event ONO has exercised the ONO Option with respect to [***] in accordance with Section 2.4.3 of the Agreement, then ONO may choose to defer its decision to exercise the ONO Option with respect to [***] and to extend the [***] as set forth below. In the event ONO elects to defer its decision and extend the [***], ONO shall make a [***] payment to FATE in the amount of [***] ($[***]) prior to the ONO Option Period expiration date for [***]. In such case, the [***] shall be extended to end on the earliest of (i) [***] from the Amendment 01 Effective Date, (ii) [***], and (iii) [***] after the date on which FATE has completed all IND-enabling studies for [***]. Promptly after ONO provides to FATE such notice of deferral and extension, the Parties shall mutually agree to a Joint Development Plan in an effort to promptly submit an IND to the FDA for [***] and to the Annual R&amp;D Fees related thereto during the extended [***]. Except as otherwise expressly provided in this First Amendment or in the Joint Development Plan, the Parties shall [***] ONO shall have the right, but not the obligation, to exercise the ONO Option with respect to [***] in accordance with Section 2.4.3 of the Agreement at the end of the ONO Option Period (as may be extended as set forth above).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b w:val="1"/>
          <w:bCs w:val="1"/>
          <w:u w:val="single" w:color="auto"/>
          <w:color w:val="auto"/>
        </w:rPr>
        <w:t>Removal of</w:t>
      </w:r>
      <w:r>
        <w:rPr>
          <w:rFonts w:ascii="Arial" w:cs="Arial" w:eastAsia="Arial" w:hAnsi="Arial"/>
          <w:sz w:val="22"/>
          <w:szCs w:val="22"/>
          <w:color w:val="auto"/>
        </w:rPr>
        <w:t xml:space="preserve"> [***]. Sections 1.54 and 5.10 of the Agreement shall be deleted in its entirety.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88" w:name="page89"/>
    <w:bookmarkEnd w:id="88"/>
    <w:p>
      <w:pPr>
        <w:jc w:val="both"/>
        <w:spacing w:after="0" w:line="290" w:lineRule="auto"/>
        <w:rPr>
          <w:sz w:val="20"/>
          <w:szCs w:val="20"/>
          <w:color w:val="auto"/>
        </w:rPr>
      </w:pPr>
      <w:r>
        <w:rPr>
          <w:rFonts w:ascii="Arial" w:cs="Arial" w:eastAsia="Arial" w:hAnsi="Arial"/>
          <w:sz w:val="22"/>
          <w:szCs w:val="22"/>
          <w:color w:val="auto"/>
        </w:rPr>
        <w:t>7</w:t>
      </w:r>
      <w:r>
        <w:rPr>
          <w:rFonts w:ascii="Arial" w:cs="Arial" w:eastAsia="Arial" w:hAnsi="Arial"/>
          <w:sz w:val="22"/>
          <w:szCs w:val="22"/>
          <w:b w:val="1"/>
          <w:bCs w:val="1"/>
          <w:u w:val="single" w:color="auto"/>
          <w:color w:val="auto"/>
        </w:rPr>
        <w:t>Ratification of the Agreement.</w:t>
      </w:r>
      <w:r>
        <w:rPr>
          <w:rFonts w:ascii="Arial" w:cs="Arial" w:eastAsia="Arial" w:hAnsi="Arial"/>
          <w:sz w:val="22"/>
          <w:szCs w:val="22"/>
          <w:color w:val="auto"/>
        </w:rPr>
        <w:t xml:space="preserve"> Except as amended as described above, all other terms and conditions stated in the Agreement shall remain in full force and effect. The execution, delivery and effectiveness of this First Amendment shall not, except as expressly provided herein, operate as a waiver of any right, power or remedy of the parties to the Agreement, nor constitute a waiver of any provision of the Agreement.</w:t>
      </w:r>
    </w:p>
    <w:p>
      <w:pPr>
        <w:spacing w:after="0" w:line="18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8</w:t>
      </w:r>
      <w:r>
        <w:rPr>
          <w:rFonts w:ascii="Arial" w:cs="Arial" w:eastAsia="Arial" w:hAnsi="Arial"/>
          <w:sz w:val="19"/>
          <w:szCs w:val="19"/>
          <w:b w:val="1"/>
          <w:bCs w:val="1"/>
          <w:u w:val="single" w:color="auto"/>
          <w:color w:val="auto"/>
        </w:rPr>
        <w:t>Counterparts; Electronic Delivery.</w:t>
      </w:r>
      <w:r>
        <w:rPr>
          <w:rFonts w:ascii="Arial" w:cs="Arial" w:eastAsia="Arial" w:hAnsi="Arial"/>
          <w:sz w:val="19"/>
          <w:szCs w:val="19"/>
          <w:color w:val="auto"/>
        </w:rPr>
        <w:t xml:space="preserve"> This First Amendment may be executed in counter-parts with the same effect as if both Parties had signed the same document. All such counterparts shall be deemed an original, shall be construed together and shall constitute one and the same instrument.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4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spacing w:after="0" w:line="263" w:lineRule="auto"/>
        <w:rPr>
          <w:sz w:val="20"/>
          <w:szCs w:val="20"/>
          <w:color w:val="auto"/>
        </w:rPr>
      </w:pPr>
      <w:r>
        <w:rPr>
          <w:rFonts w:ascii="Arial" w:cs="Arial" w:eastAsia="Arial" w:hAnsi="Arial"/>
          <w:sz w:val="22"/>
          <w:szCs w:val="22"/>
          <w:color w:val="auto"/>
        </w:rPr>
        <w:t>IN WITNESS WHEREOF, the Parties have caused this First Amendment to be executed by their respective duly authorized officers as of the Effective Date.</w:t>
      </w:r>
    </w:p>
    <w:p>
      <w:pPr>
        <w:spacing w:after="0" w:line="200" w:lineRule="exact"/>
        <w:rPr>
          <w:sz w:val="20"/>
          <w:szCs w:val="20"/>
          <w:color w:val="auto"/>
        </w:rPr>
      </w:pP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80"/>
        </w:trPr>
        <w:tc>
          <w:tcPr>
            <w:tcW w:w="4740" w:type="dxa"/>
            <w:vAlign w:val="bottom"/>
            <w:gridSpan w:val="6"/>
          </w:tcPr>
          <w:p>
            <w:pPr>
              <w:spacing w:after="0"/>
              <w:rPr>
                <w:sz w:val="20"/>
                <w:szCs w:val="20"/>
                <w:color w:val="auto"/>
              </w:rPr>
            </w:pPr>
            <w:r>
              <w:rPr>
                <w:rFonts w:ascii="Arial" w:cs="Arial" w:eastAsia="Arial" w:hAnsi="Arial"/>
                <w:sz w:val="22"/>
                <w:szCs w:val="22"/>
                <w:b w:val="1"/>
                <w:bCs w:val="1"/>
                <w:color w:val="auto"/>
              </w:rPr>
              <w:t>FATE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c>
          <w:tcPr>
            <w:tcW w:w="4240" w:type="dxa"/>
            <w:vAlign w:val="bottom"/>
            <w:gridSpan w:val="10"/>
          </w:tcPr>
          <w:p>
            <w:pPr>
              <w:ind w:left="740"/>
              <w:spacing w:after="0"/>
              <w:rPr>
                <w:sz w:val="20"/>
                <w:szCs w:val="20"/>
                <w:color w:val="auto"/>
              </w:rPr>
            </w:pPr>
            <w:r>
              <w:rPr>
                <w:rFonts w:ascii="Arial" w:cs="Arial" w:eastAsia="Arial" w:hAnsi="Arial"/>
                <w:sz w:val="22"/>
                <w:szCs w:val="22"/>
                <w:b w:val="1"/>
                <w:bCs w:val="1"/>
                <w:color w:val="auto"/>
              </w:rPr>
              <w:t>ONO P</w:t>
            </w:r>
            <w:r>
              <w:rPr>
                <w:rFonts w:ascii="Arial" w:cs="Arial" w:eastAsia="Arial" w:hAnsi="Arial"/>
                <w:sz w:val="14"/>
                <w:szCs w:val="14"/>
                <w:b w:val="1"/>
                <w:bCs w:val="1"/>
                <w:color w:val="auto"/>
              </w:rPr>
              <w:t>HARMACEUTICAL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w:t>
            </w:r>
            <w:r>
              <w:rPr>
                <w:rFonts w:ascii="Arial" w:cs="Arial" w:eastAsia="Arial" w:hAnsi="Arial"/>
                <w:sz w:val="22"/>
                <w:szCs w:val="22"/>
                <w:b w:val="1"/>
                <w:bCs w:val="1"/>
                <w:color w:val="auto"/>
              </w:rPr>
              <w:t>.,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786"/>
        </w:trPr>
        <w:tc>
          <w:tcPr>
            <w:tcW w:w="4740" w:type="dxa"/>
            <w:vAlign w:val="bottom"/>
            <w:gridSpan w:val="6"/>
          </w:tcPr>
          <w:p>
            <w:pPr>
              <w:spacing w:after="0"/>
              <w:rPr>
                <w:sz w:val="20"/>
                <w:szCs w:val="20"/>
                <w:color w:val="auto"/>
              </w:rPr>
            </w:pPr>
            <w:r>
              <w:rPr>
                <w:rFonts w:ascii="Arial" w:cs="Arial" w:eastAsia="Arial" w:hAnsi="Arial"/>
                <w:sz w:val="22"/>
                <w:szCs w:val="22"/>
                <w:color w:val="auto"/>
              </w:rPr>
              <w:t>By: /s/ Scott Wolchko</w:t>
            </w:r>
          </w:p>
        </w:tc>
        <w:tc>
          <w:tcPr>
            <w:tcW w:w="4240" w:type="dxa"/>
            <w:vAlign w:val="bottom"/>
            <w:gridSpan w:val="10"/>
          </w:tcPr>
          <w:p>
            <w:pPr>
              <w:ind w:left="740"/>
              <w:spacing w:after="0"/>
              <w:rPr>
                <w:sz w:val="20"/>
                <w:szCs w:val="20"/>
                <w:color w:val="auto"/>
              </w:rPr>
            </w:pPr>
            <w:r>
              <w:rPr>
                <w:rFonts w:ascii="Arial" w:cs="Arial" w:eastAsia="Arial" w:hAnsi="Arial"/>
                <w:sz w:val="22"/>
                <w:szCs w:val="22"/>
                <w:color w:val="auto"/>
              </w:rPr>
              <w:t>By: /s/ Toichi Takino, Ph.D</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40" w:type="dxa"/>
            <w:vAlign w:val="bottom"/>
            <w:gridSpan w:val="6"/>
          </w:tcPr>
          <w:p>
            <w:pPr>
              <w:spacing w:after="0"/>
              <w:rPr>
                <w:sz w:val="20"/>
                <w:szCs w:val="20"/>
                <w:color w:val="auto"/>
              </w:rPr>
            </w:pPr>
            <w:r>
              <w:rPr>
                <w:rFonts w:ascii="Arial" w:cs="Arial" w:eastAsia="Arial" w:hAnsi="Arial"/>
                <w:sz w:val="22"/>
                <w:szCs w:val="22"/>
                <w:color w:val="auto"/>
              </w:rPr>
              <w:t>Name: Scott Wolchko</w:t>
            </w:r>
          </w:p>
        </w:tc>
        <w:tc>
          <w:tcPr>
            <w:tcW w:w="1320" w:type="dxa"/>
            <w:vAlign w:val="bottom"/>
            <w:gridSpan w:val="4"/>
          </w:tcPr>
          <w:p>
            <w:pPr>
              <w:ind w:left="740"/>
              <w:spacing w:after="0"/>
              <w:rPr>
                <w:sz w:val="20"/>
                <w:szCs w:val="20"/>
                <w:color w:val="auto"/>
              </w:rPr>
            </w:pPr>
            <w:r>
              <w:rPr>
                <w:rFonts w:ascii="Arial" w:cs="Arial" w:eastAsia="Arial" w:hAnsi="Arial"/>
                <w:sz w:val="22"/>
                <w:szCs w:val="22"/>
                <w:color w:val="auto"/>
                <w:w w:val="86"/>
              </w:rPr>
              <w:t>Name:</w:t>
            </w:r>
          </w:p>
        </w:tc>
        <w:tc>
          <w:tcPr>
            <w:tcW w:w="1860" w:type="dxa"/>
            <w:vAlign w:val="bottom"/>
            <w:tcBorders>
              <w:bottom w:val="single" w:sz="8" w:color="auto"/>
            </w:tcBorders>
            <w:gridSpan w:val="3"/>
          </w:tcPr>
          <w:p>
            <w:pPr>
              <w:ind w:left="60"/>
              <w:spacing w:after="0"/>
              <w:rPr>
                <w:sz w:val="20"/>
                <w:szCs w:val="20"/>
                <w:color w:val="auto"/>
              </w:rPr>
            </w:pPr>
            <w:r>
              <w:rPr>
                <w:rFonts w:ascii="Arial" w:cs="Arial" w:eastAsia="Arial" w:hAnsi="Arial"/>
                <w:sz w:val="22"/>
                <w:szCs w:val="22"/>
                <w:color w:val="auto"/>
                <w:w w:val="91"/>
              </w:rPr>
              <w:t>Toichi Takino, Ph.D</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vMerge w:val="restart"/>
          </w:tcPr>
          <w:p>
            <w:pPr>
              <w:ind w:left="740"/>
              <w:spacing w:after="0"/>
              <w:rPr>
                <w:sz w:val="20"/>
                <w:szCs w:val="20"/>
                <w:color w:val="auto"/>
              </w:rPr>
            </w:pPr>
            <w:r>
              <w:rPr>
                <w:rFonts w:ascii="Arial" w:cs="Arial" w:eastAsia="Arial" w:hAnsi="Arial"/>
                <w:sz w:val="22"/>
                <w:szCs w:val="22"/>
                <w:color w:val="auto"/>
              </w:rPr>
              <w:t>Title:</w:t>
            </w:r>
          </w:p>
        </w:tc>
        <w:tc>
          <w:tcPr>
            <w:tcW w:w="2960" w:type="dxa"/>
            <w:vAlign w:val="bottom"/>
            <w:gridSpan w:val="7"/>
            <w:vMerge w:val="restart"/>
          </w:tcPr>
          <w:p>
            <w:pPr>
              <w:spacing w:after="0"/>
              <w:rPr>
                <w:sz w:val="20"/>
                <w:szCs w:val="20"/>
                <w:color w:val="auto"/>
              </w:rPr>
            </w:pPr>
            <w:r>
              <w:rPr>
                <w:rFonts w:ascii="Arial" w:cs="Arial" w:eastAsia="Arial" w:hAnsi="Arial"/>
                <w:sz w:val="22"/>
                <w:szCs w:val="22"/>
                <w:color w:val="auto"/>
                <w:w w:val="90"/>
              </w:rPr>
              <w:t>Member of the Board of Directors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40" w:type="dxa"/>
            <w:vAlign w:val="bottom"/>
            <w:gridSpan w:val="2"/>
          </w:tcPr>
          <w:p>
            <w:pPr>
              <w:spacing w:after="0"/>
              <w:rPr>
                <w:sz w:val="20"/>
                <w:szCs w:val="20"/>
                <w:color w:val="auto"/>
              </w:rPr>
            </w:pPr>
            <w:r>
              <w:rPr>
                <w:rFonts w:ascii="Arial" w:cs="Arial" w:eastAsia="Arial" w:hAnsi="Arial"/>
                <w:sz w:val="22"/>
                <w:szCs w:val="22"/>
                <w:color w:val="auto"/>
              </w:rPr>
              <w:t>Title:</w:t>
            </w:r>
          </w:p>
        </w:tc>
        <w:tc>
          <w:tcPr>
            <w:tcW w:w="2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22"/>
                <w:szCs w:val="22"/>
                <w:color w:val="auto"/>
              </w:rPr>
              <w:t>President &amp; Chief Executive Officer</w:t>
            </w:r>
          </w:p>
        </w:tc>
        <w:tc>
          <w:tcPr>
            <w:tcW w:w="1260" w:type="dxa"/>
            <w:vAlign w:val="bottom"/>
            <w:gridSpan w:val="2"/>
            <w:vMerge w:val="continue"/>
          </w:tcPr>
          <w:p>
            <w:pPr>
              <w:spacing w:after="0"/>
              <w:rPr>
                <w:sz w:val="24"/>
                <w:szCs w:val="24"/>
                <w:color w:val="auto"/>
              </w:rPr>
            </w:pPr>
          </w:p>
        </w:tc>
        <w:tc>
          <w:tcPr>
            <w:tcW w:w="2960" w:type="dxa"/>
            <w:vAlign w:val="bottom"/>
            <w:tcBorders>
              <w:bottom w:val="single" w:sz="8" w:color="auto"/>
            </w:tcBorders>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w w:val="91"/>
              </w:rPr>
              <w:t>Executive Officer</w:t>
            </w:r>
          </w:p>
        </w:tc>
        <w:tc>
          <w:tcPr>
            <w:tcW w:w="142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7"/>
          </w:tcPr>
          <w:p>
            <w:pPr>
              <w:spacing w:after="0" w:line="250" w:lineRule="exact"/>
              <w:rPr>
                <w:sz w:val="20"/>
                <w:szCs w:val="20"/>
                <w:color w:val="auto"/>
              </w:rPr>
            </w:pPr>
            <w:r>
              <w:rPr>
                <w:rFonts w:ascii="Arial" w:cs="Arial" w:eastAsia="Arial" w:hAnsi="Arial"/>
                <w:sz w:val="22"/>
                <w:szCs w:val="22"/>
                <w:color w:val="auto"/>
              </w:rPr>
              <w:t>Executive Director,</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tcBorders>
              <w:bottom w:val="single" w:sz="8" w:color="auto"/>
            </w:tcBorders>
            <w:gridSpan w:val="5"/>
          </w:tcPr>
          <w:p>
            <w:pPr>
              <w:spacing w:after="0" w:line="250" w:lineRule="exact"/>
              <w:rPr>
                <w:sz w:val="20"/>
                <w:szCs w:val="20"/>
                <w:color w:val="auto"/>
              </w:rPr>
            </w:pPr>
            <w:r>
              <w:rPr>
                <w:rFonts w:ascii="Arial" w:cs="Arial" w:eastAsia="Arial" w:hAnsi="Arial"/>
                <w:sz w:val="22"/>
                <w:szCs w:val="22"/>
                <w:color w:val="auto"/>
                <w:w w:val="89"/>
              </w:rPr>
              <w:t>Discovery &amp; Research</w:t>
            </w:r>
          </w:p>
        </w:tc>
        <w:tc>
          <w:tcPr>
            <w:tcW w:w="10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537" w:right="859" w:bottom="1440" w:gutter="0" w:footer="0" w:header="0"/>
        </w:sectPr>
      </w:pPr>
    </w:p>
    <w:bookmarkStart w:id="90" w:name="page91"/>
    <w:bookmarkEnd w:id="90"/>
    <w:p>
      <w:pPr>
        <w:jc w:val="center"/>
        <w:ind w:right="-1100"/>
        <w:spacing w:after="0"/>
        <w:rPr>
          <w:sz w:val="20"/>
          <w:szCs w:val="20"/>
          <w:color w:val="auto"/>
        </w:rPr>
      </w:pPr>
      <w:r>
        <w:rPr>
          <w:rFonts w:ascii="Arial" w:cs="Arial" w:eastAsia="Arial" w:hAnsi="Arial"/>
          <w:sz w:val="22"/>
          <w:szCs w:val="22"/>
          <w:b w:val="1"/>
          <w:bCs w:val="1"/>
          <w:color w:val="auto"/>
        </w:rPr>
        <w:t>Exhibit A</w:t>
      </w:r>
    </w:p>
    <w:p>
      <w:pPr>
        <w:spacing w:after="0" w:line="152"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[FATE NK Cell Agreements]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4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91" w:name="page92"/>
    <w:bookmarkEnd w:id="91"/>
    <w:p>
      <w:pPr>
        <w:jc w:val="center"/>
        <w:ind w:right="-1100"/>
        <w:spacing w:after="0"/>
        <w:rPr>
          <w:sz w:val="20"/>
          <w:szCs w:val="20"/>
          <w:color w:val="auto"/>
        </w:rPr>
      </w:pPr>
      <w:r>
        <w:rPr>
          <w:rFonts w:ascii="Arial" w:cs="Arial" w:eastAsia="Arial" w:hAnsi="Arial"/>
          <w:sz w:val="22"/>
          <w:szCs w:val="22"/>
          <w:b w:val="1"/>
          <w:bCs w:val="1"/>
          <w:color w:val="auto"/>
        </w:rPr>
        <w:t>Exhibit B</w:t>
      </w:r>
    </w:p>
    <w:p>
      <w:pPr>
        <w:spacing w:after="0" w:line="152"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[FATE NK Cell Patents]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28"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RULE 13a-14(a) AND 15d-14(a) OF THE SECURITIES EXCHANGE ACT, AS ADOPTED PURSUANT TO SECTION 302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 Scott Wolchko, certify that:</w:t>
      </w:r>
    </w:p>
    <w:p>
      <w:pPr>
        <w:spacing w:after="0" w:line="212" w:lineRule="exact"/>
        <w:rPr>
          <w:sz w:val="20"/>
          <w:szCs w:val="20"/>
          <w:color w:val="auto"/>
        </w:rPr>
      </w:pPr>
    </w:p>
    <w:p>
      <w:pPr>
        <w:ind w:left="700" w:hanging="183"/>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Fate Therapeutics, Inc.;</w:t>
      </w:r>
    </w:p>
    <w:p>
      <w:pPr>
        <w:spacing w:after="0" w:line="211"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7"/>
        <w:spacing w:after="0" w:line="248"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20" w:firstLine="1028"/>
        <w:spacing w:after="0" w:line="248" w:lineRule="auto"/>
        <w:tabs>
          <w:tab w:leader="none" w:pos="118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1028"/>
        <w:spacing w:after="0" w:line="248" w:lineRule="auto"/>
        <w:tabs>
          <w:tab w:leader="none" w:pos="1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40" w:firstLine="1028"/>
        <w:spacing w:after="0" w:line="324" w:lineRule="auto"/>
        <w:tabs>
          <w:tab w:leader="none" w:pos="1189"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right="240" w:firstLine="1028"/>
        <w:spacing w:after="0" w:line="248" w:lineRule="auto"/>
        <w:tabs>
          <w:tab w:leader="none" w:pos="1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517"/>
        <w:spacing w:after="0" w:line="291" w:lineRule="auto"/>
        <w:tabs>
          <w:tab w:leader="none" w:pos="6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60" w:firstLine="1028"/>
        <w:spacing w:after="0" w:line="291" w:lineRule="auto"/>
        <w:tabs>
          <w:tab w:leader="none" w:pos="1189"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40" w:firstLine="1028"/>
        <w:spacing w:after="0" w:line="261" w:lineRule="auto"/>
        <w:tabs>
          <w:tab w:leader="none" w:pos="1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J. S</w:t>
      </w:r>
      <w:r>
        <w:rPr>
          <w:rFonts w:ascii="Arial" w:cs="Arial" w:eastAsia="Arial" w:hAnsi="Arial"/>
          <w:sz w:val="11"/>
          <w:szCs w:val="11"/>
          <w:color w:val="auto"/>
        </w:rPr>
        <w:t>COTT</w:t>
      </w:r>
      <w:r>
        <w:rPr>
          <w:rFonts w:ascii="Arial" w:cs="Arial" w:eastAsia="Arial" w:hAnsi="Arial"/>
          <w:sz w:val="17"/>
          <w:szCs w:val="17"/>
          <w:color w:val="auto"/>
        </w:rPr>
        <w:t xml:space="preserve"> W</w:t>
      </w:r>
      <w:r>
        <w:rPr>
          <w:rFonts w:ascii="Arial" w:cs="Arial" w:eastAsia="Arial" w:hAnsi="Arial"/>
          <w:sz w:val="11"/>
          <w:szCs w:val="11"/>
          <w:color w:val="auto"/>
        </w:rPr>
        <w:t>OLCHKO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 Scott Wolchko</w:t>
      </w:r>
    </w:p>
    <w:p>
      <w:pPr>
        <w:ind w:left="67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ind w:right="40"/>
        <w:spacing w:after="0" w:line="251" w:lineRule="auto"/>
        <w:rPr>
          <w:sz w:val="20"/>
          <w:szCs w:val="20"/>
          <w:color w:val="auto"/>
        </w:rPr>
      </w:pPr>
      <w:r>
        <w:rPr>
          <w:rFonts w:ascii="Arial" w:cs="Arial" w:eastAsia="Arial" w:hAnsi="Arial"/>
          <w:sz w:val="18"/>
          <w:szCs w:val="18"/>
          <w:color w:val="auto"/>
        </w:rPr>
        <w:t>CERTIFICATION OF PRINCIPAL FINANCIAL AND ACCOUNTING OFFICER PURSUANT TO RULE 13a-14(a) AND 15d-14(a) OF THE SECURITIES EXCHANGE ACT, AS ADOPTED PURSUANT TO 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Edward J. Dulac III, certify that:</w:t>
      </w:r>
    </w:p>
    <w:p>
      <w:pPr>
        <w:spacing w:after="0" w:line="212" w:lineRule="exact"/>
        <w:rPr>
          <w:sz w:val="20"/>
          <w:szCs w:val="20"/>
          <w:color w:val="auto"/>
        </w:rPr>
      </w:pPr>
    </w:p>
    <w:p>
      <w:pPr>
        <w:ind w:left="700" w:hanging="183"/>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Fate Therapeutics, Inc.;</w:t>
      </w:r>
    </w:p>
    <w:p>
      <w:pPr>
        <w:spacing w:after="0" w:line="211"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7"/>
        <w:spacing w:after="0" w:line="248" w:lineRule="auto"/>
        <w:tabs>
          <w:tab w:leader="none" w:pos="6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20" w:firstLine="1028"/>
        <w:spacing w:after="0" w:line="248" w:lineRule="auto"/>
        <w:tabs>
          <w:tab w:leader="none" w:pos="118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1028"/>
        <w:spacing w:after="0" w:line="248" w:lineRule="auto"/>
        <w:tabs>
          <w:tab w:leader="none" w:pos="1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40" w:firstLine="1028"/>
        <w:spacing w:after="0" w:line="324" w:lineRule="auto"/>
        <w:tabs>
          <w:tab w:leader="none" w:pos="1189"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right="240" w:firstLine="1028"/>
        <w:spacing w:after="0" w:line="248" w:lineRule="auto"/>
        <w:tabs>
          <w:tab w:leader="none" w:pos="1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517"/>
        <w:spacing w:after="0" w:line="291" w:lineRule="auto"/>
        <w:tabs>
          <w:tab w:leader="none" w:pos="68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60" w:firstLine="1028"/>
        <w:spacing w:after="0" w:line="291" w:lineRule="auto"/>
        <w:tabs>
          <w:tab w:leader="none" w:pos="1189"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40" w:firstLine="1028"/>
        <w:spacing w:after="0" w:line="261" w:lineRule="auto"/>
        <w:tabs>
          <w:tab w:leader="none" w:pos="1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E</w:t>
      </w:r>
      <w:r>
        <w:rPr>
          <w:rFonts w:ascii="Arial" w:cs="Arial" w:eastAsia="Arial" w:hAnsi="Arial"/>
          <w:sz w:val="11"/>
          <w:szCs w:val="11"/>
          <w:color w:val="auto"/>
        </w:rPr>
        <w:t>DWARD</w:t>
      </w:r>
      <w:r>
        <w:rPr>
          <w:rFonts w:ascii="Arial" w:cs="Arial" w:eastAsia="Arial" w:hAnsi="Arial"/>
          <w:sz w:val="17"/>
          <w:szCs w:val="17"/>
          <w:color w:val="auto"/>
        </w:rPr>
        <w:t xml:space="preserve"> J. D</w:t>
      </w:r>
      <w:r>
        <w:rPr>
          <w:rFonts w:ascii="Arial" w:cs="Arial" w:eastAsia="Arial" w:hAnsi="Arial"/>
          <w:sz w:val="11"/>
          <w:szCs w:val="11"/>
          <w:color w:val="auto"/>
        </w:rPr>
        <w:t>ULAC</w:t>
      </w:r>
      <w:r>
        <w:rPr>
          <w:rFonts w:ascii="Arial" w:cs="Arial" w:eastAsia="Arial" w:hAnsi="Arial"/>
          <w:sz w:val="17"/>
          <w:szCs w:val="17"/>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Edward J. Dulac III</w:t>
      </w:r>
    </w:p>
    <w:p>
      <w:pPr>
        <w:ind w:left="67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6"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connection with the quarterly report of Fate Therapeutics, Inc. (the “Company”) on Form 10-Q for the period ended June 30, 2022 as filed with the Securities and Exchange Commission on the date hereof (the “Report”), we, J. Scott Wolchko, President and Chief Executive Officer of the Company, and Edward J. Dulac III, Chief Financial Officer of the Company, certify, pursuant to 18 U.S.C. Section 1350, as adopted pursuant to Section 906 of the Sarbanes-Oxley Act of 2002, that, to my knowledge:</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 The Report fully complies with the requirements of Section 13(a) or 15(d), as applicable, of the Securities Exchange Act of 1934,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 S</w:t>
      </w:r>
      <w:r>
        <w:rPr>
          <w:rFonts w:ascii="Arial" w:cs="Arial" w:eastAsia="Arial" w:hAnsi="Arial"/>
          <w:sz w:val="12"/>
          <w:szCs w:val="12"/>
          <w:color w:val="auto"/>
        </w:rPr>
        <w:t>COTT</w:t>
      </w:r>
      <w:r>
        <w:rPr>
          <w:rFonts w:ascii="Arial" w:cs="Arial" w:eastAsia="Arial" w:hAnsi="Arial"/>
          <w:sz w:val="18"/>
          <w:szCs w:val="18"/>
          <w:color w:val="auto"/>
        </w:rPr>
        <w:t xml:space="preserve"> W</w:t>
      </w:r>
      <w:r>
        <w:rPr>
          <w:rFonts w:ascii="Arial" w:cs="Arial" w:eastAsia="Arial" w:hAnsi="Arial"/>
          <w:sz w:val="12"/>
          <w:szCs w:val="12"/>
          <w:color w:val="auto"/>
        </w:rPr>
        <w:t>OLCHKO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 Scott Wolchko</w:t>
      </w:r>
    </w:p>
    <w:p>
      <w:pPr>
        <w:ind w:left="6780"/>
        <w:spacing w:after="0" w:line="203" w:lineRule="auto"/>
        <w:rPr>
          <w:sz w:val="20"/>
          <w:szCs w:val="20"/>
          <w:color w:val="auto"/>
        </w:rPr>
      </w:pPr>
      <w:r>
        <w:rPr>
          <w:rFonts w:ascii="Arial" w:cs="Arial" w:eastAsia="Arial" w:hAnsi="Arial"/>
          <w:sz w:val="18"/>
          <w:szCs w:val="18"/>
          <w:color w:val="auto"/>
        </w:rPr>
        <w:t>President and Chief Executive Officer</w:t>
      </w: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DWARD</w:t>
      </w:r>
      <w:r>
        <w:rPr>
          <w:rFonts w:ascii="Arial" w:cs="Arial" w:eastAsia="Arial" w:hAnsi="Arial"/>
          <w:sz w:val="18"/>
          <w:szCs w:val="18"/>
          <w:color w:val="auto"/>
        </w:rPr>
        <w:t xml:space="preserve"> J. D</w:t>
      </w:r>
      <w:r>
        <w:rPr>
          <w:rFonts w:ascii="Arial" w:cs="Arial" w:eastAsia="Arial" w:hAnsi="Arial"/>
          <w:sz w:val="12"/>
          <w:szCs w:val="12"/>
          <w:color w:val="auto"/>
        </w:rPr>
        <w:t>ULAC</w:t>
      </w:r>
      <w:r>
        <w:rPr>
          <w:rFonts w:ascii="Arial" w:cs="Arial" w:eastAsia="Arial" w:hAnsi="Arial"/>
          <w:sz w:val="18"/>
          <w:szCs w:val="18"/>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Edward J. Dulac III</w:t>
      </w:r>
    </w:p>
    <w:p>
      <w:pPr>
        <w:ind w:left="6780"/>
        <w:spacing w:after="0" w:line="203" w:lineRule="auto"/>
        <w:rPr>
          <w:sz w:val="20"/>
          <w:szCs w:val="20"/>
          <w:color w:val="auto"/>
        </w:rPr>
      </w:pPr>
      <w:r>
        <w:rPr>
          <w:rFonts w:ascii="Arial" w:cs="Arial" w:eastAsia="Arial" w:hAnsi="Arial"/>
          <w:sz w:val="18"/>
          <w:szCs w:val="18"/>
          <w:color w:val="auto"/>
        </w:rPr>
        <w:t>Chief Financial Officer</w:t>
      </w:r>
    </w:p>
    <w:p>
      <w:pPr>
        <w:ind w:left="6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2"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2"/>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decimal"/>
      <w:start w:val="5"/>
    </w:lvl>
  </w:abstractNum>
  <w:abstractNum w:abstractNumId="9">
    <w:nsid w:val="8138641"/>
    <w:multiLevelType w:val="hybridMultilevel"/>
    <w:lvl w:ilvl="0">
      <w:lvlJc w:val="left"/>
      <w:lvlText w:val="%1."/>
      <w:numFmt w:val="decimal"/>
      <w:start w:val="6"/>
    </w:lvl>
  </w:abstractNum>
  <w:abstractNum w:abstractNumId="10">
    <w:nsid w:val="1E7FF521"/>
    <w:multiLevelType w:val="hybridMultilevel"/>
    <w:lvl w:ilvl="0">
      <w:lvlJc w:val="left"/>
      <w:lvlText w:val="%1."/>
      <w:numFmt w:val="decimal"/>
      <w:start w:val="7"/>
    </w:lvl>
  </w:abstractNum>
  <w:abstractNum w:abstractNumId="11">
    <w:nsid w:val="7C3DBD3D"/>
    <w:multiLevelType w:val="hybridMultilevel"/>
    <w:lvl w:ilvl="0">
      <w:lvlJc w:val="left"/>
      <w:lvlText w:val="%1."/>
      <w:numFmt w:val="decimal"/>
      <w:start w:val="8"/>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2"/>
      <w:numFmt w:val="bullet"/>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4"/>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06" Type="http://schemas.openxmlformats.org/officeDocument/2006/relationships/hyperlink" Target="https://www.sec.gov/Archives/edgar/data/1434316/000119312513351036/d590580dex32.htm" TargetMode="External"/><Relationship Id="rId307" Type="http://schemas.openxmlformats.org/officeDocument/2006/relationships/hyperlink" Target="https://www.sec.gov/Archives/edgar/data/1434316/000119312521184402/d191657dex31.htm" TargetMode="External"/><Relationship Id="rId308" Type="http://schemas.openxmlformats.org/officeDocument/2006/relationships/hyperlink" Target="https://www.sec.gov/Archives/edgar/data/1434316/000119312516778378/d301639dex31.htm" TargetMode="External"/><Relationship Id="rId309" Type="http://schemas.openxmlformats.org/officeDocument/2006/relationships/hyperlink" Target="https://www.sec.gov/Archives/edgar/data/1434316/000156459021008086/fate-ex33_493.htm" TargetMode="External"/><Relationship Id="rId310" Type="http://schemas.openxmlformats.org/officeDocument/2006/relationships/hyperlink" Target="https://www.sec.gov/Archives/edgar/data/1434316/000119312513351036/d590580dex41.htm" TargetMode="External"/><Relationship Id="rId311" Type="http://schemas.openxmlformats.org/officeDocument/2006/relationships/hyperlink" Target="https://www.sec.gov/Archives/edgar/data/1434316/000119312521005180/d95890dex41.htm" TargetMode="External"/><Relationship Id="rId312" Type="http://schemas.openxmlformats.org/officeDocument/2006/relationships/hyperlink" Target="https://www.sec.gov/Archives/edgar/data/1434316/000119312522171100/d231890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2022-08-03T15:24:26Z</dcterms:created>
  <dcterms:modified xsi:type="dcterms:W3CDTF">2022-08-03T15:24:26Z</dcterms:modified>
</cp:coreProperties>
</file>