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5" w:lineRule="exact"/>
        <w:rPr>
          <w:sz w:val="24"/>
          <w:szCs w:val="24"/>
          <w:color w:val="auto"/>
        </w:rPr>
      </w:pPr>
    </w:p>
    <w:p>
      <w:pPr>
        <w:ind w:left="500" w:right="200" w:hanging="492"/>
        <w:spacing w:after="0" w:line="262"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UNDER SECTION 13 OR 15(d) OF THE EXCHANGE ACT OF 1934</w:t>
      </w:r>
    </w:p>
    <w:p>
      <w:pPr>
        <w:sectPr>
          <w:pgSz w:w="11900" w:h="16838" w:orient="portrait"/>
          <w:cols w:equalWidth="0" w:num="1">
            <w:col w:w="11240"/>
          </w:cols>
          <w:pgMar w:left="320" w:top="1145" w:right="339" w:bottom="1440" w:gutter="0" w:footer="0" w:header="0"/>
        </w:sectPr>
      </w:pPr>
    </w:p>
    <w:p>
      <w:pPr>
        <w:spacing w:after="0" w:line="14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From the transition period from</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66" w:lineRule="exact"/>
        <w:rPr>
          <w:sz w:val="24"/>
          <w:szCs w:val="24"/>
          <w:color w:val="auto"/>
        </w:rPr>
      </w:pPr>
    </w:p>
    <w:p>
      <w:pPr>
        <w:sectPr>
          <w:pgSz w:w="11900" w:h="16838" w:orient="portrait"/>
          <w:cols w:equalWidth="0" w:num="3">
            <w:col w:w="6200" w:space="540"/>
            <w:col w:w="160" w:space="580"/>
            <w:col w:w="3760"/>
          </w:cols>
          <w:pgMar w:left="320" w:top="114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001-36076</w:t>
      </w:r>
    </w:p>
    <w:p>
      <w:pPr>
        <w:sectPr>
          <w:pgSz w:w="11900" w:h="16838" w:orient="portrait"/>
          <w:cols w:equalWidth="0" w:num="1">
            <w:col w:w="11240"/>
          </w:cols>
          <w:pgMar w:left="320" w:top="1145" w:right="339" w:bottom="1440" w:gutter="0" w:footer="0" w:header="0"/>
          <w:type w:val="continuous"/>
        </w:sectPr>
      </w:pP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FATE THERAPEUTICS, INC.</w:t>
      </w:r>
    </w:p>
    <w:p>
      <w:pPr>
        <w:spacing w:after="0" w:line="138"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6720" w:type="dxa"/>
            <w:vAlign w:val="bottom"/>
          </w:tcPr>
          <w:p>
            <w:pPr>
              <w:jc w:val="center"/>
              <w:ind w:left="23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326"/>
        </w:trPr>
        <w:tc>
          <w:tcPr>
            <w:tcW w:w="672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65-1311552</w:t>
            </w:r>
          </w:p>
        </w:tc>
      </w:tr>
      <w:tr>
        <w:trPr>
          <w:trHeight w:val="148"/>
        </w:trPr>
        <w:tc>
          <w:tcPr>
            <w:tcW w:w="6720" w:type="dxa"/>
            <w:vAlign w:val="bottom"/>
          </w:tcPr>
          <w:p>
            <w:pPr>
              <w:jc w:val="center"/>
              <w:ind w:right="32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28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20" w:type="dxa"/>
            <w:vAlign w:val="bottom"/>
          </w:tcPr>
          <w:p>
            <w:pPr>
              <w:jc w:val="center"/>
              <w:ind w:right="3238"/>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6720" w:type="dxa"/>
            <w:vAlign w:val="bottom"/>
          </w:tcPr>
          <w:p>
            <w:pPr>
              <w:jc w:val="center"/>
              <w:ind w:right="3218"/>
              <w:spacing w:after="0"/>
              <w:rPr>
                <w:sz w:val="20"/>
                <w:szCs w:val="20"/>
                <w:color w:val="auto"/>
              </w:rPr>
            </w:pPr>
            <w:r>
              <w:rPr>
                <w:rFonts w:ascii="Times New Roman" w:cs="Times New Roman" w:eastAsia="Times New Roman" w:hAnsi="Times New Roman"/>
                <w:sz w:val="18"/>
                <w:szCs w:val="18"/>
                <w:b w:val="1"/>
                <w:bCs w:val="1"/>
                <w:color w:val="auto"/>
                <w:w w:val="99"/>
              </w:rPr>
              <w:t>12278 Scripps Summit Drive, San Diego, CA</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92131</w:t>
            </w:r>
          </w:p>
        </w:tc>
      </w:tr>
      <w:tr>
        <w:trPr>
          <w:trHeight w:val="190"/>
        </w:trPr>
        <w:tc>
          <w:tcPr>
            <w:tcW w:w="6720" w:type="dxa"/>
            <w:vAlign w:val="bottom"/>
          </w:tcPr>
          <w:p>
            <w:pPr>
              <w:jc w:val="center"/>
              <w:ind w:right="3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6720" w:type="dxa"/>
            <w:vAlign w:val="bottom"/>
          </w:tcPr>
          <w:p>
            <w:pPr>
              <w:jc w:val="right"/>
              <w:ind w:right="1518"/>
              <w:spacing w:after="0"/>
              <w:rPr>
                <w:sz w:val="20"/>
                <w:szCs w:val="20"/>
                <w:color w:val="auto"/>
              </w:rPr>
            </w:pPr>
            <w:r>
              <w:rPr>
                <w:rFonts w:ascii="Times New Roman" w:cs="Times New Roman" w:eastAsia="Times New Roman" w:hAnsi="Times New Roman"/>
                <w:sz w:val="18"/>
                <w:szCs w:val="18"/>
                <w:b w:val="1"/>
                <w:bCs w:val="1"/>
                <w:color w:val="auto"/>
              </w:rPr>
              <w:t>(858) 875-1800</w:t>
            </w:r>
          </w:p>
        </w:tc>
        <w:tc>
          <w:tcPr>
            <w:tcW w:w="1280" w:type="dxa"/>
            <w:vAlign w:val="bottom"/>
          </w:tcPr>
          <w:p>
            <w:pPr>
              <w:spacing w:after="0"/>
              <w:rPr>
                <w:sz w:val="24"/>
                <w:szCs w:val="24"/>
                <w:color w:val="auto"/>
              </w:rPr>
            </w:pPr>
          </w:p>
        </w:tc>
      </w:tr>
    </w:tbl>
    <w:p>
      <w:pPr>
        <w:spacing w:after="0" w:line="19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FATE</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35" w:lineRule="exact"/>
        <w:rPr>
          <w:sz w:val="24"/>
          <w:szCs w:val="24"/>
          <w:color w:val="auto"/>
        </w:rPr>
      </w:pPr>
    </w:p>
    <w:p>
      <w:pPr>
        <w:jc w:val="both"/>
        <w:ind w:right="140" w:firstLine="74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right="220" w:firstLine="74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2" w:lineRule="exact"/>
        <w:rPr>
          <w:sz w:val="24"/>
          <w:szCs w:val="24"/>
          <w:color w:val="auto"/>
        </w:rPr>
      </w:pPr>
    </w:p>
    <w:p>
      <w:pPr>
        <w:ind w:right="80" w:firstLine="74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45" w:right="339" w:bottom="1440" w:gutter="0" w:footer="0" w:header="0"/>
          <w:type w:val="continuous"/>
        </w:sectPr>
      </w:pPr>
    </w:p>
    <w:p>
      <w:pPr>
        <w:spacing w:after="0" w:line="164" w:lineRule="exact"/>
        <w:rPr>
          <w:sz w:val="24"/>
          <w:szCs w:val="24"/>
          <w:color w:val="auto"/>
        </w:rPr>
      </w:pPr>
    </w:p>
    <w:p>
      <w:pPr>
        <w:ind w:right="340"/>
        <w:spacing w:after="0" w:line="286"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4" w:lineRule="exact"/>
        <w:rPr>
          <w:sz w:val="24"/>
          <w:szCs w:val="24"/>
          <w:color w:val="auto"/>
        </w:rPr>
      </w:pPr>
    </w:p>
    <w:p>
      <w:pPr>
        <w:sectPr>
          <w:pgSz w:w="11900" w:h="16838" w:orient="portrait"/>
          <w:cols w:equalWidth="0" w:num="4">
            <w:col w:w="1800" w:space="720"/>
            <w:col w:w="5200" w:space="720"/>
            <w:col w:w="1780" w:space="700"/>
            <w:col w:w="320"/>
          </w:cols>
          <w:pgMar w:left="320" w:top="1145" w:right="339" w:bottom="1440" w:gutter="0" w:footer="0" w:header="0"/>
          <w:type w:val="continuous"/>
        </w:sectPr>
      </w:pPr>
    </w:p>
    <w:p>
      <w:pPr>
        <w:spacing w:after="0" w:line="230" w:lineRule="auto"/>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0" w:lineRule="exact"/>
        <w:rPr>
          <w:sz w:val="20"/>
          <w:szCs w:val="20"/>
          <w:color w:val="auto"/>
        </w:rPr>
      </w:pPr>
      <w:r>
        <w:rPr>
          <w:rFonts w:ascii="MS PGothic" w:cs="MS PGothic" w:eastAsia="MS PGothic" w:hAnsi="MS PGothic"/>
          <w:sz w:val="14"/>
          <w:szCs w:val="14"/>
          <w:color w:val="auto"/>
        </w:rPr>
        <w:t>☐</w:t>
      </w:r>
    </w:p>
    <w:p>
      <w:pPr>
        <w:spacing w:after="0" w:line="149" w:lineRule="exact"/>
        <w:rPr>
          <w:sz w:val="24"/>
          <w:szCs w:val="24"/>
          <w:color w:val="auto"/>
        </w:rPr>
      </w:pPr>
    </w:p>
    <w:p>
      <w:pPr>
        <w:sectPr>
          <w:pgSz w:w="11900" w:h="16838" w:orient="portrait"/>
          <w:cols w:equalWidth="0" w:num="2">
            <w:col w:w="6000" w:space="720"/>
            <w:col w:w="4520"/>
          </w:cols>
          <w:pgMar w:left="320" w:top="1145" w:right="339" w:bottom="1440" w:gutter="0" w:footer="0" w:header="0"/>
          <w:type w:val="continuous"/>
        </w:sect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right="264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7, 2026, 116,559,186 shares of the registrant’s common stock, par value $0.001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SUMMARY OF RISK FACTORS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20"/>
            <w:vMerge w:val="continue"/>
          </w:tcPr>
          <w:p>
            <w:pPr>
              <w:spacing w:after="0"/>
              <w:rPr>
                <w:sz w:val="14"/>
                <w:szCs w:val="14"/>
                <w:color w:val="auto"/>
              </w:rPr>
            </w:pPr>
          </w:p>
        </w:tc>
        <w:tc>
          <w:tcPr>
            <w:tcW w:w="7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20" w:type="dxa"/>
            <w:vAlign w:val="bottom"/>
            <w:tcBorders>
              <w:bottom w:val="single" w:sz="8" w:color="0000EE"/>
            </w:tcBorders>
          </w:tcPr>
          <w:p>
            <w:pPr>
              <w:spacing w:after="0"/>
              <w:rPr>
                <w:sz w:val="24"/>
                <w:szCs w:val="24"/>
                <w:color w:val="auto"/>
              </w:rPr>
            </w:pPr>
          </w:p>
        </w:tc>
        <w:tc>
          <w:tcPr>
            <w:tcW w:w="750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(Unaudited) and December 31, 2025</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2026 and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86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2025 (Unaudited)</w:t>
            </w:r>
          </w:p>
        </w:tc>
        <w:tc>
          <w:tcPr>
            <w:tcW w:w="180" w:type="dxa"/>
            <w:vAlign w:val="bottom"/>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 (Unaudited)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80" w:type="dxa"/>
            <w:vAlign w:val="bottom"/>
            <w:tcBorders>
              <w:left w:val="single" w:sz="8" w:color="0000FF"/>
            </w:tcBorders>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Borders>
              <w:top w:val="single" w:sz="8" w:color="0000FF"/>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4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760" w:type="dxa"/>
            <w:vAlign w:val="bottom"/>
            <w:gridSpan w:val="12"/>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900" w:type="dxa"/>
            <w:vAlign w:val="bottom"/>
            <w:gridSpan w:val="1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3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885"/>
        </w:trPr>
        <w:tc>
          <w:tcPr>
            <w:tcW w:w="1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3"/>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spacing w:after="0" w:line="81" w:lineRule="exact"/>
        <w:rPr>
          <w:sz w:val="20"/>
          <w:szCs w:val="20"/>
          <w:color w:val="auto"/>
        </w:rPr>
      </w:pPr>
    </w:p>
    <w:p>
      <w:pPr>
        <w:ind w:left="1020" w:right="26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programs represent novel therapeutic approaches to treating disease, and our product candidates may fail to demonstrate the safety, potency, durability, and efficacy necessary to support further development or commercialization, or may cause undesirable side effects or have other properties that could delay or halt their development, prevent their regulatory approval, limit their commercial potential or result in significant negative consequences. If we fail to complete the preclinical or clinical development of, or to obtain regulatory approval for, our product candidates on a timely basis or at all, our business would be significantly harmed.</w:t>
      </w:r>
    </w:p>
    <w:p>
      <w:pPr>
        <w:spacing w:after="0" w:line="75"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product candidates will require substantial additional funding, which, if available, may cause dilution to our stockholders, and without which we will be unable to complete preclinical or clinical development of, or obtain regulatory approval for, our product candidates. Additionally, we may not be able to secure adequate funding on acceptable terms or on a timely basis.</w:t>
      </w:r>
    </w:p>
    <w:p>
      <w:pPr>
        <w:spacing w:after="0" w:line="67" w:lineRule="exact"/>
        <w:rPr>
          <w:rFonts w:ascii="Times New Roman" w:cs="Times New Roman" w:eastAsia="Times New Roman" w:hAnsi="Times New Roman"/>
          <w:sz w:val="18"/>
          <w:szCs w:val="18"/>
          <w:color w:val="auto"/>
        </w:rPr>
      </w:pPr>
    </w:p>
    <w:p>
      <w:pPr>
        <w:ind w:left="1020" w:right="8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for novel product candidates such as ours is particularly uncertain, and our product candidates could fail to receive regulatory approval from the U.S. Food and Drug Administration (FDA) or a comparable foreign regulatory authority for many reasons, including disagreement with applicable regulatory authorities on the design or conduct of our clinical studies, on our interpretation of data from clinical studies, or on the methodologies for, and assessment of, comparability of different versions of a product candidate used in non-pivotal studies, pivotal studies and for intended commercial use, and changes in approval policies or regulations, or changes in positions, guidance or feedback communicated by applicable regulatory authorities, that render our preclinical or clinical data insufficient to support approval or otherwise negatively impact the potential approval of a product candidate.</w:t>
      </w:r>
    </w:p>
    <w:p>
      <w:pPr>
        <w:spacing w:after="0" w:line="80"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induced pluripotent stem cell (iPSC) product platform enables the production of next-generation product candidates, and we have multiple iPSC-derived cell product candidates currently undergoing clinical and preclinical development. We may elect to deprioritize or discontinue the clinical development of one or more product candidates for various reasons, including our prioritization of product candidates, data or results from our ongoing clinical trials, and the competitive therapeutic landscape for which our product candidates are being developed. In addition, one or more of our product candidates undergoing clinical development may have therapeutic potential in more than one disease area, and we may elect to prioritize clinical development in one disease area over another disease area.</w:t>
      </w:r>
    </w:p>
    <w:p>
      <w:pPr>
        <w:spacing w:after="0" w:line="79"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iPSC technology and gene-editing technology in the creation of our product candidates. If we are unable to use these technologies in the creation of our product candidates, our business would be significantly harmed.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in initiating, conducting or completing our clinical trials, including difficulties recruiting appropriate clinical trial investigators, enrolling patients in our clinical trials, or manufacturing adequate clinical supplies, and we may not be able to initiate, conduct or complete our clinical trials at all.</w:t>
      </w:r>
    </w:p>
    <w:p>
      <w:pPr>
        <w:spacing w:after="0" w:line="67"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from other biotechnology and pharmaceutical companies, and our operating results will suffer if we fail to compete effectively, including with respect to the recruitment of patients and investigative sites to participate in our clinical trials.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interim and preliminary data from our preclinical studies or clinical trials may change as more data become available and are subject to audit and verification procedures that could result in material changes in the final data. Furthermore, results from our ongoing or future clinical trials involving our product candidates may differ materially from initial, interim and preliminary data as well as previous study results.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distribution of our product candidates is complex and subject to a multitude of risks. Additionally, the FDA or foreign regulatory authorities may impose additional requirements on our manufacturing operations, any of which could substantially limit our supply of our product candidates and increase our costs, and significantly delay or restrict the development and commercialization of our product candidates.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for the FDA, SEC, the National Institutes of Health and other government agencies, as well as changes in personnel and policy priorities at these agencies, could disrupt such agencies’ operations and, in turn, hinder our ability to develop or commercialize new products in a timely manner or otherwise negatively impact our business.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 w:name="page4"/>
    <w:bookmarkEnd w:id="3"/>
    <w:p>
      <w:pPr>
        <w:ind w:left="503" w:right="4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manufacturing our product candidates on a clinical scale, and no experience manufacturing on a commercial scale. Any failure to manufacture sufficient quantities of our product candidates consistently and at acceptable quality and costs may result in delays to our clinical development plans and impair our ability to obtain approval for, or commercialize, our product candidates and would materially and adversely affect our business.</w:t>
      </w:r>
    </w:p>
    <w:p>
      <w:pPr>
        <w:spacing w:after="0" w:line="71" w:lineRule="exact"/>
        <w:rPr>
          <w:rFonts w:ascii="Times New Roman" w:cs="Times New Roman" w:eastAsia="Times New Roman" w:hAnsi="Times New Roman"/>
          <w:sz w:val="18"/>
          <w:szCs w:val="18"/>
          <w:color w:val="auto"/>
        </w:rPr>
      </w:pPr>
    </w:p>
    <w:p>
      <w:pPr>
        <w:ind w:left="503" w:right="3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including sole source suppliers, for certain equipment and components used in the production of our product candidates, and the loss of suppliers could adversely impact our ability to conduct our clinical trials.</w:t>
      </w:r>
    </w:p>
    <w:p>
      <w:pPr>
        <w:spacing w:after="0" w:line="53" w:lineRule="exact"/>
        <w:rPr>
          <w:rFonts w:ascii="Times New Roman" w:cs="Times New Roman" w:eastAsia="Times New Roman" w:hAnsi="Times New Roman"/>
          <w:sz w:val="18"/>
          <w:szCs w:val="18"/>
          <w:color w:val="auto"/>
        </w:rPr>
      </w:pPr>
    </w:p>
    <w:p>
      <w:pPr>
        <w:ind w:left="503" w:right="14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legislative and regulatory efforts, including efforts to implement reference pricing or most-favored-nation pricing models, impose tariffs on pharmaceutical products and active pharmaceutical ingredients, and promote or require domestic manufacturing, could impact our commercial strategy and prospects, increase our costs and operational complexity, and materially harm our business.</w:t>
      </w:r>
    </w:p>
    <w:p>
      <w:pPr>
        <w:spacing w:after="0" w:line="67" w:lineRule="exact"/>
        <w:rPr>
          <w:rFonts w:ascii="Times New Roman" w:cs="Times New Roman" w:eastAsia="Times New Roman" w:hAnsi="Times New Roman"/>
          <w:sz w:val="18"/>
          <w:szCs w:val="18"/>
          <w:color w:val="auto"/>
        </w:rPr>
      </w:pPr>
    </w:p>
    <w:p>
      <w:pPr>
        <w:ind w:left="503" w:right="6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recruiting and retaining key personnel due to labor market changes, availability of qualified candidates, and competition for employees from other companies.</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 fluctuations and inflationary pressures, including increases in prices of materials and costs of labor, which may adversely impact our operating performance, expenses, cash utilization and results.</w:t>
      </w:r>
    </w:p>
    <w:p>
      <w:pPr>
        <w:spacing w:after="0" w:line="53" w:lineRule="exact"/>
        <w:rPr>
          <w:rFonts w:ascii="Times New Roman" w:cs="Times New Roman" w:eastAsia="Times New Roman" w:hAnsi="Times New Roman"/>
          <w:sz w:val="18"/>
          <w:szCs w:val="18"/>
          <w:color w:val="auto"/>
        </w:rPr>
      </w:pPr>
    </w:p>
    <w:p>
      <w:pPr>
        <w:ind w:left="503" w:right="18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strategic partnerships and collaboration arrangements for the development and commercialization of certain of our product candidates in certain indications or geographic territories, and if these arrangements are unsuccessful or are terminated, this could result in delays and other obstacles in the development, manufacture or commercialization of any of our product candidates and materially harm our results of operations.</w:t>
      </w:r>
    </w:p>
    <w:p>
      <w:pPr>
        <w:spacing w:after="0" w:line="71"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losses since our inception, and anticipate that we will continue to incur significant losses for the foreseeable future.</w:t>
      </w:r>
    </w:p>
    <w:p>
      <w:pPr>
        <w:spacing w:after="0" w:line="53"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or obtain and maintain patent protection for our technology and product candidates, other companies could develop products based on our technologies and discoveries, which may reduce demand for, or limit the commercial potential of, our products and harm our business.</w:t>
      </w:r>
    </w:p>
    <w:p>
      <w:pPr>
        <w:spacing w:after="0" w:line="6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intellectual property license agreements, we could lose rights to our product candidates or key technologies.</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regulatory approval from the FDA or comparable foreign regulatory authorities for our product candidates, which would prevent or delay commercialization of our products.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experience marketing any product candidates and do not have a sales force or distribution capabilities, and if our products are approved, we may be unable to commercialize them successfully.</w:t>
      </w:r>
    </w:p>
    <w:p>
      <w:pPr>
        <w:spacing w:after="0" w:line="53" w:lineRule="exact"/>
        <w:rPr>
          <w:rFonts w:ascii="Times New Roman" w:cs="Times New Roman" w:eastAsia="Times New Roman" w:hAnsi="Times New Roman"/>
          <w:sz w:val="18"/>
          <w:szCs w:val="18"/>
          <w:color w:val="auto"/>
        </w:rPr>
      </w:pPr>
    </w:p>
    <w:p>
      <w:pPr>
        <w:ind w:left="503" w:right="1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will depend upon the degree of market acceptance by physicians, patients, third-party payers and others in the medical community and may require additional evidence to support the anticipated benefits, comparative risks, and costs.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could compromise sensitive information related to our business and adversely impact our operations.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may be able to exercise significant control over our company.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subject to fluctuation based on a variety of factors.</w:t>
      </w:r>
    </w:p>
    <w:p>
      <w:pPr>
        <w:spacing w:after="0" w:line="117"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qualify as a “smaller reporting company” and a “non-accelerated filer,” and any decision on our part to comply with only certain reduced reporting and disclosure requirements applicable to such companies could make our stock less attractive to investors.</w:t>
      </w:r>
    </w:p>
    <w:p>
      <w:pPr>
        <w:spacing w:after="0" w:line="53" w:lineRule="exact"/>
        <w:rPr>
          <w:rFonts w:ascii="Times New Roman" w:cs="Times New Roman" w:eastAsia="Times New Roman" w:hAnsi="Times New Roman"/>
          <w:sz w:val="18"/>
          <w:szCs w:val="18"/>
          <w:color w:val="auto"/>
        </w:rPr>
      </w:pPr>
    </w:p>
    <w:p>
      <w:pPr>
        <w:ind w:left="503" w:right="120"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market conditions, any continued and prolonged public health emergency, global geopolitical tensions, including wars and other armed conflicts, or significant political, trade, economic or regulatory developments in the jurisdictions in which we may develop or commercialize our product candidates or conduct our operations, could adversely impact various aspects of our business, results of operations and financial condition, and could cause disruptions to our supply chain and the development and manufacture of our product candidates.</w:t>
      </w:r>
    </w:p>
    <w:p>
      <w:pPr>
        <w:spacing w:after="0" w:line="183"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46,628</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157,029</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Pr>
          <w:p>
            <w:pPr>
              <w:spacing w:after="0"/>
              <w:rPr>
                <w:sz w:val="18"/>
                <w:szCs w:val="18"/>
                <w:color w:val="auto"/>
              </w:rPr>
            </w:pP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208,704</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56,925</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41,609</w:t>
            </w:r>
          </w:p>
        </w:tc>
        <w:tc>
          <w:tcPr>
            <w:tcW w:w="100" w:type="dxa"/>
            <w:vAlign w:val="bottom"/>
          </w:tcPr>
          <w:p>
            <w:pPr>
              <w:spacing w:after="0"/>
              <w:rPr>
                <w:sz w:val="18"/>
                <w:szCs w:val="18"/>
                <w:color w:val="auto"/>
              </w:rPr>
            </w:pPr>
          </w:p>
        </w:tc>
      </w:tr>
      <w:tr>
        <w:trPr>
          <w:trHeight w:val="216"/>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284,916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318,937</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CIRM award liability, current portion</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18"/>
                <w:szCs w:val="18"/>
                <w:color w:val="auto"/>
              </w:rPr>
            </w:pP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CIRM award liability, net of current portion</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73,287</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0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shares—5,000,000; Class A Convertible</w:t>
            </w: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Preferred shares issued and outstanding— 2,755,086 at March 31, 2026 and</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December 31, 2025</w:t>
            </w: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198"/>
        </w:trPr>
        <w:tc>
          <w:tcPr>
            <w:tcW w:w="70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shares—350,000,000; issued and</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116,272,513 at March 31, 2026 and 115,359,735 at December 31,</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1,745,187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1,741,259</w:t>
            </w:r>
          </w:p>
        </w:tc>
        <w:tc>
          <w:tcPr>
            <w:tcW w:w="10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(1,565,522)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(1,534,309)</w:t>
            </w:r>
          </w:p>
        </w:tc>
      </w:tr>
      <w:tr>
        <w:trPr>
          <w:trHeight w:val="210"/>
        </w:trPr>
        <w:tc>
          <w:tcPr>
            <w:tcW w:w="7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207,184</w:t>
            </w:r>
          </w:p>
        </w:tc>
        <w:tc>
          <w:tcPr>
            <w:tcW w:w="100" w:type="dxa"/>
            <w:vAlign w:val="bottom"/>
            <w:tcBorders>
              <w:top w:val="single" w:sz="8" w:color="CFF0FC"/>
            </w:tcBorders>
          </w:tcPr>
          <w:p>
            <w:pPr>
              <w:spacing w:after="0"/>
              <w:rPr>
                <w:sz w:val="18"/>
                <w:szCs w:val="18"/>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284,916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318,937</w:t>
            </w:r>
          </w:p>
        </w:tc>
        <w:tc>
          <w:tcPr>
            <w:tcW w:w="100" w:type="dxa"/>
            <w:vAlign w:val="bottom"/>
            <w:shd w:val="clear" w:color="auto" w:fill="CFF0FC"/>
          </w:tcPr>
          <w:p>
            <w:pPr>
              <w:spacing w:after="0"/>
              <w:rPr>
                <w:sz w:val="19"/>
                <w:szCs w:val="19"/>
                <w:color w:val="auto"/>
              </w:rPr>
            </w:pPr>
          </w:p>
        </w:tc>
      </w:tr>
      <w:tr>
        <w:trPr>
          <w:trHeight w:val="20"/>
        </w:trPr>
        <w:tc>
          <w:tcPr>
            <w:tcW w:w="70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-3651250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8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0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29,136</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tcPr>
          <w:p>
            <w:pPr>
              <w:spacing w:after="0"/>
              <w:rPr>
                <w:sz w:val="18"/>
                <w:szCs w:val="18"/>
                <w:color w:val="auto"/>
              </w:rPr>
            </w:pPr>
          </w:p>
        </w:tc>
      </w:tr>
      <w:tr>
        <w:trPr>
          <w:trHeight w:val="209"/>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(41,280)</w:t>
            </w: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r>
      <w:tr>
        <w:trPr>
          <w:trHeight w:val="210"/>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5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(31,213)</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(37,621)</w:t>
            </w:r>
          </w:p>
        </w:tc>
      </w:tr>
      <w:tr>
        <w:trPr>
          <w:trHeight w:val="20"/>
        </w:trPr>
        <w:tc>
          <w:tcPr>
            <w:tcW w:w="6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available-for-sale securities, net</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6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(31,406)</w:t>
            </w:r>
          </w:p>
        </w:tc>
        <w:tc>
          <w:tcPr>
            <w:tcW w:w="6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(37,698)</w:t>
            </w: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4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660" w:type="dxa"/>
            <w:vAlign w:val="bottom"/>
            <w:gridSpan w:val="2"/>
          </w:tcPr>
          <w:p>
            <w:pPr>
              <w:jc w:val="right"/>
              <w:ind w:righ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(0.32)</w:t>
            </w:r>
          </w:p>
        </w:tc>
      </w:tr>
      <w:tr>
        <w:trPr>
          <w:trHeight w:val="20"/>
        </w:trPr>
        <w:tc>
          <w:tcPr>
            <w:tcW w:w="6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used to compute basic and diluted net loss per share</w:t>
            </w:r>
          </w:p>
        </w:tc>
        <w:tc>
          <w:tcPr>
            <w:tcW w:w="5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120,030,638</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118,375,540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-1782445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-942340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-350520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-333375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20" w:type="dxa"/>
            <w:vAlign w:val="bottom"/>
            <w:gridSpan w:val="4"/>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(31,213)</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(37,621)</w:t>
            </w: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and amortization of premiums and discounts on investments, net</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6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(9,826)</w:t>
            </w:r>
          </w:p>
        </w:tc>
      </w:tr>
      <w:tr>
        <w:trPr>
          <w:trHeight w:val="216"/>
        </w:trPr>
        <w:tc>
          <w:tcPr>
            <w:tcW w:w="6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r>
      <w:tr>
        <w:trPr>
          <w:trHeight w:val="20"/>
        </w:trPr>
        <w:tc>
          <w:tcPr>
            <w:tcW w:w="66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(30,822)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(33,809)</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6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(28,729)</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(48,624)</w:t>
            </w:r>
          </w:p>
        </w:tc>
      </w:tr>
      <w:tr>
        <w:trPr>
          <w:trHeight w:val="216"/>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0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92,493</w:t>
            </w:r>
          </w:p>
        </w:tc>
        <w:tc>
          <w:tcPr>
            <w:tcW w:w="100" w:type="dxa"/>
            <w:vAlign w:val="bottom"/>
          </w:tcPr>
          <w:p>
            <w:pPr>
              <w:spacing w:after="0"/>
              <w:rPr>
                <w:sz w:val="18"/>
                <w:szCs w:val="18"/>
                <w:color w:val="auto"/>
              </w:rPr>
            </w:pPr>
          </w:p>
        </w:tc>
      </w:tr>
      <w:tr>
        <w:trPr>
          <w:trHeight w:val="209"/>
        </w:trPr>
        <w:tc>
          <w:tcPr>
            <w:tcW w:w="66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0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2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49,620</w:t>
            </w:r>
          </w:p>
        </w:tc>
        <w:tc>
          <w:tcPr>
            <w:tcW w:w="160" w:type="dxa"/>
            <w:vAlign w:val="bottom"/>
          </w:tcPr>
          <w:p>
            <w:pPr>
              <w:spacing w:after="0"/>
              <w:rPr>
                <w:sz w:val="18"/>
                <w:szCs w:val="18"/>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55,147</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w:t>
            </w:r>
          </w:p>
        </w:tc>
        <w:tc>
          <w:tcPr>
            <w:tcW w:w="2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-1579880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-739775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-456565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right="622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Organization</w:t>
      </w: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Fate Therapeutics, Inc. (the Company) was incorporated in the state of Delaware on April 27, 2007 and has its principal operations in San Diego, California. The Company is a clinical-stage biopharmaceutical company dedicated to bringing off-the-shelf, multiplexed-engineered, induced pluripotent stem cell (iPSC)-derived cellular immunotherapies to patients.</w:t>
      </w:r>
    </w:p>
    <w:p>
      <w:pPr>
        <w:spacing w:after="0" w:line="6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devoted substantially all of its efforts to product development, raising capital and building infrastructure and has not generated any revenues from any sales of its therapeutic product candidates. To date, the Company’s revenues have been derived from collaboration agreements and government grants.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generally accepted accounting principles in the United States (U.S. GAAP). The preparation of the Company’s unaudited condensed consolidated financial statements requires management to make estimates and assumptions that impact the reported amounts of assets, liabilities, revenues and expenses and the disclosure of contingent assets and liabilities in the Company’s unaudited condensed consolidated financial statements and accompanying notes. The most significant estimates and assumptions in the Company’s unaudited condensed consolidated financial statements relate to its contracts containing leases, accrued expenses, and stock price appreciation milestones. Although these estimates are based on the Company’s knowledge of current events and actions it may undertake in the future, actual results may ultimately materially differ from these estimates and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readily available operating accounts, money market accounts and money market funds. The Company considers all highly liquid investments with an original maturity of three months or less from the date of purchase to be cash equivalents.</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unaudited condensed consolidated balance sheets that sum to the total of the same such amounts shown in the unaudited condensed consolidated statements of cash flows as of March 31, 2026 and 2025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39,570</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unaudited</w:t>
            </w:r>
          </w:p>
        </w:tc>
        <w:tc>
          <w:tcPr>
            <w:tcW w:w="7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49,620</w:t>
            </w:r>
          </w:p>
        </w:tc>
        <w:tc>
          <w:tcPr>
            <w:tcW w:w="64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condensed consolidated statement of cash flows</w:t>
            </w:r>
          </w:p>
        </w:tc>
        <w:tc>
          <w:tcPr>
            <w:tcW w:w="720" w:type="dxa"/>
            <w:vAlign w:val="bottom"/>
            <w:gridSpan w:val="2"/>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each of the three months ended March 31, 2026 and 2025, the restricted cash balance includes cash-collateralized irrevocable standby letters of credit for $10.1 million and $10.2 million, respectively, associated with the Company’s facilities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experienced net losses and negative cash flows from operations since its inception and has relied on its ability to fund its operations primarily through public or private equity or debt financings, collaboration arrangements, and other sources. For the three months ended March 31, 2026, the Company incurred a net loss of $31.2 million and negative cash flows from operations of $30.8 million. The Company expects it will continue to incur net losses and will incur negative cash flows from operations for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 w:name="page9"/>
    <w:bookmarkEnd w:id="8"/>
    <w:p>
      <w:pPr>
        <w:ind w:right="40"/>
        <w:spacing w:after="0" w:line="266" w:lineRule="auto"/>
        <w:rPr>
          <w:sz w:val="20"/>
          <w:szCs w:val="20"/>
          <w:color w:val="auto"/>
        </w:rPr>
      </w:pPr>
      <w:r>
        <w:rPr>
          <w:rFonts w:ascii="Times New Roman" w:cs="Times New Roman" w:eastAsia="Times New Roman" w:hAnsi="Times New Roman"/>
          <w:sz w:val="18"/>
          <w:szCs w:val="18"/>
          <w:color w:val="auto"/>
        </w:rPr>
        <w:t>foreseeable future. As of March 31, 2026, the Company had an accumulated deficit of $1.6 billion. The Company expects that its cash, cash equivalents and short-term investments as of March 31, 2026 of $174.8 million will be sufficient to fund its operations for at least the next twelve months from the date of issuance of these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These unaudited interim condensed consolidated financial statements have been prepared in accordance with U.S. GAAP and following the requirements of the U.S. Securities and Exchange Commission (SEC) for interim reporting. As permitted under those rules, certain footnotes or other financial information that are normally required can be condensed or omitted. The interim unaudited condensed consolidated financial statements should be read in conjunction with the Company’s financial statements and accompanying notes for the fiscal year ended December 31, 2025, contained in the Company’s Annual Report on Form 10-K for the year ended December 31, 2025, filed by the Company with the SEC on February 26, 2026. In management’s opinion, the unaudited interim condensed consolidated financial statements have been prepared on the same basis as the audited financial statements and include all adjustments, which include only normal recurring adjustments, necessary for the fair presentation of the Company’s financial position and its results of operations and comprehensive loss and its cash flows for the periods presented. The results for the three months ended March 31, 2026 are not necessarily indicative of the results expected for the full fiscal year or any other interim period or any future year or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Arrangements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Revenue from Contracts with Customers (ASC 606). If it is concluded that some or all aspects of the arrangement represent a transaction with a customer, the Company will account for those aspects of the arrangement within the scope of ASC 606.</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ASC 808, to determine whether such arrangements involve joint operating activities performed by parties that are both active participants in the activities and exposed to significant risks and rewards that are dependent on the commercial success of such activities. If the Company concludes that some or all aspects of the arrangement represent a transaction with a customer, the Company accounts for those aspects of the arrangement within the scope of ASC 606.</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arrangements attributable to ASC 606, the Company recognizes revenue in a manner that depicts the transfer of control of a product or a service to a customer and reflects the amount of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The Company determines if a contract contains a lease at the inception of the contract. The Company currently has leases related to its facilities leased for office and laboratory space, which are classified as operating leases. These leases result in operating right-of-use (ROU) assets, current operating lease liabilities, and non-current operating lease liabilities in the Company’s consolidated balance sheets. The Company does not have any financing leases. Leases with a term of 12 months or less are considered short-term and ROU assets and lease obligations are not recognized. Payments associated with short-term leases are expensed on a straight-line basis over the lease term.</w:t>
      </w:r>
    </w:p>
    <w:p>
      <w:pPr>
        <w:spacing w:after="0" w:line="75" w:lineRule="exact"/>
        <w:rPr>
          <w:sz w:val="20"/>
          <w:szCs w:val="20"/>
          <w:color w:val="auto"/>
        </w:rPr>
      </w:pPr>
    </w:p>
    <w:p>
      <w:pPr>
        <w:jc w:val="both"/>
        <w:ind w:right="320" w:firstLine="584"/>
        <w:spacing w:after="0" w:line="266" w:lineRule="auto"/>
        <w:rPr>
          <w:sz w:val="20"/>
          <w:szCs w:val="20"/>
          <w:color w:val="auto"/>
        </w:rPr>
      </w:pPr>
      <w:r>
        <w:rPr>
          <w:rFonts w:ascii="Times New Roman" w:cs="Times New Roman" w:eastAsia="Times New Roman" w:hAnsi="Times New Roman"/>
          <w:sz w:val="18"/>
          <w:szCs w:val="18"/>
          <w:color w:val="auto"/>
        </w:rPr>
        <w:t>Lease liabilities represent an obligation to make lease payments arising from the lease and ROU assets represent the right to use the underlying asset identified in the lease for the lease term. Lease liabilities are measured at the present value of the lease payments not yet paid discounted using the discount rate for the lease established at the lease commencement date. To determine the present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80"/>
        <w:spacing w:after="0" w:line="256" w:lineRule="auto"/>
        <w:rPr>
          <w:sz w:val="20"/>
          <w:szCs w:val="20"/>
          <w:color w:val="auto"/>
        </w:rPr>
      </w:pPr>
      <w:r>
        <w:rPr>
          <w:rFonts w:ascii="Times New Roman" w:cs="Times New Roman" w:eastAsia="Times New Roman" w:hAnsi="Times New Roman"/>
          <w:sz w:val="18"/>
          <w:szCs w:val="18"/>
          <w:color w:val="auto"/>
        </w:rPr>
        <w:t>value, the implicit rate is used when readily determinable. For those leases where the implicit rate is not provided, the Company determines an incremental borrowing rate based on the information available at the lease commencement date in determining the present value of lease payments. ROU assets are measured as the present value of the lease payments and also include any prepaid lease payments made and any other indirect costs incurred, and exclude any lease incentives received. Lease terms may include the impact of options to extend or terminate the lease when it is reasonably certain that the Company will exercise that option. Lease expense for operating leases is recognized on a straight-line basis over the lease term. The Company aggregates all lease and non-lease components for each class of underlying assets into a single lease component.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employee stock option and restricted stock unit grants recognized over the requisite service period of the awards (usually the vesting period) on a straight-line basis. Performance-based stock units/awards represent a right to receive a certain number of shares of the Company’s common stock based on the achievement of corporate performance goals and continued employment during the vesting period. At each reporting period, and to the extent achievement of one or any of the performance conditions is probable, the Company reassesses the probability of the achievement of such corporate performance goals and any increase or decrease in stock-based compensation expense resulting from an adjustment in the estimated shares to be released is treated as a cumulative catch-up in the period of adjustment. For stock awards for which vesting is subject to both performance-based milestones and market conditions, expense is recorded over the derived service period after the point when the achievement of the performance-based milestone is probable or the performance condition has been achieved.</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 grants using the Black-Scholes option pricing model, with the exception of option grants for which vesting is subject to both performance-based milestones and market conditions, which are valued using a lattice-based model. The fair value of restricted stock units, including performance-based restricted stock units, is based on the closing price of the Company’s common stock as reported on the Nasdaq Global Market on the date of grant. The Company recognizes forfeitures for all awards as such forfeitures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8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includes unrealized gains and losses on available-for-sale securities.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for the period, without consideration for common stock equivalents. The pre-funded warrants associated with the January 2021 public equity offering and the private placement concurrent with the March 2024 public equity offering (see Note 8) are considered outstanding shares in the basic earnings per share calculation given their nominal exercise price. Dilutive common stock equivalents comprise convertible preferred stock, warrants for the purchase of common stock, and common stock options and restricted stock units outstanding under the Company’s stock option plans. For all periods presented, there is no difference in the number of common shares used to calculate basic and diluted common shares outstanding due to the Company’s net loss position.</w:t>
      </w:r>
    </w:p>
    <w:p>
      <w:pPr>
        <w:spacing w:after="0" w:line="7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stockholders for the three months ended March 31, 2026 and 2025 are calculated as follows (in thousands, except share and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(31,213)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(37,621)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Shares used to compute net loss per share, basic and diluted</w:t>
            </w:r>
          </w:p>
        </w:tc>
        <w:tc>
          <w:tcPr>
            <w:tcW w:w="2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116,136,964</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114,481,866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2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00" w:type="dxa"/>
            <w:vAlign w:val="bottom"/>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26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120,030,638</w:t>
            </w:r>
          </w:p>
        </w:tc>
        <w:tc>
          <w:tcPr>
            <w:tcW w:w="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118,375,540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00" w:type="dxa"/>
            <w:vAlign w:val="bottom"/>
            <w:tcBorders>
              <w:bottom w:val="single" w:sz="8" w:color="CFF0FC"/>
            </w:tcBorders>
            <w:shd w:val="clear" w:color="auto" w:fill="CFF0FC"/>
          </w:tcPr>
          <w:p>
            <w:pPr>
              <w:ind w:left="320"/>
              <w:spacing w:after="0" w:line="194" w:lineRule="exact"/>
              <w:rPr>
                <w:sz w:val="20"/>
                <w:szCs w:val="20"/>
                <w:color w:val="auto"/>
              </w:rPr>
            </w:pPr>
            <w:r>
              <w:rPr>
                <w:rFonts w:ascii="Times New Roman" w:cs="Times New Roman" w:eastAsia="Times New Roman" w:hAnsi="Times New Roman"/>
                <w:sz w:val="18"/>
                <w:szCs w:val="18"/>
                <w:color w:val="auto"/>
              </w:rPr>
              <w:t>compute basic and diluted net loss per share</w:t>
            </w:r>
          </w:p>
        </w:tc>
        <w:tc>
          <w:tcPr>
            <w:tcW w:w="26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2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2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756"/>
        </w:trPr>
        <w:tc>
          <w:tcPr>
            <w:tcW w:w="5100" w:type="dxa"/>
            <w:vAlign w:val="bottom"/>
          </w:tcPr>
          <w:p>
            <w:pPr>
              <w:spacing w:after="0"/>
              <w:rPr>
                <w:sz w:val="24"/>
                <w:szCs w:val="24"/>
                <w:color w:val="auto"/>
              </w:rPr>
            </w:pPr>
          </w:p>
        </w:tc>
        <w:tc>
          <w:tcPr>
            <w:tcW w:w="260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-1276350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-1259205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238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640" w:type="dxa"/>
            <w:vAlign w:val="bottom"/>
          </w:tcPr>
          <w:p>
            <w:pPr>
              <w:spacing w:after="0"/>
              <w:rPr>
                <w:sz w:val="17"/>
                <w:szCs w:val="17"/>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13,775,430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13,775,430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16,159,252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13,016,953</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9,291,286</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7,235,352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39,225,968</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34,027,735</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Ono Collaboration and Option Agreement</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September 14, 2018, the Company entered into a Collaboration and Option Agreement (the Ono Agreement) with Ono Pharmaceutical Co., Ltd. (Ono) for the joint development and commercialization of two off-the-shelf, iPSC-derived CAR T-cell product candidates (Candidate 1 and Candidate 2). Pursuant to the terms of the Ono Agreement, the Company received an upfront, non-refundable and non-creditable payment of $10.0 million. Additionally, the Company was entitled to receive funding for the conduct of research and preclinical development under a joint development plan, which fees were estimated to be $20.0 million in aggregate.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2020, the Company entered into a letter agreement with Ono (the Ono Letter Agreement) pursuant to which Ono delivered proprietary antigen binding domains targeting an antigen expressed on certain solid tumors for incorporation into Candidate 2 and paid the Company a milestone fee of $10.0 million for further research and preclinical development of Candidate 2. In addition, Ono terminated all further research and preclinical development with respect to Candidate 1, and the Company retained all rights to research, develop and commercialize Candidate 1 throughout the world without any obligation to Ono.</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June 2022, the Company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Ono and the Company expanded the scope of the collaboration to include the research and preclinical development of iPSC-derived CAR NK cell product candidates (in addition to iPSC-derived CAR T-cell product candidates) targeting the designated solid tumor antigens. Similar to Candidate 2, the Company granted to Ono, during a specified period of time, a preclinical option (Candidate 3 Development Option) to obtain an exclusive license under certain intellectual property rights, subject to payment of an option exercise fee to the Company by Ono, to further develop and commercialize Candidate 3 in all territories of the world, where the Company retains rights to co-develop and co-commercialize Candidate 3 in the United States and Europe under a joint arrangement with Ono pursuant to which the Company is eligible to share at least 50% of the profits and losses. The Candidate 3 Development Option represents an option with no material right. Under the 2022 Ono Amendment, aggregate estimated research and preclinical development fees were increased by approximately $9.3 million, for a total estimated $29.3 million in aggregate research and preclinical development fees over the course of the joint development plan.</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The Company exercised its option (the CDCC Option) to co-develop and co-commercialize Candidate 2 in the United States and Europe. As a result, the Company recognized an option exercise fee of $12.5 million from Ono during the year ended December 31, 2022. The Company received the option exercise fee payment during the year ended December 31, 2023. The Company and Ono are proceeding under a joint development plan for the ongoing development of Candidate 2. At the inception of the Ono Agreement, the Company determined the Candidate 2 Development Option represented an option with no material right that is distinct and separable from the ongoing development of Candidate 2 being performed by the parties. As such, the option exercise was treated as a separate contract with a single performance obligation of granting and delivering Ono a license to further develop and commercialize Candidate 2. The Company has completed its performance obligation with respect to the Candidate 2 Development Option and accordingly, recognized the Option Exercise Payment as revenue for the year ended December 31, 2022. The costs of this joint development plan are accounted for in accordance with ASC 808, and cost sharing payments to the Company from Ono are recorded net into research and development expenses. In addition, in connection with the ongoing joint development of Candidate 2, the Company is eligible to receive additional payments upon the achievement of certain clinical, regulatory, and commercial milestones (as further described below).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Company entered into an amendment with Ono to the Ono Agreement (the 2023 Ono Amendment). Under the 2023 Ono Amendment, aggregate estimated research and preclinical development fees payable by Ono to the Company for Candidate 3 were increased by approximately $1.4 million, for a total estimated $30.7 million in aggregate research and preclinical development fees over the course of the joint development plan.</w:t>
      </w:r>
    </w:p>
    <w:p>
      <w:pPr>
        <w:spacing w:after="0" w:line="7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May 2024, following Ono’s exercise of the Candidate 2 Development Option and grant of the development and commercialization license, the Company achieved a $5.0 million clinical development milestone for Candidate 2 and the Company recognized such amount as revenue during the nine months ended September 30, 2024.</w:t>
      </w:r>
    </w:p>
    <w:p>
      <w:pPr>
        <w:spacing w:after="0" w:line="68"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an amendment with Ono to the Ono Agreement (the 2024 Ono Amendment). Under the 2024 Ono Amendment, aggregate estimated research and preclinical development fees payable by Ono to the Company for Candidate 3 were increased by approximately $7.3 million, for a total estimated $38.0 million in aggregate research and preclinical development fees over the course of the joint development plan.</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June 2025, the Company entered into an amendment with Ono to the Ono Agreement (the 2025 Ono Amendment, and collectively with the 2024 Ono Amendment, 2023 Ono Amendment, and 2022 Ono Amendment, the Ono Amendments). Under the 2025 Ono Amendment, aggregate estimated research and preclinical development fees payable by Ono to the Company for Candidate 3 were increased by approximately $6.5 million, for a total estimated $44.5 million in aggregate research and preclinical development fees over the course of the joint development plan. The Company will continue to receive committed funding under the joint development plan from Ono through June 2026. The Candidate 3 Development Option expires upon the achievement of the pre-defined preclinical milestone under the joint development plan.</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Ono Agreement (as amended by the Ono Amendments), for Candidate 2 and for Candidate 3 (subject to exercise by Ono of its Candidate 3 Development Option), the Company is eligible to receive additional payments upon the achievement of certain clinical, regulatory and commercial milestones (the Ono Milestones) with respect to each Candidate in an amount up to $843.0 million in aggregate, with the applicable milestone payments for the United States and Europe subject to reduction by 50% if the Company elects to co-develop and co-commercialize the Candidate in the United States and Europe as described above. In addition, in those territories where Ono has exclusive rights of commercialization, the Company is eligible to receive tiered royalties (Royalties) ranging from the mid-single digits to the low-double digits based on annual net sales by Ono for each Candidate in such territories, with the Royalties subject to certain reductions.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Ono Agreement will terminate with respect to a Candidate if Ono does not exercise its development option for the applicable candidate within the option period, or in its entirety if Ono does not exercise any of its development options for the Candidates within their respective option periods. In addition, either party may terminate the Ono Agreement in the event of breach, insolvency or patent challenges by the other party; provided, that Ono may terminate the Ono Agreement in its sole discretion (x) on a Candidate-by-Candidate basis at any time after the second anniversary of the effective date of the Ono Agreement or (y) on a Candidate-by-Candidate or country-by-country basis at any time after the expiration of the development option period, subject to certain limitations. The Ono Agreement will expire on a Candidate-by-Candidate and country-by-country basis upon the expiration of the applicable royalty term, or in its entirety upon the expiration of all applicable payment obligations under the agreement.</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Ono Agreement, Ono Letter Agreement, and Ono Amendments (collectively, the Ono Arrangement) were within the scope of ASC 808 and applicable to such guidance. The Company concluded that certain units of account, specifically the grant of a research license to certain intellectual property and the performance of research and preclinical development, within the Ono Arrangement represented a customer relationship and applied relevant guidance from ASC 606 to evaluate the appropriate accounting for those units of account. In accordance with this guidance, the Company identified its promised goods and services, including its grant of a research license to Ono to certain of its intellectual property subject to certain conditions, its conduct of research and preclinical development services, and its participation in a joint steering committee. The Company determined that its grant of a research license to Ono to certain of its intellectual property was not distinct from its conduct of research and preclinical development services and participation in a joint steering committee. Accordingly, the Company determined that the research license, the research and preclinical development services, and the participation in a joint steering committee during the development option period, should be accounted for as one combined performance obligation, and that the combined performance obligation is transferred over the expected term of the conduct of the research and preclinical development services. The Company also determined that, subject to the guidance of ASC 606, the license to develop and commercialize Candidate 2 upon exercise of the Candidate 2 Development Option was distinct and separable from the development and commercialization activities, which are accounted for under ASC 808. The termination of the Ono Agreement with respect to Candidate 1 did not impact this assessment.</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ASC 606, the Company determined that the amended transaction price for research and preclinical development under the Ono Arrangement equaled $54.5 million, consisting of the upfront, non-refundable and non-creditable payment of $10.0 million and the aggregate estimated research and preclinical development fees of $44.5 million. The Company also concluded that the milestone fee of $10.0 million paid by Ono to the Company for further research and preclinical development of Candidate 2 represented a variable consideration that was previously constrained. Both the upfront payment of $10.0 million and the Candidate 2 milestone fee of $10.0 million were recorded as deferred revenue and were recognized as revenue over time in conjunction with the Company’s conduct of research and preclinical development services based on actual costs incurred as a percentage of the estimated total costs expected to be incurred over the expected term of conduct of the research and preclinical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right="80"/>
        <w:spacing w:after="0" w:line="282" w:lineRule="auto"/>
        <w:rPr>
          <w:sz w:val="20"/>
          <w:szCs w:val="20"/>
          <w:color w:val="auto"/>
        </w:rPr>
      </w:pPr>
      <w:r>
        <w:rPr>
          <w:rFonts w:ascii="Times New Roman" w:cs="Times New Roman" w:eastAsia="Times New Roman" w:hAnsi="Times New Roman"/>
          <w:sz w:val="18"/>
          <w:szCs w:val="18"/>
          <w:color w:val="auto"/>
        </w:rPr>
        <w:t>development services. The Company recorded the $5.0 million prepayment of the first-year research and preclinical development fees as deferred revenue, and such fees were recognized as revenue as the research and preclinical development services were delivered.</w:t>
      </w:r>
    </w:p>
    <w:p>
      <w:pPr>
        <w:spacing w:after="0" w:line="5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collaboration revenue of $1.3 million and $1.6 million under the Ono Arrangement during the three months ended March 31, 2026 and 2025, respectively. During the three months ended March 31, 2026 and 2025, all of such revenue was associated with research and preclinical development services.</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contra-research and development expense of $1.1 million associated with the joint development of Candidate 2 under the Ono Arrangement for the three months ended March 31, 2026. During the three months ended March 31, 2025, the Company recognized contra-research and development expense of $1.9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Memorial Sloan Kettering Cancer Center License Agreement</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May 15, 2018, the Company entered into an Amended and Restated Exclusive License Agreement (the Amended MSKCC License) with MSKCC. The Amended MSKCC License amends and restates the Exclusive License Agreement entered into between the Company and MSKCC on August 19, 2016 (the Original MSKCC License), pursuant to which the Company entered into an exclusive license agreement with MSKCC for rights relating to compositions and methods covering iPSC-derived cellular immunotherapy, including T-cells and NK-cells derived from iPSCs engineered with chimeric antigen receptors (CARs).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Pursuant to the Amended MSKCC License, MSKCC granted to the Company additional licenses to certain patents and patent applications relating to new CAR constructs and off-the-shelf CAR T-cells, including the use of clustered regularly interspaced short palindromic repeat (CRISPR) and other innovative technologies for their production, in each case to research, develop, and commercialize licensed products in the field of all human therapeutic uses worldwide. The Company has the right to grant sublicenses to certain licensed rights in accordance with the terms of the Amended MSKCC License, in which case it is obligated to pay MSKCC a percentage of certain sublicense income received by the Company.</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is obligated to pay MSKCC an annual license maintenance fee during the term of the agreement, milestone payments upon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achievement of specified clinical, regulatory and commercial milestones for licensed products as well as royalty payments on net sales of licensed products.</w:t>
      </w:r>
    </w:p>
    <w:p>
      <w:pPr>
        <w:spacing w:after="0" w:line="9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event a licensed product achieves a specified clinical milestone, MSKCC is then eligible to receive certain milestone payments totaling up to $75.0 million based on the price of the Company’s common stock, where the amount of such payments owed to MSKCC is contingent upon certain increases in the price of the Company’s common stock following the date of achievement of such clinical milestone. These payments are based on common stock price multiples, with the numerator being the fair value of the ten-trading day trailing average closing price of the Company’s common stock and the denominator being the ten-trading day trailing average closing price of the Company’s common stock as of the effective date of the Amended MSKCC License, adjusted for any stock splits, cash dividends, stock dividends, other distributions, combinations, recapitalizations, or similar events. Under the terms of the Amended MSKCC License, upon a change of control of the Company, in certain circumstances, the Company may be required to pay a portion of these payments to MSKCC based on the price of the Company’s common stock in connection with such change of control.</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common stock multiples and the stock price appreciation milestone payments under the terms of the agreement: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multiple</w:t>
            </w: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5.0x</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10.0x</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15.0x</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Ten-trading day trailing average common stock price</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100.36</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 appreciation milestone payment (in millions)</w:t>
            </w:r>
          </w:p>
        </w:tc>
        <w:tc>
          <w:tcPr>
            <w:tcW w:w="1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120" w:type="dxa"/>
            <w:vAlign w:val="bottom"/>
          </w:tcPr>
          <w:p>
            <w:pPr>
              <w:spacing w:after="0"/>
              <w:rPr>
                <w:sz w:val="18"/>
                <w:szCs w:val="18"/>
                <w:color w:val="auto"/>
              </w:rPr>
            </w:pPr>
          </w:p>
        </w:tc>
      </w:tr>
      <w:tr>
        <w:trPr>
          <w:trHeight w:val="648"/>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firstLine="509"/>
        <w:spacing w:after="0" w:line="266" w:lineRule="auto"/>
        <w:rPr>
          <w:sz w:val="20"/>
          <w:szCs w:val="20"/>
          <w:color w:val="auto"/>
        </w:rPr>
      </w:pPr>
      <w:r>
        <w:rPr>
          <w:rFonts w:ascii="Times New Roman" w:cs="Times New Roman" w:eastAsia="Times New Roman" w:hAnsi="Times New Roman"/>
          <w:sz w:val="18"/>
          <w:szCs w:val="18"/>
          <w:color w:val="auto"/>
        </w:rPr>
        <w:t>In July 2021, the Company achieved the specified clinical milestone for a licensed product under the Amended MSKCC License and the Company’s ten-trading day trailing average common stock price exceeded the first, pre-specified threshold. As a result, the Company remitted the first milestone payment of $20.0 million to MSKCC during the year ended December 31, 2021.</w:t>
      </w:r>
    </w:p>
    <w:p>
      <w:pPr>
        <w:spacing w:after="0" w:line="68"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To determine the estimated fair value of the remaining stock price appreciation milestones, the Company uses a Monte Carlo simulation methodology which models future Company common stock prices based on the current stock price and several key variables.</w:t>
      </w:r>
    </w:p>
    <w:p>
      <w:pPr>
        <w:spacing w:after="0" w:line="54" w:lineRule="exact"/>
        <w:rPr>
          <w:sz w:val="20"/>
          <w:szCs w:val="20"/>
          <w:color w:val="auto"/>
        </w:rPr>
      </w:pPr>
    </w:p>
    <w:p>
      <w:pPr>
        <w:jc w:val="both"/>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key inputs to the Monte Carlo simulation to determine the fair value of the stock price appreciation milestones include the Company’s stock price as of the measurement date; the estimated term which is based in part on the last valid patent claim date; the expected volatility of the Company’s common stock, estimated using the Company’s historical common stock volatility as of the remeasurement date; and the risk-free rate based on the U.S. Treasury yield for the estimated term determined. Fair value measurements are highly sensitive to changes in these inputs and significant changes could result in a significantly higher or lower fair value and resulting expense or gain.</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At each balance sheet date, the Company remeasures the fair value of the stock price appreciation milestones, with changes in fair value recognized as a component of other income (expense) in the unaudited condensed consolidated statements of operations and comprehensive loss. Amounts are included in current or non-current liabilities based on the estimated timeline associated with the individual potential payments. During the three months ended March 31, 2026 and 2025, the Company recorded $0.1 million of expense and $0.3 million of income, respectively, associated with the change in fair value of the stock price appreciation milestones. As of March 31, 2026 and December 31, 2025, the Company recorded a liability of $0.4 million and $0.3 million, respectively, associated with the stock price appreciation milestones for the Amended MSKCC License.</w:t>
      </w:r>
    </w:p>
    <w:p>
      <w:pPr>
        <w:spacing w:after="0" w:line="291" w:lineRule="exact"/>
        <w:rPr>
          <w:sz w:val="20"/>
          <w:szCs w:val="20"/>
          <w:color w:val="auto"/>
        </w:rPr>
      </w:pPr>
    </w:p>
    <w:p>
      <w:pPr>
        <w:ind w:left="520" w:right="6660" w:hanging="512"/>
        <w:spacing w:after="0" w:line="377" w:lineRule="auto"/>
        <w:tabs>
          <w:tab w:leader="none" w:pos="37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California Institute for Regenerative Medicine Awards </w:t>
      </w:r>
      <w:r>
        <w:rPr>
          <w:rFonts w:ascii="Times New Roman" w:cs="Times New Roman" w:eastAsia="Times New Roman" w:hAnsi="Times New Roman"/>
          <w:sz w:val="18"/>
          <w:szCs w:val="18"/>
          <w:i w:val="1"/>
          <w:iCs w:val="1"/>
          <w:color w:val="auto"/>
        </w:rPr>
        <w:t>FT819 CIRM Award</w:t>
      </w:r>
    </w:p>
    <w:p>
      <w:pPr>
        <w:spacing w:after="0" w:line="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February 2024, the Company was awarded $7.9 million from the California Institute for Regenerative Medicine (CIRM) to support the conduct of the Company’s Phase 1 study of FT819 in patients with systemic lupus erythematosus and, in April 2024, the Company executed an award agreement with CIRM (the FT819 CIRM Award). Pursuant to the terms of the FT819 CIRM Award, the Company is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 CIRM Award, the Company has certain obligations of co-funding and is required to provide CIRM progress and financial update reports throughout the Award Period.</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Following the conclusion of the Award Period, the Company, in its sole discretion, has the option to treat the FT819 CIRM Award either as a loan or as a grant. If the Company does not elect to treat the FT819 CIRM Award as a loan within 10 years of the award date, the award will be considered a grant and the Company will be obligated to pay CIRM, on a quarterly basis, a low single-digit royalty on commercial sales of FT819 until such aggregate royalty payments equal nine times the total amount awarded to the Company under the FT819 CIRM Award.</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the Company may, at its election, repay some or all of the FT819 CIRM Award, the Company accounts for the award as a liability until the time of election. As of March 31, 2026, the Company has received three disbursements under the FT819 CIRM Award in the aggregate amount of $6.6 million, which amount is recorded as a liability on the accompanying consolidated balance sheets. As of March 31, 2026, the total amount received is recorded as a CIRM liability in the consolidated balance sheets, with $5.3 million classified as current and the remaining $1.3 million as non-current, based on the portion expected to be payable within twelve months from the balance sheet date.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FT836 CIRM Award</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January 2025, the Company was awarded $4.0 million from CIRM to support the conduct of preclinical and Investigational New Drug (IND)-enabling activities for FT836, and in May 2025, the Company executed an award agreement with CIRM (the FT836 CIRM Award). Pursuant to the terms of the FT836 CIRM Award, the Company is eligible to receive four disbursements in varying amounts from CIRM, with one disbursement receivable upon the execution of the award and three disbursements receivable based upon the completion of certain development milestones throughout the period of the award, which lasted from May 1, 2025 to October 31, 2025 (the FT836 Award Period). Under the FT836 CIRM Award, the Company has certain obligations of co-funding and is required to provide CIRM progress and financial update reports throughout the FT836 Award Period.</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in its sole discretion, has the option to treat the FT836 CIRM Award either as a loan or as a grant. If the Company does not elect to treat the FT836 CIRM Award as a loan within 10 years of the award date, the award will be considered a grant and the Company will be obligated to pay CIRM, on a quarterly basis, a low single-digit royalty on commercial sales of FT836 until such aggregate royalty payments equal nine times the total amount awarded to the Company under the FT836 CIRM Award.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Since the Company may, at its election, repay some or all of the FT836 CIRM Award, the Company accounts for the award as a liability until the time of election. As of March 31, 2026, the Company has received four disbursements under the FT836 CIRM Award in the aggregate amount of $4.0 million. As of March 31, 2026, the total amount received is recorded as a CIRM liability in the consolidated balance sheets, with $3.2 million classified as current and the remaining $0.8 million as non-current, based on the portion expected to be payable within twelve months from the balance sheet date.</w:t>
      </w:r>
    </w:p>
    <w:p>
      <w:pPr>
        <w:spacing w:after="0" w:line="284"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invests portions of excess cash in United States treasuries, commercial paper, non-U.S. government securities, municipal securities, and corporate debt securities with maturities ranging from three to thirty-six months from the purchase date. These investments are accounted for as available-for-sale securities and are classified as short-term and long-term investments in the accompanying consolidated balance sheets based on each security’s contractual maturity date. There were no significant realized losses on available-for-sale securities during the period ended March 31, 2026. As of March 31, 2026, the Company did not intend to sell the investments in an unrealized loss position and it was unlikely that the Company will be required to sell the investments before the recovery of their amortized cost basis.</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investments accounted for as available-for-sale securities as of March 31, 2026 and December 31, 2025 (in thousands, except for maturity in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5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5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Classified as current assets: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Money market fund</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33,491</w:t>
            </w:r>
          </w:p>
        </w:tc>
        <w:tc>
          <w:tcPr>
            <w:tcW w:w="36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33,491</w:t>
            </w:r>
          </w:p>
        </w:tc>
        <w:tc>
          <w:tcPr>
            <w:tcW w:w="100" w:type="dxa"/>
            <w:vAlign w:val="bottom"/>
            <w:shd w:val="clear" w:color="auto" w:fill="CFF0FC"/>
          </w:tcPr>
          <w:p>
            <w:pPr>
              <w:spacing w:after="0"/>
              <w:rPr>
                <w:sz w:val="12"/>
                <w:szCs w:val="12"/>
                <w:color w:val="auto"/>
              </w:rPr>
            </w:pPr>
          </w:p>
        </w:tc>
      </w:tr>
      <w:tr>
        <w:trPr>
          <w:trHeight w:val="149"/>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U.S. Treasury debt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24,740</w:t>
            </w: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Non-US government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70,420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70,387</w:t>
            </w: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37,682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37,637</w:t>
            </w:r>
          </w:p>
        </w:tc>
        <w:tc>
          <w:tcPr>
            <w:tcW w:w="100" w:type="dxa"/>
            <w:vAlign w:val="bottom"/>
            <w:shd w:val="clear" w:color="auto" w:fill="CFF0FC"/>
          </w:tcPr>
          <w:p>
            <w:pPr>
              <w:spacing w:after="0"/>
              <w:rPr>
                <w:sz w:val="12"/>
                <w:szCs w:val="12"/>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1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short-term investments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168,820</w:t>
            </w:r>
          </w:p>
        </w:tc>
        <w:tc>
          <w:tcPr>
            <w:tcW w:w="120" w:type="dxa"/>
            <w:vAlign w:val="bottom"/>
          </w:tcPr>
          <w:p>
            <w:pPr>
              <w:spacing w:after="0"/>
              <w:rPr>
                <w:sz w:val="12"/>
                <w:szCs w:val="12"/>
                <w:color w:val="auto"/>
              </w:rPr>
            </w:pP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3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168,743</w:t>
            </w:r>
          </w:p>
        </w:tc>
        <w:tc>
          <w:tcPr>
            <w:tcW w:w="10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1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51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Classified as current assets: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Money market fund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31,693</w:t>
            </w:r>
          </w:p>
        </w:tc>
        <w:tc>
          <w:tcPr>
            <w:tcW w:w="3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31,693</w:t>
            </w:r>
          </w:p>
        </w:tc>
        <w:tc>
          <w:tcPr>
            <w:tcW w:w="100" w:type="dxa"/>
            <w:vAlign w:val="bottom"/>
          </w:tcPr>
          <w:p>
            <w:pPr>
              <w:spacing w:after="0"/>
              <w:rPr>
                <w:sz w:val="12"/>
                <w:szCs w:val="12"/>
                <w:color w:val="auto"/>
              </w:rPr>
            </w:pPr>
          </w:p>
        </w:tc>
      </w:tr>
      <w:tr>
        <w:trPr>
          <w:trHeight w:val="148"/>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U.S. Treasury debt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33,779</w:t>
            </w: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Non-US government securities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w:t>
            </w:r>
          </w:p>
        </w:tc>
        <w:tc>
          <w:tcPr>
            <w:tcW w:w="100" w:type="dxa"/>
            <w:vAlign w:val="bottom"/>
          </w:tcPr>
          <w:p>
            <w:pPr>
              <w:spacing w:after="0"/>
              <w:rPr>
                <w:sz w:val="12"/>
                <w:szCs w:val="12"/>
                <w:color w:val="auto"/>
              </w:rPr>
            </w:pPr>
          </w:p>
        </w:tc>
      </w:tr>
      <w:tr>
        <w:trPr>
          <w:trHeight w:val="149"/>
        </w:trPr>
        <w:tc>
          <w:tcPr>
            <w:tcW w:w="516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86,167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86,238</w:t>
            </w:r>
          </w:p>
        </w:tc>
        <w:tc>
          <w:tcPr>
            <w:tcW w:w="100" w:type="dxa"/>
            <w:vAlign w:val="bottom"/>
            <w:shd w:val="clear" w:color="auto" w:fill="CFF0FC"/>
          </w:tcPr>
          <w:p>
            <w:pPr>
              <w:spacing w:after="0"/>
              <w:rPr>
                <w:sz w:val="12"/>
                <w:szCs w:val="12"/>
                <w:color w:val="auto"/>
              </w:rPr>
            </w:pPr>
          </w:p>
        </w:tc>
      </w:tr>
      <w:tr>
        <w:trPr>
          <w:trHeight w:val="148"/>
        </w:trPr>
        <w:tc>
          <w:tcPr>
            <w:tcW w:w="5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Commercial paper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 or less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41,941</w:t>
            </w:r>
          </w:p>
        </w:tc>
        <w:tc>
          <w:tcPr>
            <w:tcW w:w="10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16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short-term investments</w:t>
            </w: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196,786</w:t>
            </w:r>
          </w:p>
        </w:tc>
        <w:tc>
          <w:tcPr>
            <w:tcW w:w="36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137</w:t>
            </w:r>
          </w:p>
        </w:tc>
        <w:tc>
          <w:tcPr>
            <w:tcW w:w="340" w:type="dxa"/>
            <w:vAlign w:val="bottom"/>
            <w:gridSpan w:val="3"/>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196,898</w:t>
            </w:r>
          </w:p>
        </w:tc>
        <w:tc>
          <w:tcPr>
            <w:tcW w:w="100" w:type="dxa"/>
            <w:vAlign w:val="bottom"/>
            <w:shd w:val="clear" w:color="auto" w:fill="CFF0FC"/>
          </w:tcPr>
          <w:p>
            <w:pPr>
              <w:spacing w:after="0"/>
              <w:rPr>
                <w:sz w:val="15"/>
                <w:szCs w:val="15"/>
                <w:color w:val="auto"/>
              </w:rPr>
            </w:pPr>
          </w:p>
        </w:tc>
      </w:tr>
      <w:tr>
        <w:trPr>
          <w:trHeight w:val="129"/>
        </w:trPr>
        <w:tc>
          <w:tcPr>
            <w:tcW w:w="51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Classified as non-current assets:</w:t>
            </w: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516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debt securities</w:t>
            </w:r>
          </w:p>
        </w:tc>
        <w:tc>
          <w:tcPr>
            <w:tcW w:w="112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Greater than 1</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long-term investments</w:t>
            </w:r>
          </w:p>
        </w:tc>
        <w:tc>
          <w:tcPr>
            <w:tcW w:w="112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1,468</w:t>
            </w:r>
          </w:p>
        </w:tc>
        <w:tc>
          <w:tcPr>
            <w:tcW w:w="36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w:t>
            </w:r>
          </w:p>
        </w:tc>
        <w:tc>
          <w:tcPr>
            <w:tcW w:w="100" w:type="dxa"/>
            <w:vAlign w:val="bottom"/>
          </w:tcPr>
          <w:p>
            <w:pPr>
              <w:spacing w:after="0"/>
              <w:rPr>
                <w:sz w:val="12"/>
                <w:szCs w:val="12"/>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-1328420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-1328420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-1328420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-342265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-325120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-342265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-325120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-342265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-325120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-128270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-128270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-128270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$0.8 million and $0.7 million, respectively, of accrued interest on investments recorded in prepaid expenses and other assets on the unaudited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measured at fair value on a recurring basis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37,637</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 measured at fair value on a recurring basis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168,743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liabilities measured at fair value on a recurring basis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87,710</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198,370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132,898</w:t>
            </w: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price appreciation milestones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financial liabilities measured at fair value on a recurring basis</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-2605405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-2605405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-2605405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-2605405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-2022475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-2022475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-2022475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-2022475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-607695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-591185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-607695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-591185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-607695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-591185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-607695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-591185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Level 1 assets consisted of money market funds and U.S. Treasury securities measured at fair value based on quoted prices in active markets as provided by the Company’s investment managers.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Level 2 assets consisted of corporate debt securities, commercial paper, municipal securities, and non-U.S. government securities measured at fair value using standard observable inputs, including reported trades, broker/dealer quotes, and bids and/or offers. The Company validates the quoted market prices provided by its investment managers by comparing the investment managers’ assessment of the fair values of the Company’s investment portfolio balance against the fair values of the Company’s investment portfolio balance obtained from an independent source.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Level 3 assets held by the Company as of March 31, 2026.</w:t>
      </w:r>
    </w:p>
    <w:p>
      <w:pPr>
        <w:spacing w:after="0" w:line="2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Level 3 liabilities consisted of stock price appreciation milestones associated with the Amended MSKCC License as described in detail in Note 2.</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16" w:name="page17"/>
    <w:bookmarkEnd w:id="16"/>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fair value of the Company’s Level 3 stock price appreciation milestones liability for the three months ended March 31, 2026 (in thousands):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60" w:type="dxa"/>
            <w:vAlign w:val="bottom"/>
            <w:gridSpan w:val="2"/>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tcPr>
          <w:p>
            <w:pPr>
              <w:spacing w:after="0"/>
              <w:rPr>
                <w:sz w:val="18"/>
                <w:szCs w:val="18"/>
                <w:color w:val="auto"/>
              </w:rPr>
            </w:pPr>
          </w:p>
        </w:tc>
      </w:tr>
      <w:tr>
        <w:trPr>
          <w:trHeight w:val="249"/>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-25400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-170815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fair value of the Company’s Level 3 stock price appreciation milestones liability for the three months ended March 31, 2025 (in thousands):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stock price appreciation milestones liability</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6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18"/>
                <w:szCs w:val="18"/>
                <w:color w:val="auto"/>
              </w:rPr>
            </w:pPr>
          </w:p>
        </w:tc>
      </w:tr>
      <w:tr>
        <w:trPr>
          <w:trHeight w:val="20"/>
        </w:trPr>
        <w:tc>
          <w:tcPr>
            <w:tcW w:w="6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-7620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9460" w:firstLine="8"/>
        <w:spacing w:after="0" w:line="377" w:lineRule="auto"/>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Accrued Expenses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accrued expenses consist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other employee benefits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8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related costs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8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accrued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-170815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has lease agreements for office, laboratory and manufacturing spaces that are classified as operating leases on the consolidated balance sheets. These leases have original terms varying from six to approximately sixteen years, with renewal options of up to ten years, as well as early termination options. Extension and termination options are included in the total lease term when the Company is reasonably certain to exercise them. The leases are subject to additional variable charges, including common area maintenance, property taxes, property insurance and other variable costs. Given the variable nature of such costs, they are recognized as expense as incurred. Additionally, some of the Company’s leases are subject to certain fixed fees which the Company has determined to be non-lease components. The Company has elected to combine and account for lease and non-lease components as a single-lease component for purposes of determining the total future lease payments.</w:t>
      </w:r>
    </w:p>
    <w:p>
      <w:pPr>
        <w:spacing w:after="0" w:line="8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future undiscounted minimum contractual payments under the Company’s operating leases were $116.6 million, which will be paid over a remaining weighted-average lease term of 9.9 years. The weighted-average discount rate for the operating lease liabilities was 8.5%, which was the Company’s incremental borrowing rate at lease commencement, as the discount rates implicit in the leases could not be readily determined.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undiscounted minimum lease payments under the Company’s operating leases as of March 31, 2026 are as follows (in thousands):</w:t>
      </w:r>
    </w:p>
    <w:tbl>
      <w:tblPr>
        <w:tblLayout w:type="fixed"/>
        <w:tblInd w:w="0" w:type="dxa"/>
        <w:tblCellMar>
          <w:top w:w="0" w:type="dxa"/>
          <w:left w:w="0" w:type="dxa"/>
          <w:bottom w:w="0" w:type="dxa"/>
          <w:right w:w="0" w:type="dxa"/>
        </w:tblCellMar>
      </w:tblPr>
      <w:tr>
        <w:trPr>
          <w:trHeight w:val="151"/>
        </w:trPr>
        <w:tc>
          <w:tcPr>
            <w:tcW w:w="1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3"/>
          </w:tcPr>
          <w:p>
            <w:pPr>
              <w:ind w:left="280"/>
              <w:spacing w:after="0" w:line="151"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11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1220" w:type="dxa"/>
            <w:vAlign w:val="bottom"/>
            <w:gridSpan w:val="2"/>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2026</w:t>
            </w:r>
          </w:p>
        </w:tc>
        <w:tc>
          <w:tcPr>
            <w:tcW w:w="4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53,808</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(39,798)</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liability</w:t>
            </w:r>
          </w:p>
        </w:tc>
        <w:tc>
          <w:tcPr>
            <w:tcW w:w="4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30"/>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-1336675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-1053465</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line="203" w:lineRule="exact"/>
        <w:rPr>
          <w:sz w:val="20"/>
          <w:szCs w:val="20"/>
          <w:color w:val="auto"/>
        </w:rPr>
      </w:pPr>
    </w:p>
    <w:p>
      <w:pPr>
        <w:ind w:right="6660" w:firstLine="8"/>
        <w:spacing w:after="0" w:line="378" w:lineRule="auto"/>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 and Stockholders’ Equity Convertible Preferred Stock</w:t>
      </w: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November 2016, the Company completed a private placement of stock in which investors, including investors affiliated with the directors and officers of the Company, purchased convertible preferred stock and common stock of the Company (the November 2016 Placement). The Company issued 2,819,549 shares of Class A Convertible Preferred Stock, $0.001 par value per share (the Class A Preferred), at $13.30 per share, each of which is convertible into five shares of common stock upon certain conditions defined in the Certificate of Designation of Preferences, Rights and Limitations of the Class A Preferred filed with the Delaware Secretary of State on November 22, 2016 (the CoD). The Class A Preferred were purchased exclusively by entities affiliated with Redmile Group, LLC (collectively, Redmile). The terms of the CoD prohibited Redmile from converting the Class A Preferred into shares of the Company’s common stock if, as a result of conversion, Redmile, together with its affiliates, would own more than 9.99% of the Company’s common stock then issued and outstanding (the Redmile Percentage Limitation), which percentage could change at Redmile’s election upon 61 days’ notice to the Company to (i) any other number less than or equal to 19.99% or (ii) subject to approval of the Company’s stockholders to the extent required in accordance with the Nasdaq Global Market rules, any number in excess of 19.99%. On May 2, 2017, the Company’s stockholders approved the issuance of up to an aggregate of 14,097,745 shares of common stock upon the conversion of the outstanding shares of Class A Preferred. As a result, Redmile has the right to increase the Redmile Percentage Limitation to any percentage in excess of 19.99% at its election. The Company also issued 7,236,837 shares of common stock at $2.66 per share as part of the November 2016 Placement. In April 2023, the Company filed with the office of the Secretary of State of the State of Delaware a Certificate of Amendment to Certificate of Designation of Preferences, Rights and Limitations of Class A Convertible Preferred Stock which amends the definition of Beneficial Ownership Limitation to be 14.99% of the number of shares of the Company’s common stock outstanding immediately after giving effect to the issuance of shares of common stock pursuant to a Notice of Conversion. In April 2023, 33,441 shares of Class A Preferred were converted into 167,205 shares of the Company’s common stock. In December 2024, 6,022 shares of the Class A Preferred were converted into 30,110 shares of the Company’s common stock. In July 2025, Redmile provided the Company with notice of its intent to increase the Redmile Percentage Limitation from 9.99% to 14.99%, which became effective August 31, 2025.</w:t>
      </w:r>
    </w:p>
    <w:p>
      <w:pPr>
        <w:spacing w:after="0" w:line="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Class A Preferred are non-voting shares and are convertible into five shares of the Company’s common stock at a conversion price of $2.66 per share, which was the fair value of the Company’s common stock on the date of issuance. Holders of the Class A Preferred have the same dividend rights as holders of the Company’s common stock. Additionally, the liquidation preferences of the Class A Preferred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 holders of the Company’s common stock and holders of the Class A Preferred, pro rata based on the number of shares held by each such holder (treated for this purpose as if the Class A Preferred had been converted to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January 2021, in conjunction with a public offering, the Company issued pre-funded warrants, in lieu of common stock to certain investors, to purchase 257,310 shares of the Company’s common stock (the 2021 Pre-Funded Warrants). The purchase price for the 2021 Pre-Funded Warrants was $85.499 per pre-funded warrant, which equals the per share public offering price for the shares of common stock less the $0.001 exercise price for each such pre-funded warrant. Given that the 2021 Pre-Funded Warrants are indexed to the Company’s own shares of common stock (and otherwise meet the requirements to be classified in equity), the Company recorded the consideration received from the issuance of the warrants as additional paid-in capital on the Company’s consolidated balance sheets.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March 2024, in conjunction with a public offering, the Company issued in a private placement, in lieu of common stock to certain investors, pre-funded warrants to purchase 3,636,364 shares of the Company’s common stock (2024 Pre-Funded Warrants, and collectively with the 2021 Pre-Funded Warrants, the Pre-Funded Warrants). The purchase price for the 2024 Pre-Funded Warrants was $5.499 per pre-funded warrant, which equals the per share public offering price for the shares of common stock issued in the March 2024 public offering, less the $0.001 exercise price for each such pre-funded warrant. Given that the 2024 Pre-Funded Warrants are indexed to the Company’s own shares of common stock (and otherwise meet the requirements to be classified in equity), the Company recorded the consideration received from the issuance of the warrants as additional paid-in capital on the Company’s unaudited condensed consolidated balance sheets.</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 date of issuance. A holder of Pre-Funded Warrants may not exercise the Pre-Funded Warrant if the holder, together with its affiliates, would beneficially own more than 9.99% of the number of shares of the Company’s common stock outstanding immediately after giving effect to such exercise. A holder of Pre-Funded Warrants may increase or decrease this percentage not in excess of 19.99% by providing at least 61 days’ prior notice to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there were 3,893,674 Pre-Funded Warrants outstanding.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 Awards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under all equity plans for the period ended March 31, 2026:</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12,400,620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(143,627)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16,159,252</w:t>
            </w: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stock unit activity under all equity and stock option plans is summarized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4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6,635,820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3,667,542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(912,778)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(99,298)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9,291,286</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allocation of stock-based compensation for all stock awards is as follows (in thousands):</w:t>
      </w:r>
    </w:p>
    <w:p>
      <w:pPr>
        <w:spacing w:after="0" w:line="2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140" w:type="dxa"/>
        <w:tblCellMar>
          <w:top w:w="0" w:type="dxa"/>
          <w:left w:w="0" w:type="dxa"/>
          <w:bottom w:w="0" w:type="dxa"/>
          <w:right w:w="0" w:type="dxa"/>
        </w:tblCellMar>
      </w:tblPr>
      <w:tr>
        <w:trPr>
          <w:trHeight w:val="142"/>
        </w:trPr>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tcPr>
          <w:p>
            <w:pPr>
              <w:spacing w:after="0"/>
              <w:rPr>
                <w:sz w:val="18"/>
                <w:szCs w:val="18"/>
                <w:color w:val="auto"/>
              </w:rPr>
            </w:pPr>
          </w:p>
        </w:tc>
      </w:tr>
      <w:tr>
        <w:trPr>
          <w:trHeight w:val="230"/>
        </w:trPr>
        <w:tc>
          <w:tcPr>
            <w:tcW w:w="4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80" w:type="dxa"/>
            <w:vAlign w:val="bottom"/>
            <w:shd w:val="clear" w:color="auto" w:fill="CFF0FC"/>
          </w:tcPr>
          <w:p>
            <w:pPr>
              <w:spacing w:after="0"/>
              <w:rPr>
                <w:sz w:val="19"/>
                <w:szCs w:val="19"/>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unrecognized compensation cost related to outstanding options was $7.0 million and is expected to be recognized as expense over a weighted-average period of approximately 2.1 years.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unrecognized compensation cost related to restricted stock units was $11.7 million which is expected to be recognized as expense over a weighted-average period of approximately 2.3 years.</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in the Black-Scholes option pricing model to determine the fair value of the employee and nonemployee stock option grants were as follows:</w:t>
      </w:r>
    </w:p>
    <w:p>
      <w:pPr>
        <w:spacing w:after="0" w:line="155"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160" w:type="dxa"/>
            <w:vAlign w:val="bottom"/>
            <w:gridSpan w:val="2"/>
          </w:tcPr>
          <w:p>
            <w:pPr>
              <w:spacing w:after="0"/>
              <w:rPr>
                <w:sz w:val="12"/>
                <w:szCs w:val="12"/>
                <w:color w:val="auto"/>
              </w:rPr>
            </w:pPr>
          </w:p>
        </w:tc>
        <w:tc>
          <w:tcPr>
            <w:tcW w:w="8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tcPr>
          <w:p>
            <w:pPr>
              <w:spacing w:after="0"/>
              <w:rPr>
                <w:sz w:val="20"/>
                <w:szCs w:val="20"/>
                <w:color w:val="auto"/>
              </w:rPr>
            </w:pPr>
          </w:p>
        </w:tc>
      </w:tr>
      <w:tr>
        <w:trPr>
          <w:trHeight w:val="630"/>
        </w:trPr>
        <w:tc>
          <w:tcPr>
            <w:tcW w:w="71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Reconciliation of Consolidated Stockholders’ Equity Accounts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changes in stockholders’ equity accounts for the three months ended March 31, 2026 (in thousands,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68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220" w:type="dxa"/>
            <w:vAlign w:val="bottom"/>
          </w:tcPr>
          <w:p>
            <w:pPr>
              <w:spacing w:after="0"/>
              <w:rPr>
                <w:sz w:val="11"/>
                <w:szCs w:val="11"/>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6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8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680" w:type="dxa"/>
            <w:vAlign w:val="bottom"/>
            <w:tcBorders>
              <w:bottom w:val="single" w:sz="8" w:color="auto"/>
            </w:tcBorders>
            <w:gridSpan w:val="4"/>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81"/>
              </w:rPr>
              <w:t>ve</w:t>
            </w:r>
          </w:p>
        </w:tc>
        <w:tc>
          <w:tcPr>
            <w:tcW w:w="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78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80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74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2025</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115,359,735</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2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1,741,259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(1,534,309)</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207,184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80" w:type="dxa"/>
            <w:vAlign w:val="bottom"/>
          </w:tcPr>
          <w:p>
            <w:pPr>
              <w:ind w:left="4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912,778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0"/>
                <w:szCs w:val="10"/>
                <w:color w:val="auto"/>
              </w:rPr>
            </w:pPr>
          </w:p>
        </w:tc>
        <w:tc>
          <w:tcPr>
            <w:tcW w:w="74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3,929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35"/>
        </w:trPr>
        <w:tc>
          <w:tcPr>
            <w:tcW w:w="35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(31,213)</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(31,213)</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2026</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116,272,513</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2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1,745,187</w:t>
            </w:r>
          </w:p>
        </w:tc>
        <w:tc>
          <w:tcPr>
            <w:tcW w:w="220" w:type="dxa"/>
            <w:vAlign w:val="bottom"/>
          </w:tcPr>
          <w:p>
            <w:pPr>
              <w:spacing w:after="0"/>
              <w:rPr>
                <w:sz w:val="11"/>
                <w:szCs w:val="11"/>
                <w:color w:val="auto"/>
              </w:rPr>
            </w:pPr>
          </w:p>
        </w:tc>
        <w:tc>
          <w:tcPr>
            <w:tcW w:w="140" w:type="dxa"/>
            <w:vAlign w:val="bottom"/>
          </w:tcPr>
          <w:p>
            <w:pPr>
              <w:jc w:val="right"/>
              <w:ind w:right="2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(1,565,522)</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-487680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-471170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-487680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-471170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-487680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-471170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-487680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-471170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-487680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-471170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-487680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-471170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-487680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-471170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-119380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-119380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-119380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-119380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-119380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-119380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-119380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changes in stockholders’ equity accounts for the three months ended March 31, 2025 (in thousands,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660" w:type="dxa"/>
            <w:vAlign w:val="bottom"/>
            <w:gridSpan w:val="4"/>
            <w:vMerge w:val="restart"/>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220" w:type="dxa"/>
            <w:vAlign w:val="bottom"/>
          </w:tcPr>
          <w:p>
            <w:pPr>
              <w:spacing w:after="0"/>
              <w:rPr>
                <w:sz w:val="11"/>
                <w:szCs w:val="11"/>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16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94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2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w:t>
            </w:r>
          </w:p>
        </w:tc>
        <w:tc>
          <w:tcPr>
            <w:tcW w:w="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76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78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80" w:type="dxa"/>
            <w:vAlign w:val="bottom"/>
          </w:tcPr>
          <w:p>
            <w:pPr>
              <w:spacing w:after="0"/>
              <w:rPr>
                <w:sz w:val="11"/>
                <w:szCs w:val="11"/>
                <w:color w:val="auto"/>
              </w:rPr>
            </w:pPr>
          </w:p>
        </w:tc>
        <w:tc>
          <w:tcPr>
            <w:tcW w:w="68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113,928,279</w:t>
            </w:r>
          </w:p>
        </w:tc>
        <w:tc>
          <w:tcPr>
            <w:tcW w:w="3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114</w:t>
            </w:r>
          </w:p>
        </w:tc>
        <w:tc>
          <w:tcPr>
            <w:tcW w:w="2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1,716,335</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268</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(1,397,994)</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318,726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40" w:type="dxa"/>
            <w:vAlign w:val="bottom"/>
          </w:tcPr>
          <w:p>
            <w:pPr>
              <w:ind w:left="40"/>
              <w:spacing w:after="0" w:line="116"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675,631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spacing w:after="0"/>
              <w:rPr>
                <w:sz w:val="10"/>
                <w:szCs w:val="10"/>
                <w:color w:val="auto"/>
              </w:rPr>
            </w:pPr>
          </w:p>
        </w:tc>
        <w:tc>
          <w:tcPr>
            <w:tcW w:w="82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7,381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loss on investments</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35"/>
        </w:trPr>
        <w:tc>
          <w:tcPr>
            <w:tcW w:w="35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(37,621)</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(37,621)</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2025</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2,755,086</w:t>
            </w:r>
          </w:p>
        </w:tc>
        <w:tc>
          <w:tcPr>
            <w:tcW w:w="3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w:t>
            </w:r>
          </w:p>
        </w:tc>
        <w:tc>
          <w:tcPr>
            <w:tcW w:w="10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114,603,910</w:t>
            </w:r>
          </w:p>
        </w:tc>
        <w:tc>
          <w:tcPr>
            <w:tcW w:w="3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115</w:t>
            </w: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1,723,715</w:t>
            </w:r>
          </w:p>
        </w:tc>
        <w:tc>
          <w:tcPr>
            <w:tcW w:w="140" w:type="dxa"/>
            <w:vAlign w:val="bottom"/>
          </w:tcPr>
          <w:p>
            <w:pPr>
              <w:spacing w:after="0"/>
              <w:rPr>
                <w:sz w:val="11"/>
                <w:szCs w:val="11"/>
                <w:color w:val="auto"/>
              </w:rPr>
            </w:pPr>
          </w:p>
        </w:tc>
        <w:tc>
          <w:tcPr>
            <w:tcW w:w="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191</w:t>
            </w:r>
          </w:p>
        </w:tc>
        <w:tc>
          <w:tcPr>
            <w:tcW w:w="140" w:type="dxa"/>
            <w:vAlign w:val="bottom"/>
          </w:tcPr>
          <w:p>
            <w:pPr>
              <w:spacing w:after="0"/>
              <w:rPr>
                <w:sz w:val="11"/>
                <w:szCs w:val="11"/>
                <w:color w:val="auto"/>
              </w:rPr>
            </w:pPr>
          </w:p>
        </w:tc>
        <w:tc>
          <w:tcPr>
            <w:tcW w:w="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(1,435,615)</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288,409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-487680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-471170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-487680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-471170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-487680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-471170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-487680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-471170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-487680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-471170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-487680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-471170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-487680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-471170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-487680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-119380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-119380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-119380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-119380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-119380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-119380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-119380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reportable segment relating to its operations. The segment derives its current revenues from research and development collaborations.</w:t>
      </w:r>
    </w:p>
    <w:p>
      <w:pPr>
        <w:spacing w:after="0" w:line="94"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(the CODM), its Chief Executive Officer, manages the Company’s operations on an integrated basis for the purposes of allocating resources. When evaluating the Company’s financial performance, the CODM reviews total revenues, total expenses and expenses by certain categories and makes decisions using this information.</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is a summary of the segment profit or loss, including significant segment expenses (in thousands):</w:t>
      </w:r>
    </w:p>
    <w:p>
      <w:pPr>
        <w:spacing w:after="0" w:line="15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7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2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2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Clinical programs</w:t>
            </w:r>
          </w:p>
        </w:tc>
        <w:tc>
          <w:tcPr>
            <w:tcW w:w="2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activities</w:t>
            </w:r>
          </w:p>
        </w:tc>
        <w:tc>
          <w:tcPr>
            <w:tcW w:w="2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Facilities costs</w:t>
            </w:r>
          </w:p>
        </w:tc>
        <w:tc>
          <w:tcPr>
            <w:tcW w:w="2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27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42,909</w:t>
            </w:r>
          </w:p>
        </w:tc>
        <w:tc>
          <w:tcPr>
            <w:tcW w:w="100" w:type="dxa"/>
            <w:vAlign w:val="bottom"/>
          </w:tcPr>
          <w:p>
            <w:pPr>
              <w:spacing w:after="0"/>
              <w:rPr>
                <w:sz w:val="18"/>
                <w:szCs w:val="18"/>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(41,280)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stock price appreciation milestones</w:t>
            </w:r>
          </w:p>
        </w:tc>
        <w:tc>
          <w:tcPr>
            <w:tcW w:w="2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7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r>
      <w:tr>
        <w:trPr>
          <w:trHeight w:val="209"/>
        </w:trPr>
        <w:tc>
          <w:tcPr>
            <w:tcW w:w="496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278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Borders>
              <w:top w:val="single" w:sz="8" w:color="CFF0FC"/>
            </w:tcBorders>
          </w:tcPr>
          <w:p>
            <w:pPr>
              <w:spacing w:after="0"/>
              <w:rPr>
                <w:sz w:val="18"/>
                <w:szCs w:val="18"/>
                <w:color w:val="auto"/>
              </w:rPr>
            </w:pPr>
          </w:p>
        </w:tc>
      </w:tr>
      <w:tr>
        <w:trPr>
          <w:trHeight w:val="25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7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(31,213)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(37,621)</w:t>
            </w:r>
          </w:p>
        </w:tc>
      </w:tr>
      <w:tr>
        <w:trPr>
          <w:trHeight w:val="628"/>
        </w:trPr>
        <w:tc>
          <w:tcPr>
            <w:tcW w:w="4960" w:type="dxa"/>
            <w:vAlign w:val="bottom"/>
            <w:tcBorders>
              <w:top w:val="single" w:sz="8" w:color="CFF0FC"/>
            </w:tcBorders>
          </w:tcPr>
          <w:p>
            <w:pPr>
              <w:spacing w:after="0"/>
              <w:rPr>
                <w:sz w:val="24"/>
                <w:szCs w:val="24"/>
                <w:color w:val="auto"/>
              </w:rPr>
            </w:pPr>
          </w:p>
        </w:tc>
        <w:tc>
          <w:tcPr>
            <w:tcW w:w="278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-2065020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-1224915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(1) Other segment expenses include stock compensation expense, depreciation, legal fees, general &amp; administrative expenses, and corporate expenses.</w:t>
      </w:r>
    </w:p>
    <w:p>
      <w:pPr>
        <w:sectPr>
          <w:pgSz w:w="11900" w:h="16838" w:orient="portrait"/>
          <w:cols w:equalWidth="0" w:num="1">
            <w:col w:w="10820"/>
          </w:cols>
          <w:pgMar w:left="320" w:top="98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985" w:right="7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2025 and the related Management’s Discussion and Analysis of Financial Condition and Results of Operations, which are contained in our Annual Report on Form 10-K filed with the Securities and Exchange Commission on February 26, 2026.</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under Item 1A of Part II below. Except as required by law, we undertake no obligation to update these forward-looking statements to reflect events or circumstances after the date of this report or to reflect actual outcomes.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bringing a transformative pipeline of off-the shelf cellular immunotherapies to patients.</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pioneered a therapeutic approach that we generally refer to as cellular programming: we create and engineer human induced pluripotent stem cells (iPSCs) to incorporate novel synthetic controls of cell function; after the engineering step that incorporates multiple functional elements into the iPSCs, we generate a clonal master iPSC line for use as a renewable source of starting materials for the manufacture of cell therapies; through the manufacturing process, we direct the fate of the clonal master iPSC line to produce our cell therapy product candidates that are uniform in composition. Analogous to master cell lines used to manufacture biopharmaceutical drug products such as monoclonal antibodies, we believe our proprietary clonal master iPSC lines can be used to mass produce multiplexed-engineered cellular immunotherapies which have off-the-shelf availability and on-demand availability, and that can be combined and administered alone or in combination with standard-of-care therapies, to make cell therapies accessible to all.</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Utilizing our iPSC product platform, we are developing off-the-shelf, multiplexed-engineered T-cell and natural killer (NK) cell product candidates which are selectively designed and incorporate novel synthetic controls of cell function to uniquely enhance the therapeutic capacity of the drug product to deliver multiple therapeutic mechanisms to patients. We have a pipeline of iPSC-derived, chimeric antigen receptor (CAR)-targeted T-cell and NK cell product candidates currently under development. In addition, we have entered into research collaborations and license agreements with academic institutions to support the development of our iPSC product platform and our off-the-shelf product candidates.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also entered into collaborations with pharmaceutical companies to research, develop and commercialize off-the-shelf, multiplexed-engineered, iPSC-derived CAR T-cell and CAR NK cell product candidates for the treatment of cancer. In September 2018, we entered into a collaboration and option agreement (Ono Agreement) with Ono Pharmaceutical Co., Ltd. (Ono), under which we are currently researching and developing iPSC-derived CAR T-cell and CAR NK cell product candidates for the treatment of solid tumors.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2007 and are headquartered in San Diego, California. Since our inception in 2007, we have devoted substantially all of our resources to our cell programming approach and the research and development of our product candidates, the creation, licensing and protection of related intellectual property, and the provision of general and administrative support for these activities. To date, we have funded our operations primarily through the public and private sale of common stock and warrants, the private placement of preferred stock and convertible notes, commercial bank debt and revenues from collaboration activities and grants.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have incurred net losses in each year since inception. Substantially all of our net losses resulted from costs incurred in connection with our research and development programs and from general and administrative costs associated with our operations. We expect to continue to incur operating losses for at least the foreseeable future. Our net losses may fluctuate significantly from quarter to quarter and year to year. We expect our expenses will remain significant in connection with our ongoing and planned activities as we:</w:t>
      </w:r>
    </w:p>
    <w:p>
      <w:pPr>
        <w:spacing w:after="0" w:line="72" w:lineRule="exact"/>
        <w:rPr>
          <w:sz w:val="20"/>
          <w:szCs w:val="20"/>
          <w:color w:val="auto"/>
        </w:rPr>
      </w:pPr>
    </w:p>
    <w:p>
      <w:pPr>
        <w:ind w:left="1020" w:right="1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and planned preclinical studies and clinical trials of our product candidates, which may include higher clinical trial expenses associated with arrangements we may enter into with clinical research organizations (CROs) for the execution and management of certain clinical trials, including trials outside of the United States;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2" w:name="page23"/>
    <w:bookmarkEnd w:id="22"/>
    <w:p>
      <w:pPr>
        <w:ind w:left="1020" w:right="6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Good Manufacturing Practice (GMP) production, including through the use of contract manufacturing organizations (CMOs) for the conduct of some or all of the activities required for manufacturing our iPSC-derived cell product candidates, process and scale-up development and technology transfer activities for the manufacture of our product candidates, including those undergoing clinical investigation and Investigational New Drug (IND) application-enabling preclinical development;</w:t>
      </w:r>
    </w:p>
    <w:p>
      <w:pPr>
        <w:spacing w:after="0" w:line="7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laboratory equipment, materials and supplies for the manufacture of our product candidates to support our clinical trials and the conduct of our research activities;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development and manufacturing activities, including under our sponsored research and collaboration agreement with Ono;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prosecute, protect, expand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regulatory authorities for the development of, and seek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business operations at our corporate headquarters, including maintaining internal GMP production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operating as a public company and support our operations.</w:t>
      </w:r>
    </w:p>
    <w:p>
      <w:pPr>
        <w:spacing w:after="0" w:line="117"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meaningful revenues from product sales, royalties, or sales milestones unless and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collaboration arrangements, or other sources. However, we may be unable to raise additional funds or enter into such other arrangements when needed on favorable terms or at all. Our failure to raise capital or enter into such other arrangements when needed would have a negative effect on our financial condition and ability to develop our product candidates. We believe we have sufficient funding to operate for at least twelve months from the date of issuance of this Quarterly Report on Form 10-Q.</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conduct substantially all of our activities through Fate Therapeutics, Inc., a Delaware corporation, at our facilities headquartered in San Diego, California. Our results of operations include the operations of the Company and its subsidiaries. To date, the aggregate operations of our subsidiaries have not been significant and all intercompany transactions and balances have been eliminated in consolidation.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therapeutic product sales or royalties. Our revenues have been derived from collaboration agreements and government grants.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Ono Pharmaceutical Co., Ltd.</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September 14, 2018, we entered into the Ono Agreement for the joint development and commercialization of two iPSC-derived CAR T-cell product candidates (Candidate 1 and Candidate 2). Pursuant to the terms of the Ono Agreement, we received an upfront, non-refundable and non-creditable payment of $10.0 million. Additionally, we were entitled to receive fees for the conduct of research and preclinical development under a joint development plan, which fees were estimated to be $20.0 million in aggregate.</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a letter agreement with Ono (the Ono Letter Agreement) pursuant to which Ono delivered proprietary antigen binding domains targeting an antigen expressed on certain solid tumors for incorporation into Candidate 2 and paid us a milestone fee of $10.0 million for further research and preclinical development of Candidate 2. In addition, Ono terminated all further research and preclinical development with respect to Candidate 1, and we retained all rights to research, develop and commercialize Candidate 1 throughout the world without any obligation to Ono.</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June 2022, we entered into an amendment with Ono to the Ono Agreement (the 2022 Ono Amendment). Pursuant to the 2022 Ono Amendment, the companies agreed to designate an additional antigen expressed on certain solid tumors for research and preclinical development, and Ono agreed to contribute proprietary antigen binding domains targeting such additional solid tumor antigen (Candidate 3). In addition, for both Candidate 2 and Candidate 3, the companies expanded the scope of the collaboration to include the research and preclinical development of iPSC-derived CAR NK cell product candidates (in addition to iPSC-derived CAR T-cell product candidates) targeting the designated solid tumor antigens. Similar to Candidate 2, we granted to Ono, during a specified period of time, a preclinical option (Candidate 3 Development Option) to obtain an exclusive license under certain intellectual property rights, subject to payment of an option exercise fee to us by Ono, to further develop and commercialize Candidate 3 in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territories of the world, where we retain rights to co-develop and co-commercialize Candidate 3 in the United States and Europe under a joint arrangement with Ono pursuant to which we are eligible to share at least 50% of the profits and losses. The Candidate 3 Development Option represents an option with no material right. Under the 2022 Ono Amendment, aggregate estimated research and preclinical development fees have been increased by approximately $9.3 million, for a total estimated $29.3 million in aggregate research and preclinical development fees over the course of the joint research plan.</w:t>
      </w:r>
    </w:p>
    <w:p>
      <w:pPr>
        <w:spacing w:after="0" w:line="5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Ono exercised its option to obtain a license to develop and commercialize Candidate 2 (the Candidate 2 Development Option), and we exercised our option to co-develop and co-commercialize Candidate 2 in the United States and Europe. As a result, we received and recognized an option exercise fee of $12.5 million from Ono during the year ended December 31, 2022. We and Ono are proceeding under a joint development plan for the ongoing development of Candidate 2, and, as such, we have initiated clinical studies for Candidate 2. The costs of this joint development plan are accounted for in accordance with ASC 808, and cost sharing payments to us from Ono are recorded as contra-research and development expenses.</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November 2023, we entered into an amendment with Ono to the Ono Agreement (the 2023 Ono Amendment). Under the 2023 Ono Amendment, aggregate estimated research and preclinical development fees payable to us by Ono for Candidate 3 have been increased by approximately $1.4 million, for a total estimated $30.7 million in aggregate research and preclinical development fees over the course of the joint research plan.</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May 2024, following Ono’s exercise of the Candidate 2 Development Option and grant of the development and commercialization license, we achieved a $5.0 million clinical development milestone for Candidate 2. We determined that we had completed our performance obligation with respect to such milestone during the year ended December 31, 2024 and accordingly, recognized such amount as revenue during that period.</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August 2024, we entered into an amendment with Ono to the Ono Agreement (the 2024 Ono Amendment). Under the 2024 Ono Amendment, the aggregate estimated research and preclinical development fees payable by Ono to us for Candidate 3 were increased by approximately $7.3 million, for a total estimated $38.0 million in aggregate research and preclinical development fees over the course of the joint development plan.</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June 2025, we entered into an amendment with Ono to the Ono Agreement (the 2025 Ono Amendment, and collectively with the 2024 Ono Amendment, 2023 Ono Amendment, and 2022 Ono Amendment, the Ono Amendments). Under the 2025 Ono Amendment, aggregate estimated research and preclinical development fees payable by Ono to us for Candidate 3 were increased by approximately $6.5 million, for a total estimated $44.5 million in aggregate research and preclinical development fees over the course of the joint development plan. We will continue to receive committed funding under the joint development plan from Ono through June 2026. The Candidate 3 Development Option expires upon the achievement of the pre-defined preclinical milestone under the joint development plan.</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account for the Ono Agreement, Ono Letter Agreement, and Ono Amendments (collectively, the Ono Arrangement) under ASC 808. We concluded that certain units of account, specifically the grant of a research license to certain intellectual property and the performance of research and preclinical development, within the Ono Arrangement represented a customer relationship and applied relevant guidance from ASC 606 to evaluate the appropriate accounting for those units of account. The initial transaction price under the Ono Arrangement was determined to be $54.5 million, consisting of the upfront, non-refundable and non-creditable payment of $10.0 million, the aggregate estimated research and preclinical development fees of $44.5 million. We also concluded that the Candidate 2 milestone fee of $10.0 million for further research and preclinical development of Candidate 2 represented a variable consideration that was previously constrained. We identified our promised goods and services under the Ono Arrangement to include our grant to Ono of a research license to certain of our intellectual property subject to certain conditions, our conduct of research and preclinical development services, and our participation in a joint steering committee. We determined that the promised goods and services should be accounted for as one combined performance obligation. We recognize revenue for the combined performance obligation over time as the research and preclinical development services are performed.</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recognized $1.3 million of collaboration revenue and $1.1 million of contra-research and development expense under the Ono Agreement. During the three months ended March 31, 2025, we recognized $1.6 million of collaboration revenue and $1.9 million of contra-research and development expense under the Ono Arrangement.</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the research, preclinical development, process and scale-up development, manufacture and clinical development of our product candidates, the research and development of our cell programming technology including our iPSC product platform, and the performance of research and development activities under our collaboration agreements. These costs are expensed as incurred and include:</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employee-related costs, including stock-based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clinical trial agreements with investigative sites;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preclinical study and clinical trial materials, including our product candidates;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conducting, executing and managing our preclinical, process and scale-up development, manufacturing, clinical and regulatory activities, including fees paid to third-party professional consultants, service providers and suppliers, including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for our research, development and manufacturing activities, including under our collaboration agreements;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equipment, materials and supplies for the manufacture of our product candidates to support our clinical trials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license and maintain intellectual property;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including allocated expenses for rent and maintenance of facilities.</w:t>
      </w:r>
    </w:p>
    <w:p>
      <w:pPr>
        <w:spacing w:after="0" w:line="22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plan to continue to significantly invest in our current level of research and development activities for the foreseeable future as we continue the clinical and preclinical development and manufacture of our product candidates, research and develop our iPSC product platform, and perform our obligations under collaboration agreements including under our agreements with Ono and University of Minnesota. Our current planned research and development activities over the next twelve months consist primarily of the following:</w:t>
      </w:r>
    </w:p>
    <w:p>
      <w:pPr>
        <w:spacing w:after="0" w:line="72" w:lineRule="exact"/>
        <w:rPr>
          <w:sz w:val="20"/>
          <w:szCs w:val="20"/>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trials of our product candidates, including through the engagement of CROs to manage various aspects of our clinical trials;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GMP production, process and scale-up development and technology transfer activities for the manufacture of our product candidates, including those undergoing clinical investigation and IND-enabling preclinical development;</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laboratory equipment, materials and supplies for the manufacture of our product candidates and the conduct of our research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preclinical and clinical research to investigate the therapeutic activity of our product candidates;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research, development and manufacturing activities, including under our sponsored research and collaboration agreement with Ono.</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manufacture, and given our novel therapeutic approach and the current stage of development of our product candidates, we cannot determine and are unable to estimate with certainty the timelines we will require and the costs we will incur for the development and manufacture of our product candidates. Clinical and preclinical development and manufacturing timelines and costs, and the potential of development and manufacturing success, can differ materially from expectations. In addition, we cannot forecast which product candidates may be subject to future collaborations, when such arrangements will be secured, if at all, and to what degree such arrangements would affect our development and manufacturing plans and capital requirements. We cannot predict the effects of the impact of global economic and market conditions, including wars and other armed conflicts, or any continued and prolonged public health emergency, on our business and operations, and our expenditures may be increased by delays or disruptions due to these or other factors, including as a result of actions we take in the near term to ensure business continuity and protect against possible supply chain shortages.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stock-based compensation, for our employees in executive, operational, finance and human resource functions; professional fees for accounting, legal and tax services; costs for obtaining, prosecuting, maintaining, and enforcing our intellectual property; and other costs and fees, including director and officer insurance premiums, to support our operations as a public company. We anticipate that our general and administrative expenses will remain significant in the future as we maintain our focus on innovation, and research and development activities, maintain compliance with exchange listing and SEC requirements, protect and enforce our intellectual property, and continue to operate as a public company.</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consists of changes in the fair value of stock price appreciation milestones associated with the Amended and Restated Exclusive License Agreement dated May 15, 2018 (Amended MSKCC License) with MSKCC, interest income earned on cash and cash equivalents and interest income from investments (including the amortization of discounts and premiums).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i w:val="1"/>
          <w:iCs w:val="1"/>
          <w:color w:val="auto"/>
        </w:rPr>
        <w:t>California Institute for Regenerative Medicine Awards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FT819 CIRM Award</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February 2024, we were awarded $7.9 million from the California Institute for Regenerative Medicine (CIRM) to support the conduct of our Phase 1 study of FT819 in patients with systemic lupus erythematosus and, in April 2024, we executed an award agreement with CIRM (the FT819 CIRM Award). Pursuant to the terms of the FT819 CIRM Award, we are eligible to receive five disbursements in varying amounts from CIRM, with one disbursement receivable upon the execution of the award and four disbursements receivable based upon the completion of certain development milestones throughout the period of the award, which is estimated to be from April 1, 2024 to March 31, 2028 (the Award Period). Under the FT819 CIRM Award, we have certain obligations of co-funding and are required to provide CIRM progress and financial update reports throughout the Award Period.</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Following the conclusion of the Award Period, we, in our sole discretion, have the option to treat the FT819 CIRM Award either as a loan or as a grant. If we do not elect to treat the FT819 CIRM Award as a loan within 10 years of the award date, the award will be considered a grant and we will be obligated to pay CIRM, on a quarterly basis, a low single-digit royalty on commercial sales of FT819 until such aggregate royalty payments equal nine times the total amount awarded to us under the FT819 CIRM Award.</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Since we may, at our election, repay some or all of the FT819 CIRM Award, we account for the award as a liability until the time of election. As of March 31, 2026, we have received three disbursements under the award in the aggregate amount of $6.6 million, which is recorded as a liability on the accompanying consolidated balance sheets. As of March 31, 2026, the total amount received is recorded as a CIRM liability in the consolidated balance sheets, with $5.3 million classified as current and the remaining $1.3 million as non-current, based on the portion we expect to be payable within twelve months from the balance sheet date.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FT836 CIRM Award</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2025, we were awarded $4.0 million from CIRM to support the conduct of preclinical and IND-enabling activities for FT836, and in May 2025, we executed an award agreement with CIRM (the FT836 CIRM Award). Pursuant to the terms of the FT836 CIRM Award, we are eligible to receive four disbursements in varying amounts from CIRM, with one disbursement receivable upon the execution of the award and three disbursements receivable based upon the completion of certain development milestones throughout the period of the award, which lasted from May 1, 2025 to October 31, 2025 (the FT836 Award Period). Under the FT836 CIRM Award, we have certain obligations of co-funding and are required to provide CIRM progress and financial update reports throughout the FT836 Award Period.</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in our sole discretion, have the option to treat the FT836 CIRM Award either as a loan or as a grant. If we do not elect to treat the FT836 CIRM Award as a loan within 10 years of the award date, the award will be considered a grant and we will be obligated to pay CIRM, on a quarterly basis, a low single-digit royalty on commercial sales of FT836 until such aggregate royalty payments equal nine times the total amount awarded to us under the FT836 CIRM Award.</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Since we may, at our election, repay some or all of the FT836 CIRM Award, we account for the award as a liability until the time of election. As of March 31, 2026, we have received four disbursements under the FT836 CIRM Award in the aggregate amount of $4.0 million. As of March 31, 2026, the total amount received is recorded as a CIRM liability in the consolidated balance sheets, with $3.2 million classified as current and the remaining $0.8 million as non-current, based on the portion we expect to be payable within twelve months from the balance sheet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unaudited condensed consolidated financial statements, which have been prepared in accordance with generally accepted accounting principles in the United States. The preparation of these unaudited condensed consolidated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the fair value of the stock price appreciation milestones for the Amended MSKCC License, contracts containing leases, accrued expenses, stock-based compensation, and the estimated total costs expected to be incurred under our collaboration agreements. We base our estimates on historical experience, known trends and events, financial models,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estimates and judgments involved in our accounting policies, as described in Item 7 of our Annual Report on Form 10-K for the year ended December 31, 2025, continue to be our critical accounting policies and there have been no other material changes to our critical accounting policies during the three months ended March 31, 2026.</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See Note 1 to the unaudited condensed consolidated financial statements for a summary of critical accounting policies and information related to recent accounting pronouncements.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March 31, 2026 and 2025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3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80" w:type="dxa"/>
            <w:vAlign w:val="bottom"/>
          </w:tcPr>
          <w:p>
            <w:pPr>
              <w:spacing w:after="0"/>
              <w:rPr>
                <w:sz w:val="12"/>
                <w:szCs w:val="12"/>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(4,433)</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(4,177)</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(1,872)</w:t>
            </w:r>
          </w:p>
        </w:tc>
      </w:tr>
    </w:tbl>
    <w:p>
      <w:pPr>
        <w:spacing w:after="0" w:line="177" w:lineRule="exact"/>
        <w:rPr>
          <w:sz w:val="20"/>
          <w:szCs w:val="20"/>
          <w:color w:val="auto"/>
        </w:rPr>
      </w:pPr>
    </w:p>
    <w:p>
      <w:pPr>
        <w:ind w:right="6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During the three months ended March 31, 2026 and 2025, we recognized revenue of $1.3 million and $1.6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under our collaboration agreement with Ono.</w:t>
      </w:r>
    </w:p>
    <w:p>
      <w:pPr>
        <w:spacing w:after="0" w:line="5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$24.7 million for the three months ended March 31,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$29.1 million for the three months ended March 31, 2025. The decrease in research and development expenses was attributable primarily to the following:</w:t>
      </w:r>
    </w:p>
    <w:p>
      <w:pPr>
        <w:spacing w:after="0" w:line="67" w:lineRule="exact"/>
        <w:rPr>
          <w:sz w:val="20"/>
          <w:szCs w:val="20"/>
          <w:color w:val="auto"/>
        </w:rPr>
      </w:pPr>
    </w:p>
    <w:p>
      <w:pPr>
        <w:ind w:left="1020" w:right="8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decrease in employee compensation and benefits expense, including a $1.7 million decrease in employee stock-based compensation expense;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decrease in third-party professional consultant and advisory fees;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laboratory materials and supplies expenses relating to the manufacture of our product candidates.</w:t>
      </w:r>
    </w:p>
    <w:p>
      <w:pPr>
        <w:spacing w:after="0" w:line="115"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$9.6 million for the three months ended March 31,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$13.8 million for the three months ended March 31, 2025. The decrease in general and administrative expenses was attributable primarily to a $1.8 million decrease in employee stock-based compensation expense and a $0.5 million decrease in patent and legal expenses.</w:t>
      </w:r>
    </w:p>
    <w:p>
      <w:pPr>
        <w:spacing w:after="0" w:line="6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$1.8 million and $3.7 million for the three months ended March 31,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During the three months ended March 31, 2026, we recorded $0.1 million in other expense attributable to the change in fair value of the stock price appreciation milestones under the Amended MSKCC License. Other income (expense), net for the three months ended March 31, 2026 also consisted of interest income earned on cash and cash equivalents and interest income from investments (including the amortization of discounts and premiums).</w:t>
      </w:r>
    </w:p>
    <w:p>
      <w:pPr>
        <w:spacing w:after="0" w:line="74"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recorded $0.3 million in other income attributable to the change in fair value of the stock price appreciation milestones under the Amended MSKCC License. Other income (expense), net for the three months ended March 31, 2025 also consisted of interest income earned on cash and cash equivalents and interest income from investments (including the amortization of discounts and premiums).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inception. As of March 31, 2026, we had an accumulated deficit of $1.6 billion and anticipate that we will continue to incur net losses for the foreseeable future. We expect that our cash, cash equivalents and short-term investments as of March 31, 2026 of $174.8 million will be sufficient to fund operations for at least the next twelve months from the date of issuance of these condensed consolidated financial statements.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$30.8 million and primarily consisted of a net loss of $31.2 million adjusted for non-cash items including stock-based compensation of $3.9 million and depreciation and amortization of $2.9 million.</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$33.8 million and primarily consisted of a net loss of $37.6 million adjusted for non-cash items including stock-based compensation of $7.4 million and depreciation and amortization of $3.3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investing activities provided net cash of $23.6 million compared to cash provided by investing activities of $42.7 million during the three months ended March 31, 2025. During the three months ended March 31, 2026, we purchased $28.7 million of investments, which were offset by $52.6 million in maturities of investments. During the three months ended March 31, 2025, we purchased $48.6 million of investments, which were offset by $92.5 million in maturities of investments. The remaining investing activities for the periods presented were primarily attributable to the purchase of property and equipment.</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2026 and 2025, there was no cash activity related to financing activities.</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our inception through March 31, 2026, we have funded our consolidated operations primarily through the public and private sale of common stock and pre-funded warrants, the private placement of preferred stock and convertible notes, commercial bank debt and revenues from collaboration activities and grants. As of March 31, 2026, we had aggregate cash and cash equivalents and investments of $174.8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Offerings Pursuant to Registration Statement on Form S-3 and Private Placement of Pre-Funded Warrants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SEC declared effective a shelf registration statement on Form S-3 filed by us in November 2023 (File No. 333-275402). The shelf registration statement allows us to issue certain securities, including shares of our common stock, from time to time. The specific terms of any offering under the shelf registration statement would be established at the time of such offering. We were initially eligible to issue an aggregate of $300.0 million in securities under the shelf registration statement. Additionally, we entered into a sales agreement with Jefferies Group LLC (Jefferies) with respect to an at-the-market offering program, under which we may offer and sell, from time to time at our sole discretion, shares of our common stock having an aggregate offering price of up to $100.0 million (which is included in the $300.0 million registered under the shelf registration statement) through Jefferies as the sales agent.</w:t>
      </w:r>
    </w:p>
    <w:p>
      <w:pPr>
        <w:spacing w:after="0" w:line="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March 2024, we entered into an underwriting agreement with BofA Securities, Inc., Jefferies, and Leerink Partners LLC with respect to an underwritten public offering, under which we sold 14,545,454 shares of our common stock at a purchase price of $5.50 per share pursuant to the shelf registration statement. To date, we have not sold any securities pursuant to the sales agreement with Jefferies and are eligible to issue an aggregate of approximately $220.0 million under the shelf registration statement (including the $100.0 million issuable pursuant to the sales agreement with Jefferies).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March 2024, concurrent with the underwritten public offering, we entered into a securities purchase agreement with a fund affiliated with Redmile Group, LLC under which we sold pre-funded warrants to purchase up to 3,636,364 shares of our common stock, at a purchase price of $5.499 per pre-funded warrant, in a private placement exempt from the registration requirements pursuant to Section 4(a)(2) of the Securities Act of 1933, as amended (the Securities Act). Pursuant to the terms of the purchase agreement, we agreed to register for resale the shares of common stock issuable upon the exercise of the pre-funded warrants (Warrant Shares). On April 18, 2024, we filed a resale registration statement on Form S-3 (File No. 333-278792), registering the Warrant Shares. The resale registration statement on Form S-3 was declared effective on April 29, 2024.</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Capital Requirements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anticipate that we will continue to incur losses for the foreseeable future, and we expect the losses to remain significant as we continue the research, manufacture and development of, and seek regulatory approvals for, our product candidates and conduct additional research, manufacturing and development activities pursuant to our collaboration agreement with Ono. Our product candidates have not yet achieved regulatory approval and we may not be successful in achieving commercialization of our product candidates.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all the risks and uncertainties incident in the research, manufacture and development of therapeutic products, and cell therapy product candidates in particular. For example, the FDA or other regulatory authorities may require us to generate additional data or conduct additional preclinical studies, manufacturing activities, or clinical trials, or may impose other requirements beyond those that we currently anticipate. Additionally, it is possible for a product candidate to show promising results in preclinical studies or in clinical trials, but fail to establish sufficient safety and efficacy data necessary to obtain regulatory approvals. As a result of these and other risks and uncertainties and the probability of success, the duration and the cost of our research, manufacturing and development activities required to advance a product candidate cannot be accurately estimated and are subject to considerable variation. We may encounter difficulties, complications, delays and other unknown factors and unforeseen expenses in the course of our research, manufacturing and development activities, any of which may significantly increase our capital requirements and could adversely affect our liquidity.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28" w:name="page29"/>
    <w:bookmarkEnd w:id="28"/>
    <w:p>
      <w:pPr>
        <w:ind w:firstLine="509"/>
        <w:spacing w:after="0" w:line="252" w:lineRule="auto"/>
        <w:rPr>
          <w:sz w:val="20"/>
          <w:szCs w:val="20"/>
          <w:color w:val="auto"/>
        </w:rPr>
      </w:pPr>
      <w:r>
        <w:rPr>
          <w:rFonts w:ascii="Times New Roman" w:cs="Times New Roman" w:eastAsia="Times New Roman" w:hAnsi="Times New Roman"/>
          <w:sz w:val="18"/>
          <w:szCs w:val="18"/>
          <w:color w:val="auto"/>
        </w:rPr>
        <w:t>We will require additional capital for the research, manufacture and development of our product candidates and to perform our obligations under our collaboration agreements, and we may need to seek additional funds sooner than expected due to any changes in our business, operations, financial condition or prospects, including any impacts of inflation rates and global economic conditions, and wars or other armed conflicts. We expect to finance our capital requirements in the foreseeable future through the sale of public or private equity, debt securities, or through existing or future potential collaborations. However, additional capital may not be available to us on reasonable terms, if at all. If we are unable to raise additional capital in sufficient amounts or on terms acceptable to us, we may have to significantly delay, scale back or discontinue the research, manufacture or development of one or more of our product candidates. If we do raise additional funds through the issuance of additional equity or debt securities, it could result in dilution to our existing stockholders, increased fixed payment obligations and the existence of securities with rights that may be senior to those of our common stock. Additionally, if we incur indebtedness, we may become subject to financial or other covenants that could adversely restrict, impair or affect our ability to conduct our business, such as requiring us to relinquish rights to certain of our product candidates or technologies or limiting our ability to acquire, sell or license intellectual property rights or incur additional debt. Any of these events could significantly harm our business, operations, financial condition and prospects. In addition, the full impact of inflation rates, global political and economic instability, a continued and prolonged public health emergency, and wars and other armed conflicts, on our business, operations, financial condition and prospects, and on the global economy, are currently unknown and difficult to predict, and these events could materially and adversely affect our ability to raise capital through equity or debt financings in the future.</w:t>
      </w:r>
    </w:p>
    <w:p>
      <w:pPr>
        <w:spacing w:after="0" w:line="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forecast of the period of time through which our existing cash, cash equivalents, and investments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p>
    <w:p>
      <w:pPr>
        <w:spacing w:after="0" w:line="75" w:lineRule="exact"/>
        <w:rPr>
          <w:sz w:val="20"/>
          <w:szCs w:val="20"/>
          <w:color w:val="auto"/>
        </w:rPr>
      </w:pPr>
    </w:p>
    <w:p>
      <w:pPr>
        <w:ind w:left="1020" w:right="6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size, duration, costs and results of our clinical trials and preclinical studies for our product candidates, including the timing and costs of manufacturing activities to support such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nature of product candidates that we pursue;</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internal GMP production capabilities to support the clinical and potential commercial manufacture of our product candidates at our corporate headquarters;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GMP production, process and scale-up development and technology transfer activities for the manufacture of our product candidates, including the cost of laboratory equipment, materials and supplies to support these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cost and outcome of seeking and obtaining regulatory approvals;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milestones are achieved under our collaboration agreement with Ono, and any other strategic partnership or collaboration agreements that we may enter into in the future, and the time to achievement of such milestones and our receipt of any associated milestone payments;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 and the cost of enforcing any of our other contractual rights;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 including our need and ability to hire additional employees and procure additional equipment, materials and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continuation of collaborations and strategic alliances;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in-licensing and out-licensing transactions;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manufacturing and distribution capabilities for, and the pricing and reimbursement of, any products for which we may receive regulatory approval.</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we are closely monitoring inflation rates and global political and economic conditions, including the impact of tariffs, wars and other armed conflicts, and evaluating adjustments to our business and operations, which may negatively impact our financial condition and prospects and our operating results. We will continue to assess our operating capital requirements and may make adjustments to our business and operations if circumstances warrant. If we cannot continue or expand our research,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ind w:right="660"/>
        <w:spacing w:after="0" w:line="282" w:lineRule="auto"/>
        <w:rPr>
          <w:sz w:val="20"/>
          <w:szCs w:val="20"/>
          <w:color w:val="auto"/>
        </w:rPr>
      </w:pPr>
      <w:r>
        <w:rPr>
          <w:rFonts w:ascii="Times New Roman" w:cs="Times New Roman" w:eastAsia="Times New Roman" w:hAnsi="Times New Roman"/>
          <w:sz w:val="18"/>
          <w:szCs w:val="18"/>
          <w:color w:val="auto"/>
        </w:rPr>
        <w:t>manufacturing and development operations, or otherwise capitalize on our business opportunities, because we lack sufficient capital, our business, operations, financial condition and prospects could be materially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lease certain office, laboratory, and manufacturing space under non-cancelable operating leases. In addition to rent, our leases are subject to certain fixed amenities fees. These leases are also subject to additional variable charges for common area maintenance, property taxes, property insurance and other variable costs. See Note 7 to the unaudited condensed consolidated financial statements for additional detail.</w:t>
      </w:r>
    </w:p>
    <w:p>
      <w:pPr>
        <w:spacing w:after="0" w:line="68"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We entered into a license agreement with MSKCC under which we obtained rights relating to compositions and methods covering iPSC-derived cellular immunotherapy, including T-cells and NK-cells derived from iPSCs engineered with CARs. In the event a licensed product achieves a specified clinical milestone, MSKCC is then eligible to receive certain milestone payments totaling up to $75.0 million based on the price of our common stock, where the amount of such payments owed to MSKCC are contingent upon certain increases in the price of our common stock following the date of achievement of such clinical milestone. In July 2021, we achieved the specified clinical milestone for a licensed product under the Amended MSKCC License and our ten-trading day trailing average common stock price exceeded the first, pre-specified threshold. As a result, we remitted payment to MSKCC for the first milestone payment of $20.0 million. See Note 2 to the unaudited condensed consolidated financial statements for additional detail surrounding our stock price appreciation milestone obligations.</w:t>
      </w:r>
    </w:p>
    <w:p>
      <w:pPr>
        <w:spacing w:after="0" w:line="8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have no material contractual obligations not fully recorded on our unaudited condensed consolidated balance sheets or fully disclosed in the notes to the financial statements.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340" w:firstLine="509"/>
        <w:spacing w:after="0" w:line="276"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15d-15(e)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 Based on this evaluation, our principal executive officer and principal financial officer concluded that our disclosure controls and procedures were effective at the reasonable assurance level as of March 31, 2026.</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our latest fiscal quarter that have materially affected, or are reasonably likely to materially affect, our internal controls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a purported stockholder of the Company filed a securities class action lawsuit against the Company and certain of its officers captioned Hadian v. Fate Therapeutics, Inc. et al. in the U.S. District Court for the Southern District of California (the Securities Action). On May 4, 2023, the court appointed a different purported stockholder of the Company to serve as lead plaintiff in the Securities Action. On July 24, 2023, the lead plaintiff filed an amended complaint. The amended complaint alleged that the Company violated the federal securities laws by making allegedly false and/or misleading statements and/or omissions in its public disclosures dating back to August 2020 relating to our collaboration agreement with Janssen Biotech, Inc. (the Janssen Agreement), potential product candidates subject to the Janssen Agreement, and the termination of the Janssen Agreement. On September 22, 2023, we filed a motion to dismiss the amended complaint. On September 19, 2024, the court granted our motion to dismiss the amended complaint, with leave for plaintiff to file a second amended complaint. On October 18, 2024, the lead plaintiff filed a second amended complaint alleging substantially similar facts and claims as in the prior amended complaint. We filed a motion to dismiss the second amended complaint on November 18, 2024, and briefing on the motion was completed on January 21, 2025. On September 22, 2025, the court granted our motion to dismiss the second amended complaint, with leave for plaintiff to file a third amended complaint. On October 17, 2025, the plaintiff filed a third amended complaint. We filed a motion to dismiss the third amended complaint on November 17, 2025. Plaintiff filed an opposition brief on December 18, 2025. On January 15, 2026, we filed our reply in support of our motion to dismiss. We intend to continue to vigorously defend against this action.</w:t>
      </w:r>
    </w:p>
    <w:p>
      <w:pPr>
        <w:spacing w:after="0" w:line="7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On June 2, 2023, a derivative complaint, captioned Guarino v. Wolchko, et al., was filed by a purported stockholder of the Company in the U.S. District Court for the Southern District of California (the Guarino Action). On June 12, 2024, an additional derivative complaint, captioned Horrobin v. Wolchko, et al., was filed by a purported stockholder of the Company in the same district (the Horrobin Action). On December 2, 2024, the court entered an order consolidating the Guarino Action and the Horrobin Action under the caption In re Fate Therapeutics, Inc. Derivative Litigation (the Derivative Action) and staying the Derivative Action pending the court’s decision on our motion to dismiss the second amended complaint in the Securities Action. On September 22, 2025, the stay of the consolidated case automatically expired when the decision dismissing the second amended complaint in the Securities Action was issued. On October 24, 2025, the court extended the stay pending the court’s decision on our anticipated motion to dismiss the third amended complaint. The court’s ruling on the motion is pending. The Derivative Action names members of our board of directors and certain officers as defendants. The Company is also named as a nominal defendant. The plaintiffs in the Derivative Actions assert derivative claims arising out of substantially the same alleged facts and circumstances as the Securities Action. The Guarino complaint asserts claims for breach of fiduciary duty, unjust enrichment, abuse of control, gross mismanagement, waste of corporate assets, and violation of federal securities laws. The Horrobin complaint asserts substantially similar claims in addition to a claim of breach of fiduciary duty for insider trading. We intend to vigorously defend against the Derivative Action.</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December 17, 2025, a derivative complaint, captioned West v. Wolchko, et al., was filed by a purported stockholder of the Company in the Court of Chancery of the State of Delaware (the West Action). The West Action names certain current and former members of our board of directors and certain current and former officers as defendants. The Company is also named as a nominal defendant. The plaintiff in the West Action asserts derivative claims for breach of fiduciary duty and insider trading arising out of substantially the same alleged facts and circumstances as the Securities Action. On January 16, 2026, the court entered an order staying the West Action until the earliest of the following events: (i) the public announcement of any settlement in the Securities Action; (ii) a ruling on the motion to dismiss the second amended complaint in the Securities Action; or (iii) the dismissal of the Securities Action with prejudice and exhaustion of all related appeals. We intend to vigorously defend against the West Action.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From time to time, we may be subject to various other legal proceedings and claims that arise in the ordinary course of our business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Regulation of Our Product Candidates</w:t>
      </w:r>
    </w:p>
    <w:p>
      <w:pPr>
        <w:spacing w:after="0" w:line="2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complete the preclinical or clinical development of, or to obtain regulatory approval for, our product candidates, our business would be significantly harmed.</w:t>
      </w:r>
    </w:p>
    <w:p>
      <w:pPr>
        <w:spacing w:after="0" w:line="9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All of our product candidates are currently in research or early clinical development. We have not completed clinical development of or obtained regulatory approval for any of our product candidates. Only a small percentage of research and development programs ultimately result in commercially successful products, and we cannot assure you that any of our product candidates will demonstrate the safety, purity and potency, or efficacy profiles necessary to support further preclinical study, clinical development or regulatory approval. In addition, we have historically focused on the development of cell therapies for cancer. We have limited prior experience in developing treatments for autoimmune diseases, and there are no cell therapies approved in the United States to treat autoimmune diseases.</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delays in, or pause or cancel our ongoing and planned clinical development activities or research and development activities for any of our product candidates for a variety of reasons, including:</w:t>
      </w:r>
    </w:p>
    <w:p>
      <w:pPr>
        <w:spacing w:after="0" w:line="54" w:lineRule="exact"/>
        <w:rPr>
          <w:sz w:val="20"/>
          <w:szCs w:val="20"/>
          <w:color w:val="auto"/>
        </w:rPr>
      </w:pPr>
    </w:p>
    <w:p>
      <w:pPr>
        <w:ind w:left="1020" w:right="1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optimizing the right dose and dosing schedule for our product candidates, which might result in a determination that a product candidate is ineffective, causes harmful side effects, or otherwise presents unacceptable safety risks during clinical trials or has an unfavorable toxicity profile in preclinical studies or early clinical trials to support initiating or continuing clinical investigation;</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or distributing a product candidate, including the inability to manufacture and distribute a product candidate in a sufficient quantity, suitable form, or in a cost-effective manner, or under protocols and processes and with materials and facilities acceptable to the U.S. Food and Drug Administration (FDA) or comparable foreign regulatory authorities for the conduct of clinical trials or for marketing approval;</w:t>
      </w:r>
    </w:p>
    <w:p>
      <w:pPr>
        <w:spacing w:after="0" w:line="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making arrangements with various medical divisions across hospitals or with other treatment centers for administration of our product candidates, including with treatment centers and relevant hospital divisions to perform infusion of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prioritization of certain of our product candidates for advancement or the emergence of competing products or product candidates developed by others, including a decision to cease research and development of any existing product candidate due to the potential obsolescence of our product candidate by a competing product or product candidate or our determination that another of our existing or future product candidates has greater potential for clinical development, regulatory approval, or commercialization, including potentially greater therapeutic benefit, a more favorable safety or efficacy profile, a more consistent or more cost effective manufacturing process, or a more favorable commercial profile, including greater market acceptance or commercial potential, or more advantageous intellectual property position;</w:t>
      </w:r>
    </w:p>
    <w:p>
      <w:pPr>
        <w:spacing w:after="0" w:line="80"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delays in trial execution which may result from our testing of multiple product candidates in the same indication in different clinical trials, as well as competition from biotechnology and pharmaceutical companies, universities, and other research institutions for patients, qualified investigators and clinical trial sites;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third parties, which may preclude us from developing, manufacturing or commercializing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a product candidate may be uneconomical to develop, manufacture, or commercialize;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market acceptance or third-party coverage and an adequate pricing and reimbursement profile;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or maintain relationships with strategic partners that may be necessary for advancement of a product candidate into or through clinical development, regulatory approval and commercialization in any particular indication(s) or geographic territory(ies); and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establishing predictive preclinical models for demonstration of safety and efficacy of a product candidate in one or more potential therapeutic areas for clinical development.</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Additionally, we will only be able to obtain regulatory approval to market a product candidate if we can demonstrate, to the satisfaction of the FDA or comparable foreign regulatory authorities, in well-designed and conducted clinical trials that such product candidate is manufactured in accordance with applicable regulatory requirements, is safe, pure and potent, or effective, and otherwise meets the appropriate standards required for approval for a particular indication. Our ability to obtain regulatory approval of our product candidates depends on, among other things, completion of additional preclinical studies, process development and manufacturing activities, and clinical trials, whether our clinical trials demonstrate statistically significant efficacy with safety profiles that do not potentially outweigh the therapeutic benefit, and whether regulatory agencies agree that the trial study design, conduct of, and the data from our clinical trials and our manufacturing operations are sufficient to support approval. In addition, the approval by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2" w:name="page33"/>
    <w:bookmarkEnd w:id="32"/>
    <w:p>
      <w:pPr>
        <w:ind w:right="20"/>
        <w:spacing w:after="0" w:line="254" w:lineRule="auto"/>
        <w:rPr>
          <w:sz w:val="20"/>
          <w:szCs w:val="20"/>
          <w:color w:val="auto"/>
        </w:rPr>
      </w:pPr>
      <w:r>
        <w:rPr>
          <w:rFonts w:ascii="Times New Roman" w:cs="Times New Roman" w:eastAsia="Times New Roman" w:hAnsi="Times New Roman"/>
          <w:sz w:val="18"/>
          <w:szCs w:val="18"/>
          <w:color w:val="auto"/>
        </w:rPr>
        <w:t>the FDA of new products in the same indications that we are studying may change the standard of care, and this may result in the FDA or other regulatory agencies requesting that we conduct additional studies to show that our product candidate is superior to the new standard of care. Securing regulatory approval also requires the submission of information about product manufacturing operations to, and inspection of manufacturing facilities by, the relevant regulatory authority. The results of our current and future clinical trials may not meet the FDA’s or other regulatory agencies’ requirements to approve a product candidate for marketing, and the regulatory agencies may otherwise determine that our manufacturing operations are insufficient to support approval. We may need to conduct preclinical studies and clinical trials that we currently do not anticipate, including as a result of changes in FDA policies or regulations or in the standard of care. If we fail to complete preclinical or clinical development of, or obtain regulatory approval for, our product candidates, we will not be able to generate any revenues from product sales and our ability to receive milestone or other payments under any collaboration agreements may be impaired, which will harm our business, prospects, financial condition and results of operations.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face delays in initiating, conducting or completing our clinical trials, and we may not be able to initiate, conduct or complete them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w:t>
      </w:r>
    </w:p>
    <w:p>
      <w:pPr>
        <w:spacing w:after="0" w:line="13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heavily dependent on our ability to complete the clinical development of, and obtain regulatory approval for, our product candidates. We have not completed the clinical trials necessary to support an application for approval to market any of our product candidates. We, or any investigators who initiate or conduct clinical trials of our product candidates, may experience delays in our current or future clinical trials, and we do not know whether we or our investigators will be able to initiate, enroll patients in, or complete, clinical trials of our product candidates on time, if at all. Current and future clinical trials of our product candidates may be delayed, unsuccessful or terminated, or not initiated at all, as a result of many factors, including factors related to:</w:t>
      </w:r>
    </w:p>
    <w:p>
      <w:pPr>
        <w:spacing w:after="0" w:line="79" w:lineRule="exact"/>
        <w:rPr>
          <w:sz w:val="20"/>
          <w:szCs w:val="20"/>
          <w:color w:val="auto"/>
        </w:rPr>
      </w:pPr>
    </w:p>
    <w:p>
      <w:pPr>
        <w:ind w:left="1020" w:right="2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recruiting eligible patients for participation in clinical trials of our product candidates, including pediatric patients who need parental consent;</w:t>
      </w:r>
    </w:p>
    <w:p>
      <w:pPr>
        <w:spacing w:after="0" w:line="53"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enrolling a sufficient number of suitable patients to conduct clinical trials of our product candidates, including difficulties resulting from limits on the availability of patients in sufficiently close proximity to clinical sites, patients enrolling in studies of therapeutic product candidates sponsored by us or our competitors and difficulties resulting from patient availability as a result of any measures taken by governmental authorities, hospitals, or clinical trial sites in response to any future public health crises or other serious disasters or similar events;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determining suitable doses and schedules of our novel cell product candidates for evaluation in clinical trials;</w:t>
      </w:r>
    </w:p>
    <w:p>
      <w:pPr>
        <w:spacing w:after="0" w:line="117" w:lineRule="exact"/>
        <w:rPr>
          <w:rFonts w:ascii="Times New Roman" w:cs="Times New Roman" w:eastAsia="Times New Roman" w:hAnsi="Times New Roman"/>
          <w:sz w:val="18"/>
          <w:szCs w:val="18"/>
          <w:color w:val="auto"/>
        </w:rPr>
      </w:pPr>
    </w:p>
    <w:p>
      <w:pPr>
        <w:jc w:val="both"/>
        <w:ind w:left="1020" w:right="46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from regulatory authorities on study endpoints and/or study duration, achieving study endpoints, the amount and sufficiency of data demonstrating efficacy and safety, and completing data analysis in clinical trials for any of our product candidates;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an Investigational New Drug (IND) application or IND amendment with the FDA to initiate or amend clinical trials of our current product candidates and any other product candidates that we may identify;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agreement with regulatory authorities on the preclinical safety and efficacy data, the manufacturing requirements, and the clinical trial design and parameters necessary for an IND application to go into effect to initiate and conduct clinical trials for any of our current product candidates and any other product candidates that we may develop;</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unexpected safety issues or adverse events in any ongoing or future clinical trials of our product candidates, including in trials of our product candidates conducted by investigator-sponsors;</w:t>
      </w:r>
    </w:p>
    <w:p>
      <w:pPr>
        <w:spacing w:after="0" w:line="53"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the support of clinical investigators and investigational sites, including investigators and sites who may conduct clinical trials under an investigator-sponsored IND with our financial support, and obtaining institutional review board (IRB) approval at each site for the conduct of our clinical trials;</w:t>
      </w:r>
    </w:p>
    <w:p>
      <w:pPr>
        <w:spacing w:after="0" w:line="6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third-party service providers and clinical trial sites, the terms of which can be subject to extensive negotiation and may vary significantly among different service providers and clinical trial sites;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certain of our product candidates consistently, and at acceptable quality levels and costs, in accordance with our protocol-specified manufacturing requirements and applicable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in obtaining sufficient quantities of suitable raw materials, components, and equipment necessary for the conduct of our clinical trials or the manufacture of any product candidate, including any inability to obtain materials as a result of supply chain issues related to any future public health crises or other serious disasters or ongoing or emerging global geopolitical tensions, including wars and other armed conflicts, or other factors;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left="1020" w:right="8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delays by us or by our clinical sites to obtain sufficient quantities of components and supplies necessary for the conduct of our clinical trials, including any inability to obtain agents such as cyclophosphamide or fludarabine which may be required to condition patients for treatment with our product candidates, or certain monoclonal antibodies which are intended for administration to patients in combination with many of our product candidates in certain of our clinical trials;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distributing our product candidates to clinical trial sites, or failure to establish effective protocols for the supply and transport of our product candidates;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clinical trials or manufacturing of our product candidates being greater than we anticipate, including due to rising inflation rates, or the timelines for these activities being longer than we anticipate;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investigators, third-party service providers, or clinical trial sites, to ensure the proper and timely conduct of and analysis of data from clinical trials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on clinical trial design and parameters with regulatory authorities, investigators, and IRBs;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5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data monitoring committees or regulatory agencies for a number of reasons, including after review of an IND submission or amendment, or equivalent application or amendment, as a result of a new safety finding that presents unreasonable risk to clinical trial participants, a negative finding from an inspection of our clinical trial operations or trial sites, developments in trials conducted by us or our competitors that raise concerns about the safety risk to patients of novel therapeutics derived from pluripotent or genome edited therapies and/or negative public perception of the same, or if the FDA or other foreign regulatory authorities find that the investigational protocol or plan is clearly deficient to meet its stated objectives;</w:t>
      </w:r>
    </w:p>
    <w:p>
      <w:pPr>
        <w:spacing w:after="0" w:line="7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clinical trials of product candidates in oncology indications, the serious, life-threatening diseases of the patients in our oncology clinical trials, who may die or suffer adverse medical events during the course of the trials for reasons that may not be related to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participation in a clinical trial or adhere to study protocols;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competitive agents or changes in the standard of care or treatment landscape on which a clinical development plan was based, which may require new or additional trials, or render our product candidates or clinical trial designs obsolete;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including any delays due to limitations on the availability of governmental and regulatory agency personnel to review regulatory filings, conduct site inspections or engage in discussions with us as a result of government shutdowns, any future public health crisis or other serious disaster or similar events, failure to obtain regulatory approval, or uncertainty or changes in U.S. or foreign regulatory requirements, policy or guidelines;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staffing and resources at our clinical trial sites to support our trials on a timely basis;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clinical trial conduct at our clinical trial sites resulting from prioritization of hospital and other medical resources toward other efforts, such as any future public health crisis or other serious disaster or similar events, policies and procedures implemented at clinical sites with respect to the conduct of clinical trials including those relating to site initiation, study monitoring, and data collection and analysis, and other precautionary measures taken in treating patients or in practicing medicine in response to various public health concerns.</w:t>
      </w:r>
    </w:p>
    <w:p>
      <w:pPr>
        <w:spacing w:after="0" w:line="7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If there are delays in initiating or conducting any clinical trials of our product candidates or any of these clinical trials are suspended or terminated before completion, the commercial prospects of our product candidates will be harmed. In addition, any delays in initiating, conducting or completing our clinical trials or adjustments to certain of our study protocols and procedures, including as a result of any shortage of materials or agents necessary to conduct our studies or as a result of any future public health crisis or other public health concerns or other factors, will increase our costs, slow down our product candidate development and regulatory approval process, and jeopardize our ability to gain regulatory approval, commence product sales and generate revenues. Furthermore, many of the factors that cause, or lead to, a delay in the initiation, conduct or completion of clinical trials may also ultimately lead to the denial of regulatory approval of our product candidates. Any of these occurrences would significantly harm our business, prospects, financial condition, results of operations, and market price of shares of our common stock.</w:t>
      </w:r>
    </w:p>
    <w:p>
      <w:pPr>
        <w:spacing w:after="0" w:line="84"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announce the expected timing of various scientific, clinical, regulatory, or other product development milestones. These milestones may include the filing or submission of regulatory filings, such as an IND or equivalent application, the commencement or expansion of clinical trials, or the development or release of data from our clinical trials. These milestones are and will be based on a variety of assumptions. If any of the foregoing factors impairs our ability to meet the announced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ind w:right="260"/>
        <w:spacing w:after="0" w:line="282" w:lineRule="auto"/>
        <w:rPr>
          <w:sz w:val="20"/>
          <w:szCs w:val="20"/>
          <w:color w:val="auto"/>
        </w:rPr>
      </w:pPr>
      <w:r>
        <w:rPr>
          <w:rFonts w:ascii="Times New Roman" w:cs="Times New Roman" w:eastAsia="Times New Roman" w:hAnsi="Times New Roman"/>
          <w:sz w:val="18"/>
          <w:szCs w:val="18"/>
          <w:color w:val="auto"/>
        </w:rPr>
        <w:t>timing of these milestones, we may experience significant harm to our business, prospects, financial condition, results of operations, and market price of shares of our common stock.</w:t>
      </w:r>
    </w:p>
    <w:p>
      <w:pPr>
        <w:spacing w:after="0" w:line="158"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and distribution of our cell product candidates, particularly our induced pluripotent stem cell (iPSC)-derived cell product candidates, is complex and subject to a multitude of risks. These risks could substantially increase our costs and limit the clinical and commercial supply of our product candidates, and the development and commercialization of our product candidates could be substantially delayed or restricted if the FDA or other regulatory authorities impose additional requirements on our manufacturing operations or if we are required to change our manufacturing operations to comply with regulatory requirements.</w:t>
      </w:r>
    </w:p>
    <w:p>
      <w:pPr>
        <w:spacing w:after="0" w:line="11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manufacture and supply of our cell product candidates involves novel processes that are more complex than those required for most small molecule drugs and other cellular immunotherapies, and accordingly present significant challenges and are subject to multiple risks. For our iPSC-derived product candidates, these complex processes include reprogramming human fibroblasts to obtain iPSCs, genetically engineering these iPSCs, and differentiating the iPSCs to obtain the desired cell product candidate. As a result of the complexities in manufacturing biologics and distributing cell therapies, the cost to manufacture and distribute biologics and cell therapies in general, and our cell product candidates in particular, is generally higher than for traditional small molecule chemical compounds. In addition, our cost of goods development is at an early stage. The actual cost to manufacture and process our product candidates could be greater than we expect and could materially and adversely affect our clinical trials and the commercial viability of our product candidates.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in the manufacture of cell-based therapies. We are still developing optimized and reproducible manufacturing processes for clinical and commercial-scale manufacturing of our product candidates, and none of our manufacturing processes have been validated for commercial production of our product candidates. We may face multiple challenges as we scale our manufacturing for large-scale clinical trials or commercial-scale including, among others, cost overruns, potential problems with process scale-up, process reproducibility, stability issues, compliance with good manufacturing practices, lot consistency and timely availability of raw materials. In addition, we are continuing to optimize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may make changes or be required by the FDA or other regulatory authorities to make changes to our manufacturing processes, including materials and equipment used in manufacturing our product candidates, as we continue to develop and refine the manufacturing and distribution processes for our product candidates for advanced clinical trials and commercialization, and we cannot be sure that even minor changes in these processes, materials, and equipment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9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processes for any products that we may develop are subject to FDA and foreign regulatory authority approval requirements, and we and any contract manufacturing organizations (CMOs) or other third-party manufacturers that we may engage for manufacturing our product candidates will need to meet all applicable FDA and foreign regulatory authority requirements on an ongoing basis. Our existing product candidates are currently manufactured by us and our current manufacturing operations, including protocols, processes, materials, and facilities, may not support regulatory approval of our existing product candidates. We may be required to identify alternative protocols, processes, materials or facilities for the manufacture of any of these product candidates in compliance with applicable regulatory requirements. In addition, we may be required to make changes to our protocols for the supply and transport of our product candidates to enable effective distribution of our product candidates. Any modifications to our manufacturing and supply protocols, processes, materials or facilities, and any delays in, or inability to, establish acceptable manufacturing and supply operations for our product candidates could require us to incur additional development costs or result in delays to our clinical development. If we or any CMOs or other third-party manufacturers that we may engage for manufacturing our product candidates are unable to reliably produce products to specifications acceptable to the FDA or other regulatory authorities, we may not obtain or maintain the regulatory approvals we need to commercialize such products. Even if we obtain regulatory approval for any of our product candidates, there is no assurance that either we or any CMOs or other third-party manufacturers that we may engage for manufacturing our product candidates will be able to manufacture the approved product to specifications acceptable to the FDA or other regulatory authorities, to produce it in sufficient quantities and on the requisite timelines to meet the requirements for the potential launch of the product, or to meet potential future demand. Additionally, changes in regulatory requirements may require us or any third-party manufacturers that we may engage for manufacturing our product candidates to perform additional studies or to modify protocols, processes, materials or facilities for the manufacture of our product candidates or any components thereof. Any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60"/>
        <w:spacing w:after="0" w:line="266" w:lineRule="auto"/>
        <w:rPr>
          <w:sz w:val="20"/>
          <w:szCs w:val="20"/>
          <w:color w:val="auto"/>
        </w:rPr>
      </w:pPr>
      <w:r>
        <w:rPr>
          <w:rFonts w:ascii="Times New Roman" w:cs="Times New Roman" w:eastAsia="Times New Roman" w:hAnsi="Times New Roman"/>
          <w:sz w:val="18"/>
          <w:szCs w:val="18"/>
          <w:color w:val="auto"/>
        </w:rPr>
        <w:t>these challenges could delay initiation or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172"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to our manufacturing operations, or the inability by us or our third-party suppliers or manufacturers to manufacture sufficient quantities of our product candidates at acceptable quality levels or costs, or at all, would materially and adversely affect our business.</w:t>
      </w:r>
    </w:p>
    <w:p>
      <w:pPr>
        <w:spacing w:after="0" w:line="9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Developing manufacturing processes to support clinical studies and commercialization requirements is a difficult and uncertain task, and there are risks associated with scaling to the level required for clinical trials or commercialization, including, among others, cost overruns, potential problems with process scale-out, process reproducibility, stability and purity issues, lot consistency, and timely availability of acceptable reagents and raw materials. If we are unable to scale to the level required for the conduct of clinical trials or commercialization, we may not be able to produce our product candidates in a sufficient quantity to conduct our ongoing and planned clinical trials, or to meet demand if any product candidates are approved for commercialization. We have not yet caused any of our product candidates to be manufactured or processed on a commercial scale and may not be able to do so for any of our product candidates.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our own internal manufacturing facilities in San Diego, California for the production of our product candidates, and we rely, and expect to continue to rely, on third parties for the manufacture of certain components to manufacture our product candidates for use in conducting clinical trials. The facilities used to manufacture our product candidates, including our own facilities, must be evaluated by the FDA or other foreign regulatory agencies pursuant to inspections that will be conducted after we submit an application to the FDA or other foreign regulatory agencies. If the FDA or a comparable foreign regulatory authority finds deficiencies with or does not approve these facilities for the manufacture of our product candidates or if it later finds deficiencies or withdraws any such approval in the future, we may not be able to locate additional or replacement facilities to produce such product candidates or materials in a timely manner and on commercially reasonable terms, or at all. This would significantly impact our ability to develop, obtain regulatory approval for or market our product candidates, if approved.</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we rely on our own manufacturing facilities to produce our product candidates and on third parties for the manufacture of certain components, we are required to transfer certain manufacturing process know-how and certain intermediates to third parties, including larger-scale facilities operated by a CMO or by us, to facilitate manufacture of our product candidates for clinical trials and commercialization. Transferring manufacturing testing and processes and know-how is complex and involves review and incorporation of both documented and undocumented processes that may have evolved over time. In addition, transferring production to different facilities may require utilization of new or different processes to meet the specific requirements of a given facility. We and any CMOs or third parties that we engage to manufacture our product candidates will need to conduct significant development work to transfer these processes and manufacture each of our product candidates for clinical trials and commercialization. In addition, we may be required to demonstrate the comparability of material generated by any CMO or third parties that we engage for manufacturing our product candidates with material previously produced and used in testing. Any inability to manufacture comparable drug product by us or any CMOs or third parties that we engage to manufacture our product candidates could delay the continued development of our product candidates.</w:t>
      </w:r>
    </w:p>
    <w:p>
      <w:pPr>
        <w:spacing w:after="0" w:line="19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to relying on third parties for the manufacture of certain components used in the manufacture of our product candidates, we manufacture our product candidates ourselves, including all of the clinical supply of our iPSC-derived NK-cell and T-cell product candidates for our ongoing and planned clinical trials. We will need to scale up our own manufacturing operations, as we do not currently have the infrastructure or capability internally to manufacture sufficient quantities of each of our product candidates to support commercialization of each of our product candidates, if approved. Accordingly, we will be required to make significant investments to maintain and expand our existing Good Manufacturing Practice (GMP) manufacturing capabilities and facilities, establish additional GMP manufacturing facilities, conduct GMP production, and process and scale up development and technology transfer activities for the manufacture of our product candidates, and our efforts to scale our own manufacturing operations may not succeed.</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we are successful in developing manufacturing capabilities sufficient for clinical and commercial supply, problems with our manufacturing operations or those of the third-party manufacturers upon which we rely, including difficulties with production costs and yields, quality control, stability of the product, quality assurance testing, operator error, shortages of qualified personnel, shortages of materials and supplies, facility shutdowns, global pandemics or other public health concerns, global geopolitical tensions, including wars and other armed conflicts, natural disasters (including due to the effects of climate change) or other reasons, as well as compliance with strictly enforced federal, state and foreign regulations, could result in product defects or manufacturing failures that result in lot failures, product recalls, product liability claims or insufficient supplies of our product candidates for our ongoing and planned clinical trials or eventual commercialization. Further, delays in regulatory inspections, commissioning and receiving regulatory approvals for our manufacturing capabilities or facilities, including any new facilities could delay our development plans,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t>including the initiation and conduct of our ongoing and planned clinical trials. In addition, we and our third-party manufacturers may have limited manufacturing capacity for certain product candidates or components used in manufacturing our product candidates, and we may fail to locate suitable additional or replacement manufacturing capacity, including for the manufacture of our product candidates in compliance with current GMP (cGMP) or current Good Tissue Practice (cGTP), on a reasonable basis or at all. Any such failure could be the basis for the FDA or other regulatory authorities to issue a FDA Form 483,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Furthermore, certain of the components currently used in manufacturing our product candidates are research-grade only, and we may encounter problems obtaining or achieving adequate quantities and quality of clinical grade materials that meet FDA, European Medicines Agency, or other standards or specifications applicable in the United States or in other countries with consistent and acceptable production yields and costs. In addition, if contaminants are discovered in our supply of product candidates or in our manufacturing facilities or those of our third-party suppliers and manufacturers, such manufacturing facilities may be closed for an extended period of time to investigate and remedy the contamination. Any such events could delay or prevent our ability to obtain regulatory approval for or commercialize our product candidates, which would adversely affect our business, prospects, financial condition and results of operations.</w:t>
      </w:r>
    </w:p>
    <w:p>
      <w:pPr>
        <w:spacing w:after="0" w:line="185"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approach to the development of product candidates is based on novel and unproven technologies, it is subject to a substantial degree of technological uncertainty and we may not succeed in developing any of our product candidates.</w:t>
      </w:r>
    </w:p>
    <w:p>
      <w:pPr>
        <w:spacing w:after="0" w:line="9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 xml:space="preserve">All of our current product candidates are based on our novel iPSC platform, and some of our product candidates utilize novel genome editing technologies. To date, no iPSC-derived therapeutic product candidates have been approved in the United States or worldwide, and there have been only a limited number of regulatory approvals of genome edited therapeutics, and similarly a limited number of clinical trials involving the use of a therapeutic product candidate manufactured using a master iPSC line or genome edited cells. The development of such complex cell therapies is a relatively new and emerging field, and the scientific research that forms the basis of our efforts to discover and develop iPSC-derived and genome edited cellular immunotherapies is ongoing; this is particularly true in relation to the development of cell therapies for the treatment of autoimmune diseases where there is limited clinical data available and where we have limited prior experience. We may determine to incorporate information learned from this research into the design of our ongoing Phase 1 clinical trials of our iPSC product candidates, as well as our planned future clinical trials, which could delay or impair our clinical development activities. We may ultimately discover that our product candidates do not possess certain properties required for therapeutic effectiveness or protection from toxicity in our target patient populations, or they may exhibit undesirable side effects as more patient data become available. In addition, our product candidates may demonstrate different chemical and pharmacological properties in patients than they do in laboratory studies. It may take many years before we develop a full understanding of the pharmacological properties of our product candidates, and we may never know precisely how they function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with any new biologic or drug product developed using novel technologies, our product candidates have an unknown immunogenicity profile. As a result, our cellular immunotherapy product candidates may trigger immune responses that inhibit their therapeutic effects or cause adverse side effects. In addition, one or more of our product candidates may:</w:t>
      </w:r>
    </w:p>
    <w:p>
      <w:pPr>
        <w:spacing w:after="0" w:line="8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found ineffective or cause harmful side effects during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receive necessary regulatory approvals on a timely basis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precluded from commercialization by proprietary rights of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difficult to manufacture on a large scale;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uneconomical to commercialize or fail to achieve market acceptance.</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Any such problems that affect one of our product candidates may have an unfavorable impact on all of our product candidates. As a result, we may never succeed in developing a marketable product and we may never become profitable, which would have an adverse effect on our business, prospects, financial condition, results of operations, and market price of shares of our common stock.</w:t>
      </w:r>
    </w:p>
    <w:p>
      <w:pPr>
        <w:spacing w:after="0" w:line="172" w:lineRule="exact"/>
        <w:rPr>
          <w:sz w:val="20"/>
          <w:szCs w:val="20"/>
          <w:color w:val="auto"/>
        </w:rPr>
      </w:pPr>
    </w:p>
    <w:p>
      <w:pPr>
        <w:ind w:right="3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our current product candidates and any future product candidates may be used in combination with third-party drugs or biologics, some of which may still be in development, and we have limited or no control over the supply, regulatory status, or regulatory approval of such drugs or biologics.</w:t>
      </w:r>
    </w:p>
    <w:p>
      <w:pPr>
        <w:spacing w:after="0" w:line="9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Certain of our product candidates are being developed for use in combination with one or more other therapies, such as monoclonal antibodies, and other current or future product candidates may be used in combination with other biologics or drugs, both approved and unapproved, such as fludarabine. Our ability to develop and ultimately commercialize our current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8"/>
          <w:szCs w:val="18"/>
          <w:color w:val="auto"/>
        </w:rPr>
        <w:t>and any future product candidates used in combination with another drug or biologic will depend on our ability, or the ability of third-party clinical trial sites on which we rely, to access such drugs or biologics on commercially reasonable terms for the clinical trials and their availability for use with the commercialized product, if approved. We cannot be certain that we, or third-party clinical trial sites on which we rely, will be able to secure a steady supply of such drugs or biologics on commercially reasonable terms or at all.</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Any failure by us, or by third-party clinical trial sites on which we rely, to secure a steady supply of such drugs or biologics may delay our development timelines, increase our costs and jeopardize our ability to develop our current product candidates and any future product candidates as commercially viable therapies. If any of these occur, our business, financial condition, results of operations, stock price and prospects may be materially harmed.</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For example,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or any of our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quality, manufacturing and supply issues, and changes to the standard of care.</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any collaborator or supplier cannot continue to supply their products on commercially reasonable terms, we would need to identify alternatives for accessing such products. Additionally, should the supply of products from any collaborator or supplier be interrupted, delayed or otherwise be unavailable, our clinical trials may be delayed. In the event we are unable to source an alternative supply or are unable to do so on commercially reasonable terms, our business, financial condition, results of operations, stock price and prospects may be materially harmed.</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a third-party clinical trial site on which we rely sources a combination therapy itself and does not submit the costs of such therapy to government programs or patients’ insurance, the costs of such therapy may be passed on to us, which could harm our business, financial condition, results of operations, stock price and prospects.</w:t>
      </w:r>
    </w:p>
    <w:p>
      <w:pPr>
        <w:spacing w:after="0" w:line="172" w:lineRule="exact"/>
        <w:rPr>
          <w:sz w:val="20"/>
          <w:szCs w:val="20"/>
          <w:color w:val="auto"/>
        </w:rPr>
      </w:pPr>
    </w:p>
    <w:p>
      <w:pPr>
        <w:jc w:val="both"/>
        <w:ind w:right="44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encounter difficulties enrolling patients in our clinical trials, including as a result of challenges in identifying and recruiting eligible patients to participate in our trials or competition for patients, our clinical development activities could be delayed or otherwise adversely affected.</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required to identify and enroll a sufficient number of patients with the disease under investigation for each of our ongoing and planned clinical trials of our product candidates, and we may not be able to identify and enroll a sufficient number of patients, or those with required or desired characteristics and who meet certain criteria, in a timely manner. In addition, we will be competing with other clinical trials of product candidates being developed by our competitors in the same therapeutic areas, and potential patients who might be eligible for enrollment in one of our clinical trials may instead choose to enroll in a trial being conducted by one of our competitors. We may also face an unwillingness of sites to participate in our clinical trials. A number of cell therapy companies have recently commenced clinical trials for the treatment of autoimmune diseases, which has increased competition for investigators and for patients for our ongoing and any future clinical trials that we may initiate for the treatment of autoimmune diseases.</w:t>
      </w:r>
    </w:p>
    <w:p>
      <w:pPr>
        <w:spacing w:after="0" w:line="18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ability, and the ability of investigators, to enroll patients in our ongoing and planned clinical trials of our product candidates is affected by factors including:</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clinical trial sites and recruit clinical trial investigators with the appropriate capabilities, competencies and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solicit and recruit a sufficient number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and whether the FDA and other foreign regulatory agencies agree to the design and implementation of the trial;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small size and nature of the patient populations for certain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clinical trials in question;</w:t>
      </w:r>
    </w:p>
    <w:p>
      <w:pPr>
        <w:spacing w:after="0" w:line="11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and parents’ (for pediatric patients) perceptions as to the potential risks and benefits of the product candidate under study in relation to other available therapies, including any perceived risks associated with our iPSC-derived product candidates, which we believe are the first ever iPSC-derived cell therapies cleared by the FDA for clinical investigation in the United States, or with our chimeric antigen receptor (CAR) T-cell therapies broadly following FDA’s investigation into reports of T-cell malignancies for B-cell maturation antigen (BCMA)- and CD19-directed autologous CAR T-cell therapies, and perceived risks associated with the novel use of cell therapies for the treatment of autoimmune diseases, where there are no FDA-approved cell therapies and limited clinical precedent;</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practice patterns or guidelines related to the indications we are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time and resources at the limited number of institutions at which our clinical trials are or will be conducted, including any constraints on resources, or policies and procedures implemented, at hospitals and clinical trial sites as a result of any natural disaster or public health crisis;</w:t>
      </w:r>
    </w:p>
    <w:p>
      <w:pPr>
        <w:spacing w:after="0" w:line="67"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components and agents necessary to enroll and treat prospective patients in our clinical trials, including agents which may be required to condition patients or monoclonal antibodies which are intended for administration to patients in combination with our product candidates, in certain of our clinical trials;</w:t>
      </w:r>
    </w:p>
    <w:p>
      <w:pPr>
        <w:spacing w:after="0" w:line="6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including through remote monitoring if required as a result of precautionary changes implemented at clinical trial sites as a result of any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development of certain of our product candidates as treatment for autoimmune diseases represents a novel approach, and no cell therapies have been approved for commercial use for the treatment of autoimmune diseases. As a consequence, use of cell therapies such as our product candidates for the treatment of autoimmune diseases may not gain the acceptance of the public or medical community. Our ability to enroll patients in our clinical trials for treatment of autoimmune diseases will depend upon the treatment practices of physicians who specialize in the treatment of autoimmune diseases targeted by our product candidates, and enrollment in our clinical trials may be impaired if physicians are reluctant to enroll patients into our clinical trials in lieu of, or in addition to, using existing treatments with which they are more familiar and for which more clinical data may be available. In addition, patient populations targeted for autoimmune diseases by our product candidates are typically not at risk of near-term death, even if they may suffer life-threatening symptoms, so these patients will need to deem the potential benefits of our cell therapy product candidates to be worth the risk of unknown potential adverse side effects. Furthermore, autoimmune disease patients and their physicians may choose to use conventional therapies, such as corticosteroids or systemic immunosuppressive medications, rather than participate in our clinical trials.</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that are in the same therapeutic areas as our product candidates. This competition will reduce the number of clinical trial sites and patients available to us because some clinical trial sites and patients may opt to participate in a trial being conducted by a competitor rather than participate in our clinical trials. If we have difficulty enrolling a sufficient number of patients to conduct our clinical trials as planned, we may need to delay or terminate ongoing or planned clinical trials, either of which would have an adverse effect on our business, prospects, financial condition, results of operations, and market price of shares of our common stock.</w:t>
      </w:r>
    </w:p>
    <w:p>
      <w:pPr>
        <w:spacing w:after="0" w:line="179"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clinical development of our product candidates could be substantially delayed if we are required to conduct unanticipated studies, including preclinical studies or clinical trials, or if the FDA or other regulatory authorities impose other requirements or restrictions including on the manufacture, of our product candidates.</w:t>
      </w:r>
    </w:p>
    <w:p>
      <w:pPr>
        <w:spacing w:after="0" w:line="10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FDA or other regulatory authorities may require us to generate additional preclinical, product, manufacturing, or clinical data as a condition to continuing our current clinical trials, or initiating and conducting any future clinical trials of our current product candidates or other cell product candidates that we may identify. Additionally, the FDA or other regulatory authorities may in the future have comments, or impose requirements, on the conduct of our clinical trials or the initiation of clinical trials or any of our other iPSC-derived cell product candidates, including the protocols, processes, materials and facilities we use to manufacture our product candidates and potential future product candidates in support of clinical trials. Any requirements to generate additional data, or redesign or modify our protocols, processes, materials or facilities, or other additional comments, requirements or impositions by the FDA or other regulatory authorities, may cause delays in the initiation or conduct of current or future clinical trials for our product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candidates and subsequent development activities for our product candidates,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Further, if the results of our clinical trials are inconclusive, or if there are safety concerns or adverse events associated with our existing product candidates or any other product candidates we may identify, we may:</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regulatory approval for such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amend the protocols for our clinical trials, perform additional nonclinical studies or clinical trials to support approval or be subject to additional post-marketing testing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or contraindications;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product candidate is approved, have regulatory authorities withdraw their approval of the product or impose restrictions on its use.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our current and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In addition, changes in regulatory policies under current or future U.S. presidential administrations may result in delays in the regulatory review and approval process and cause uncertainty regarding approval pathways. If we fail to meet the requirements to support continued clinical development, our clinical development activities for any of our product candidates are delayed or suspended, or we fail to obtain or maintain regulatory approvals with an acceptable scope, our business, prospects, financial condition and results of operations will be harmed.</w:t>
      </w:r>
    </w:p>
    <w:p>
      <w:pPr>
        <w:spacing w:after="0" w:line="188"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11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focus on the development of programmed cellular immunotherapies for patients, including off-the-shelf NK- and T-cell product candidates derived from clonal master engineered iPSC lines. Because our iPSC product platform is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We have also expanded our research and development efforts into areas outside of our initial focus in oncology, such as autoimmune diseases, where we have limited experience. Due to these factors, our spending on current and future research and development programs and product candidates and the scientific innovation arising from these expenditures, may not yield commercially viable product candidates.</w:t>
      </w:r>
    </w:p>
    <w:p>
      <w:pPr>
        <w:spacing w:after="0" w:line="184"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conduct of clinical trials, patients may report changes in their health, including illnesses, injuries and discomforts, to their doctor. Often, it is not possible to determine whether or not the product candidate being studied caused these conditions. Regulatory authorities may draw different conclusions and may require us to pause our clinical trials or require additional testing to confirm these determinations, if they occur. Drug-related side effects could also affect patient recruitment or the ability of enrolled patients to complete the trial or result in potential product liability claims.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0" w:name="page41"/>
    <w:bookmarkEnd w:id="40"/>
    <w:p>
      <w:pPr>
        <w:ind w:right="340"/>
        <w:spacing w:after="0" w:line="282" w:lineRule="auto"/>
        <w:rPr>
          <w:sz w:val="20"/>
          <w:szCs w:val="20"/>
          <w:color w:val="auto"/>
        </w:rPr>
      </w:pPr>
      <w:r>
        <w:rPr>
          <w:rFonts w:ascii="Times New Roman" w:cs="Times New Roman" w:eastAsia="Times New Roman" w:hAnsi="Times New Roman"/>
          <w:sz w:val="18"/>
          <w:szCs w:val="18"/>
          <w:color w:val="auto"/>
        </w:rPr>
        <w:t>may be reported by subjects or patients. Many times, drug-related side effects are only detectable after investigational products are tested in large-scale pivotal trials or, in some cases, after they are made available to patients on a commercial scale after approval.</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Currently approved CAR T-cell therapies and those under development have shown frequent rates of adverse events, including infection, cytokine release syndrome (CRS), and Immune Effector Cell-Associated Neurotoxicity Syndrome (ICANS), and some adverse events have resulted in patient deaths. In clinical trials of our current product candidates, adverse events have occurred and there is a possibility that our current or future product candidates could cause similarly life threatening serious adverse events such as CRS and ICANS. Additionally, preconditioning regimens, such as those currently implemented in certain regimens of our clinical trials, may increase the risk of occurrence and severity of adverse side effects including infection, prolonged or persistent cytopenias, and ICANS. Patients in our clinical trials receiving preconditioning treatment may experience increased or more severe adverse effects specifically related to the preconditioning regimen, including allergic reactions, shortness of breath, fevers, infections, low blood counts, development of certain cancers, loss of fertility, temporary hair loss, and organ dysfunction. Furthermore, because certain autoimmune diseases we seek to treat may be less serious than the later stage cancers traditionally being treated with cell therapies or other immunotherapy products, we believe the FDA and other regulatory authorities will apply a different benefit-risk threshold such that any potential harmful side effects may outweigh the benefits of our product candidates and require us to cease clinical trials or result in denial of regulatory approval of our product candidates in autoimmune disease indications. Tolerance for adverse events in the autoimmune disease patient populations being pursued with cell-based therapies, such as in patients in our FT819 clinical trial for the treatment of SLE and other autoimmune disease indications, is expected to be lower than it is in oncology, and the risks of negative impacts from these toxicities may therefore be greater for our autoimmune programs than for our oncology programs or the oncology programs of others. Medical personnel using our product candidates may also need additional training to understand the potential side effect profile and potential toxicities associated with treatment with cellular immunotherapies, including FT819, and to appropriately recognize and manage any side effects that may occur in our clinical trials. Inadequate management of the potential side effects could result in patient deaths. Undesirable side effects, whether associated with our product candidate or with a preconditioning regimen, may delay patient enrollment in our clinical trials, and cause us or regulatory authorities to interrupt, delay, or halt clinical trials. Any undesirable side effects could result in changes to our clinical trial design and development strategy, a more restrictive label, or the delay, denial, or revocation of regulatory approval by the FDA or foreign regulatory authorities. Any such delay or failure as a result of undesirable side effects would harm our business, financial condition, results of operations and prospects.</w:t>
      </w:r>
    </w:p>
    <w:p>
      <w:pPr>
        <w:spacing w:after="0" w:line="184" w:lineRule="exact"/>
        <w:rPr>
          <w:sz w:val="20"/>
          <w:szCs w:val="20"/>
          <w:color w:val="auto"/>
        </w:rPr>
      </w:pPr>
    </w:p>
    <w:p>
      <w:pPr>
        <w:jc w:val="both"/>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be adversely affected by investigators’ limited experience with CAR-T cell therapies, including lack of familiarity with CAR-T-specific safety profiles and adverse events, which could impact patient safety, safety reporting, and the interpretation of clinical trial results.</w:t>
      </w:r>
    </w:p>
    <w:p>
      <w:pPr>
        <w:spacing w:after="0" w:line="9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product candidates are CAR-T cell therapies, which are associated with unique and potentially severe safety risks, including CRS, ICANS, prolonged cytopenias, infections, and other immune-mediated or delayed adverse events. The identification, grading, management, and timely reporting of these adverse events require specialized training and experience that differ significantly from those required for traditional therapies.</w:t>
      </w:r>
    </w:p>
    <w:p>
      <w:pPr>
        <w:spacing w:after="0" w:line="17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Many clinical trial investigators, site personnel, and institutions have limited prior experience conducting clinical trials involving CAR-T cell therapies or managing their associated toxicities. As a result, investigators or site staff may not promptly recognize, accurately grade, or appropriately manage CAR-T-related adverse events, or may inconsistently apply applicable grading criteria, management guidelines, or reporting requirements. Inadequate or delayed identification and reporting of safety events could increase risks to patients, lead to incomplete or inconsistent safety data, or result in inaccurate characterization of the safety profile of our product candidates.</w:t>
      </w:r>
    </w:p>
    <w:p>
      <w:pPr>
        <w:spacing w:after="0" w:line="18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addition, variability in investigator experience with CAR-T therapies may contribute to inconsistent safety monitoring, delayed intervention, protocol deviations, or incomplete adverse event documentation across trial sites. These factors could complicate data interpretation, limit comparability across study cohorts or sites, and negatively affect discussions with regulatory authorities. Addressing such issues may require additional investigator training, increased monitoring, site remediation, or the replacement of clinical trial sites, which could increase costs, delay trial timelines, and divert management resources.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ensure that investigators and site personnel have sufficient expertise in the administration of CAR-T cell therapies and the management and reporting of CAR-T-associated adverse events, our clinical trials may be delayed, suspended, or terminated, regulatory approvals may be delayed or denied, and the commercial prospects for our product candidates could be materially adversely affected.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are being developed for the treatment of patient populations with significant comorbidities, particularly in the case of oncology patients, that may result in deaths or serious adverse events or unacceptable side effects and require us to abandon or limit our clinical development activities.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Patients treated with our current product candidates, particularly in our clinical trials in oncology indications, may also receive chemotherapy, radiation, and/or other high dose or myeloablative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In particular, the oncology diseases we are studying have complex comorbidities and the patients enrolled in those studies are often critically ill.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 and the value of our common stock would decline.</w:t>
      </w:r>
    </w:p>
    <w:p>
      <w:pPr>
        <w:spacing w:after="0" w:line="184" w:lineRule="exact"/>
        <w:rPr>
          <w:sz w:val="20"/>
          <w:szCs w:val="20"/>
          <w:color w:val="auto"/>
        </w:rPr>
      </w:pPr>
    </w:p>
    <w:p>
      <w:pPr>
        <w:jc w:val="both"/>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product candidates are based on novel technologies, it is difficult to predict the regulatory approval process and the time, the cost and our ability to successfully initiate, conduct and complete clinical development, and obtain the necessary regulatory and reimbursement approvals, required for commercialization of our product candidates, if approved.</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cell programming technology and platform for generating cell therapy products using iPSCs represent novel therapeutic approaches, and to our knowledge there are currently no iPSC-derived cell products approved anywhere in the world for commercial sale. As such, it is difficult to accurately predict the type and scope of challenges we may incur during development of our product candidates, and we face uncertainties associated with the preclinical and clinical development, manufacture and regulatory requirements for the initiation and conduct of clinical trials, regulatory approval, and reimbursement required for successful commercialization of these product candidates. In addition, because our iPSC-derived cell product candidates are all in the early clinical or preclinical stage, we are currently assessing safety in humans and have not yet been able to assess the long-term effects of treatment. Animal models and assays may not accurately predict the safety and efficacy of our product candidates in our target patient populations, and appropriate models and assays may not exist for demonstrating the safety and purity of our product candidates, as required by the FDA and other regulatory authorities for ongoing clinical development and regulatory approval.</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preclinical and clinical development, manufacture, and regulatory requirements for approval of novel product candidates such as ours can be more expensive and take longer than for other more well-known or extensively studied pharmaceutical or biopharmaceutical product candidates due to a lack of prior experiences on the side of both developers and regulatory agencies. Cellular immunotherapies, and iPSC-derived cell therapies in particular, represent relatively new therapeutic areas, and the FDA has cautioned consumers about potential safety risks associated with cell therapies. For example, in January 2024, the FDA determined that new safety information related to T-cell malignancies should be included in the labeling with boxed warning language on these malignancies for all BCMA- and CD19-directed genetically modified autologous T-cell immunotherapies. To date, there are relatively few approved cell therapies as treatments for cancer, and no cell-based therapies have been approved for commercial use for the treatment of an autoimmune disease. Currently, all approved CAR T-cell immunotherapies are in oncology indications, and there can be no assurance that the FDA will find the risks of treatment with cell therapy acceptable in other indications, such as autoimmune diseases. Additionally, due to the uncertainties associated with the preclinical and clinical development, manufacture, and regulatory requirements for approval of our product candidates, we may be required to modify or change our preclinical and clinical development plans or our manufacturing activities and plans, or be required to meet stricter regulatory requirements for approval. Any such modifications or changes could delay or prevent our ability to develop, manufacture, obtain regulatory approval or commercialize our product candidates, which would adversely affect our business, financial condition and results of operations.</w:t>
      </w:r>
    </w:p>
    <w:p>
      <w:pPr>
        <w:spacing w:after="0" w:line="183"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obtain regulatory approval from the FDA or comparable foreign regulatory authorities for our product candidates, which would prevent or delay commercialization and adversely affect our business.</w:t>
      </w:r>
    </w:p>
    <w:p>
      <w:pPr>
        <w:spacing w:after="0" w:line="15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development, testing, manufacture and commercialization of our product candidates are subject to extensive regulation by the FDA and comparable foreign regulatory authorities. The regulatory approval process for novel product candidates such as ours is particularly uncertain and may be more expensive and take longer than the approval process for cell therapy product candidates based on other, better known or more extensively studied technologies and therapeutic approaches. As a result, we cannot assure that any of our product candidates will receive regulatory approval in the United States or in any other jurisdiction.</w:t>
      </w:r>
    </w:p>
    <w:p>
      <w:pPr>
        <w:spacing w:after="0" w:line="1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a comparable foreign regulatory authority for many reasons, including:</w:t>
      </w:r>
    </w:p>
    <w:p>
      <w:pPr>
        <w:spacing w:after="0" w:line="54" w:lineRule="exact"/>
        <w:rPr>
          <w:sz w:val="20"/>
          <w:szCs w:val="20"/>
          <w:color w:val="auto"/>
        </w:rPr>
      </w:pPr>
    </w:p>
    <w:p>
      <w:pPr>
        <w:ind w:left="5540" w:right="5520" w:hanging="5023"/>
        <w:spacing w:after="0" w:line="532" w:lineRule="auto"/>
        <w:tabs>
          <w:tab w:leader="none" w:pos="10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conduct of our clinical studies;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a favorable benefit-risk profile for a product candidate for its proposed 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stability, safety, purity and potency of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sites to conduct studies in accordance with applicable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studies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studies;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data collected from clinical studies to support the submission, filing or approval of a biologics license application (BLA) or other regulatory submission;</w:t>
      </w:r>
    </w:p>
    <w:p>
      <w:pPr>
        <w:spacing w:after="0" w:line="53"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reach agreement with the FDA or comparable foreign regulatory authorities on the methodologies for, and assessment of, comparability of different versions of a product candidate used in non-pivotal studies, pivotal studies and for intended commercial use;</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our manufacturing processes or of our own manufacturing facilities;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inconsistencies in requested or required methodologies, statistical analyses, specification criteria or regulatory submission requirements for a product candidate, including changes to, or inconsistencies with, applicable industry practice or precedent; or</w:t>
      </w:r>
    </w:p>
    <w:p>
      <w:pPr>
        <w:spacing w:after="0" w:line="53"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approval policies or regulations, or changes in positions, guidance or feedback communicated by the FDA or comparable foreign regulatory authorities, that render our preclinical or clinical data insufficient to support approval or otherwise negatively impact the potential approval of a product candidate.</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Regulatory requirements in the United States and in other countries governing the development of cell therapy products and therapeutic products created with gene editing technology have changed frequently and the FDA or other regulatory bodies may change the requirements, or identify different regulatory pathways, for approval for any of our product candidates. For example, as regulatory expectations regarding cell therapy products and products created with gene editing technology continue to evolve, the FDA could require additional testing or new testing of products created with gene editing technology, including our product candidates, and any such additional FDA requirements for approval for any of our product candidates may adversely impact or slow development of our product candidates. The FDA previously established the Office of Tissues and Advanced Therapies (OTAT) within the Center for Biologics Evaluation and Research (CBER) to consolidate the review of cell therapy and related products, and to advise CBER on its review. In September 2022, the FDA announced retitling of OTAT to the Office of Therapeutic Products (OTP) and elevation of OTP to a “Super Office” to meet its growing cell and gene therapy workload and new commitments under the Prescription Drug User Fee Act agreement for fiscal years 2023-2027. It is possible that over time and with new leadership direction at the FDA that new or different divisions may be established or be granted the responsibility for regulating cell and/or gene therapy products, including iPSC-derived cell products made with gene editing technology, such as ours. The regulatory review divisions and committees, and any new guidelines they promulgate, may lengthen the regulatory review process, require us to perform additional studies or clinical trials, and delay or prevent development, approval, and commercialization of our product candidates.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market any product outside of the United States, we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must obtain the necessary approvals by the comparable foreign regulatory authorities before commencing clinical trials or marketing of the product in those countries or jurisdictions. For example, the process governing approval of medicinal products in the European Union generally follows the same lines as in the United States but can differ in significant ways. It entails the satisfactory completion of preclinical studies and adequate and well-controlled clinical trials to establish the safety and efficacy of the product for each proposed indication. It also requires the submission of a marketing authorization application to the relevant competent authorities and the granting of a marketing authorization by those authorities before the product can be marketed and sold in the European Union.</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result, we may be required to change our regulatory strategy or to modify our applications for regulatory approval, which could delay and impair our ability to complete the preclinical and clinical development and manufacture of, and obtain regulatory approval for, our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our product candidates or lead to significant post-approval limitations or restrictions. As we advance our product candidates, we will be required to consult with the FDA and other regulatory authorities, and our product candidates will likely be reviewed by an FDA advisory committee. Any guidance we receive from the FDA or other foreign regulatory authorities is subject to change. These regulatory authorities could change their position, including on the acceptability of our clinical trial designs or the clinical endpoints selected in our clinical trials, which may require us to complete additional clinical trials or result in stricter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line="266" w:lineRule="auto"/>
        <w:rPr>
          <w:sz w:val="20"/>
          <w:szCs w:val="20"/>
          <w:color w:val="auto"/>
        </w:rPr>
      </w:pPr>
      <w:r>
        <w:rPr>
          <w:rFonts w:ascii="Times New Roman" w:cs="Times New Roman" w:eastAsia="Times New Roman" w:hAnsi="Times New Roman"/>
          <w:sz w:val="18"/>
          <w:szCs w:val="18"/>
          <w:color w:val="auto"/>
        </w:rPr>
        <w:t>conditions for obtaining regulatory approval for our product candidates. We also must comply with applicable requirements, and if we fail to do so, we may be required to delay or discontinue development of our product candidates. Delays or unexpected costs in obtaining, or the failure to obtain, the regulatory approval necessary to bring a potential product to market could impair our ability to generate sufficient product revenues to maintain our business.</w:t>
      </w:r>
    </w:p>
    <w:p>
      <w:pPr>
        <w:spacing w:after="0" w:line="172"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Preliminary data and interim results we disclose may change as more patient data becomes available or as we make changes to our protocols or manufacturing processes, and such interim results and results from earlier studies may not be predictive of the final results, or of later studies or future clinical trials.</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disclose results from preclinical testing or preliminary data or interim results from clinical studies of our product candidates. Such results from preclinical testing, process development and manufacturing activities, and clinical studies, including interim clinical trial results as of specified data cutoff dates and results of earlier clinical studies with similar product candidates, are not necessarily predictive of future results, including later clinical trial results.</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results of our current and future clinical trials may differ from results achieved in earlier preclinical and clinical studies for a variety of reasons, including:</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demonstrate the potency and efficacy benefits observed in previous studies;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improve, standardize and automate the manufacture and supply of our product candidates and any resulting deviations in the manufacture of our product candidates, may adversely affect the safety, purity, potency, stability, or efficacy of such product candidates;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study design, including differences in conditioning regimens, eligibility criteria, and patient populations;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the standard of care may affect our ability to demonstrate efficacy or achieve study endpoints in our current or future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or adverse events in patients who enroll in our current or future clinical trials.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some of the data from clinical trials of our product candidates performed to date were generated from open-label studies, and these studies are being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treatment regimen patients have received and may interpret the information of the treated group more favorably given this knowledge. Accordingly, the preliminary data from our clinical trials of our product candidates may not be predictive of future clinical trial results for these or other future product candidates when studied in a controlled environment or larger patient populations.</w:t>
      </w:r>
    </w:p>
    <w:p>
      <w:pPr>
        <w:spacing w:after="0" w:line="19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also publish interim, “top-line,” or preliminary data from our clinical studies based on a preliminary analysis of then-available data. Preliminary or interim data from clinical trials that we are conducting are subject to the risk that one or more of the clinical outcomes may materially change as patient enrollment continues, the duration of treatment increases and more patient data become available. For example, although we have, from time to time, reported positive interim clinical data for certain of our clinical programs, we may encounter dose-limiting toxicities or unacceptable side effects for these product candidates as dose escalation and expansion progresses in our clinical trials and additional patient data become available. Our preliminary or interim results and related conclusions also are subject to change following a more comprehensive review of the data related to the particular study or trial.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 financial condition and results of operations.</w:t>
      </w:r>
    </w:p>
    <w:p>
      <w:pPr>
        <w:spacing w:after="0" w:line="19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clinical testing of any of our existing or future product candidates may fail to show the necessary safety and efficacy required for regulatory approval.</w:t>
      </w:r>
    </w:p>
    <w:p>
      <w:pPr>
        <w:spacing w:after="0" w:line="15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must complete preclinical development and then conduct extensive clinical trials to demonstrate the safety and efficacy in humans of any such product candidates. Clinical testing is expensive, difficult to design and implement, can take many years to complete, and is uncertain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line="261" w:lineRule="auto"/>
        <w:rPr>
          <w:sz w:val="20"/>
          <w:szCs w:val="20"/>
          <w:color w:val="auto"/>
        </w:rPr>
      </w:pPr>
      <w:r>
        <w:rPr>
          <w:rFonts w:ascii="Times New Roman" w:cs="Times New Roman" w:eastAsia="Times New Roman" w:hAnsi="Times New Roman"/>
          <w:sz w:val="18"/>
          <w:szCs w:val="18"/>
          <w:color w:val="auto"/>
        </w:rPr>
        <w:t>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Our product candidates have a limited history of being evaluated in human clinical trials. Any of our product candidates may fail to show the desired safety and efficacy in later stages of clinical development despite having successfully advanced through initial clinical trials.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our product candidates are ultimately not approved for any reason, our business, prospects, results of operations and financial condition would be adversely affected. In addition, the standard of care may change with the approval of new products for the same indications that we are studying.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scrutiny.</w:t>
      </w:r>
    </w:p>
    <w:p>
      <w:pPr>
        <w:spacing w:after="0" w:line="2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protocols, processes, materials and facilities, qualification testing, post-approval clinical data, labeling and promotional activities for such product, will be subject to continual and additional requirements of the FDA and other regulatory authorities. These requirements include submissions of safety and other post-marketing information, reports, registration and listing requirements, requirements relating to cGMP, applicable product tracking and tracing requirements,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Additionally, under the Food and Drug Omnibus Reform Act of 2022 (FDORA), sponsors of approved drugs and biologics must provide six months’ notice to the FDA of any changes in marketing status or for discontinuing or interrupting the supply of certain drugs, including the withdrawal of a drug. Failure to do so could result in a letter citing such failure to comply and public postings of such letter and a redacted response from the sponsor, which could damage the sponsor’s reputation.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our product candidates, manufacturing operations, or failure to comply with regulatory requirements, may lead to various adverse conditions, including significant delays in bringing our product candidates to market and/or being precluded from manufacturing or selling our product candidates, any of which could significantly harm our business.</w:t>
      </w:r>
    </w:p>
    <w:p>
      <w:pPr>
        <w:spacing w:after="0" w:line="192" w:lineRule="exact"/>
        <w:rPr>
          <w:sz w:val="20"/>
          <w:szCs w:val="20"/>
          <w:color w:val="auto"/>
        </w:rPr>
      </w:pPr>
    </w:p>
    <w:p>
      <w:pPr>
        <w:ind w:right="1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Regenerative Medicine Advanced Therapy (RMAT) designation by the FDA for FT819 and our participation in the FDA's Chemistry, Manufacturing, and Controls (CMC) Development and Readiness Pilot (“the CDRP”) Program may not actually lead to a faster development or regulatory review or approval process and does not increase the likelihood that FT819 or any future product candidate that may receive this designation or is selected for the CDRP Program will receive regulatory approval, and we may be unable to obtain or maintain the benefits associated with such designation or approval.</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received RMAT designation from the FDA for FT819 for the treatment of active moderate to severe systemic lupus erythematosus (SLE), including lupus nephritis, and may seek additional RMAT designations in the future for current or future product candidates. A product candidate is eligible for RMAT designation if: (1) it is a cell therapy, therapeutic tissue engineering product, human cell or tissue product, or a combination product using any such therapies or products, with limited exceptions;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 biologics license application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Further, under FDORA, the FDA must specify the conditions for any post-approval trials by the date of accelerated approval and the agency has flexibility in setting forth such conditions, which may include enrollment targets, clinical trial protocols and milestones – including the target date of trial completion. The FDA may also require, as appropriate, that certain confirmatory trials be underway prior to accelerated approval or within a specified time from the date of approval. Accelerated approval sponsors must submit progress reports every six months on required post-approval trials. FDORA also gives the FDA increased authority to withdraw approval of a drug or biologic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140"/>
        <w:spacing w:after="0" w:line="261" w:lineRule="auto"/>
        <w:rPr>
          <w:sz w:val="20"/>
          <w:szCs w:val="20"/>
          <w:color w:val="auto"/>
        </w:rPr>
      </w:pPr>
      <w:r>
        <w:rPr>
          <w:rFonts w:ascii="Times New Roman" w:cs="Times New Roman" w:eastAsia="Times New Roman" w:hAnsi="Times New Roman"/>
          <w:sz w:val="18"/>
          <w:szCs w:val="18"/>
          <w:color w:val="auto"/>
        </w:rPr>
        <w:t>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the FT819-201 study has been selected by the FDA to participate in its CDRP Program, a voluntary program which is intended to facilitate expedited CMC development of investigational drugs and biologics that have accelerated clinical development pathways by increasing communication with the FDA on CMC development. The program's stated goal is to align and derisk CMC strategies early in the process, which can lead to faster patient access to new treatments.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RMAT designation and participation in the CDRP Program is within the discretion of the FDA. Accordingly, even if we believe one of our product candidates or development programs meets the criteria for RMAT designation or the CDRP Program, the FDA may disagree and instead determine not to grant such designation or program acceptance. In any event, the receipt of RMAT designation for a product candidate or participation in the CDRP Program for a development program may not result in a faster development process, review or approval compared to product candidates considered for approval under conventional FDA procedures and does not assure ultimate approval by the FDA. Even though we obtained RMAT designation for FT819 in April 2025 and were accepted into the CDRP Program in May 2026, such designation and acceptance does not change the standards for product approval, and there is no assurance that this designation or acceptance will result in expedited review or approval or that the approved indication will not be narrower than the indication covered by the RMAT designation. In addition, even if one or more of our product candidates qualifies for RMAT designation, the FDA may rescind RMAT designation if it believes the product no longer meets the conditions for qualification. Similarly, the FDA may remove FT819, or any other product candidate which may be selected for participation, from the CDRP Program if it believes that the designation is no longer supported by data from the respective clinical development program.</w:t>
      </w:r>
    </w:p>
    <w:p>
      <w:pPr>
        <w:spacing w:after="0" w:line="188"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orphan drug status to develop and commercialize certain of our product candidates, but orphan drug designations may not confer marketing exclusivity or other expected commercial benefits and we may not be able to obtain orphan drug designations for our other product candidates.</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rely on orphan drug exclusivity for product candidates that we may develop. Orphan drug status confers seven years of marketing exclusivity in the United States under the Federal Food Drug, and Cosmetic Act, and up to ten years of marketing exclusivity in Europe for a particular product in a specified indication, subject to certain conditions. However, we may be unable to obtain orphan drug designations for any of our product candidates that we are currently developing or may pursue. Even if we do obtain orphan drug designations and are the first to obtain marketing approval of our product candidates for the applicable indications, we will not be able to rely on these designations to exclude other companies from manufacturing or selling biological products using the same principal molecular structural features for the same indication beyond these time frames. Furthermore, any marketing exclusivity in Europe can be reduced from ten years to six years if the initial designation criteria have significantly changed since the market authorization of the orphan product.</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For any product candidate for which we may be granted orphan drug designation in a particular indication, it is possible that another company also holding orphan drug designation for the same product candidate will receive marketing approval for the same indication before we do. If that were to happen, our applications for that approved use or indication may not be approved until the competing company’s period of exclusivity expires. Even if we are the first to obtain marketing authorization for an orphan drug use or indication in the United States, there are circumstances under which a competing product may be approved for the same approved use or indication during the seven-year period of marketing exclusivity, such as if the later product is shown to be clinically superior to our orphan product, or if the later product is deemed a different product than ours. Further, the seven-year marketing exclusivity would not prevent competitors from obtaining approval of the same product candidate as ours for approved uses or indications other than those in which we have been granted orphan drug designation, or for the use of other types of products in the same indications as our orphan product.</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time of a drug nor gives the drug any advantage in the regulatory review or approval process. While we may seek orphan drug designation for certain of our product candidates, we may never receive such designations.</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Even if we do receive such designations, there is no guarantee that we will enjoy the benefits of those designations. In addition,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6"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cell programming technology as a designated platform technology, but we might not receive such designation, and even if we do, such designation may not lead to a faster development or regulatory review or approval process.</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may seek designation for our cell programming technology as designated platform technology. Under FDORA, a platform technology incorporated within or utilized by a drug or biological product is eligible for designation as a designated platform technology if (1) the platform technology is incorporated in, or utilized by, a drug approved under a BLA or New Drug Application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or NDA for a drug or biological product that uses or incorporates the platform technology. Even if we believe our cell programming technology meets the criteria for such designation, the FDA may disagree and instead determine not to grant such designation. In addition, the receipt of such designation for a platform technology does not ensure that a drug will be developed more quickly or lead to a faster FDA review or approval process and does not assure ultimate FDA approval of a drug. Moreover, the FDA may revoke a designation if the FDA determines that a designated platform technology no longer meets the criteria for such designation. For example, in July 2025, the FDA revoked Sarepta Therapeutics Inc.’s platform technology designation for AAVrh74 given new safety information suggested the preliminary evidence on which the designation was based was insufficient to demonstrate that its platform technology had the potential to be incorporated in, or utilized by, more than one drug without an adverse effect on safety.</w:t>
      </w:r>
    </w:p>
    <w:p>
      <w:pPr>
        <w:spacing w:after="0" w:line="189"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one or more of our product candidates into real-time oncology review (RTOR). This program may not lead to a faster regulatory review or approval process and does not increase the likelihood that our product candidate(s) will receive marketing approval.</w:t>
      </w:r>
    </w:p>
    <w:p>
      <w:pPr>
        <w:spacing w:after="0" w:line="15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spacing w:after="0" w:line="179"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regulations, including federal and state healthcare fraud and abuse laws, physician payment transparency laws, anti-bribery and anti-corruption laws and health information privacy and security laws. Any actual or perceived failure to comply with these regulations could have a material adverse effect on our business and financial condition.</w:t>
      </w:r>
    </w:p>
    <w:p>
      <w:pPr>
        <w:spacing w:after="0" w:line="17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healthcare laws, including, without limitation, fraud and abuse laws, false claims laws, data privacy and security laws, as well as transparency laws regarding payments or other items of value provided to healthcare providers. These laws may impact, among other things, our proposed sales, marketing and education programs. Additionally, we may be subject to state and foreign equivalents of such healthcare laws and regulations, some of which may be broader in scope and may apply regardless of the payor, as well as patient privacy regulation by both the federal government and the states in which we conduct our business. 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If our operations, including our arrangements with physicians and other healthcare providers are found to be in violation of any of such laws or any other governmental regulations that apply to us, we may be subject to penalties, including,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200"/>
        <w:spacing w:after="0" w:line="256" w:lineRule="auto"/>
        <w:rPr>
          <w:sz w:val="20"/>
          <w:szCs w:val="20"/>
          <w:color w:val="auto"/>
        </w:rPr>
      </w:pPr>
      <w:r>
        <w:rPr>
          <w:rFonts w:ascii="Times New Roman" w:cs="Times New Roman" w:eastAsia="Times New Roman" w:hAnsi="Times New Roman"/>
          <w:sz w:val="18"/>
          <w:szCs w:val="18"/>
          <w:color w:val="auto"/>
        </w:rPr>
        <w:t>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and imprisonment,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 For more information, please see “Business—Government Regulation—Other Healthcare Laws and Compliance Requirements” in our Annual Report on Form 10-K filed with the Securities and Exchange Commission on February 26, 2026.</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(EU). The provision of benefits or advantages to physicians is also governed by the national anti-bribery laws of European Union Member States, such as the UK Bribery Act 2010. Infringement of these laws could result in substantial fines and individual imprisonment.</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individual imprisonment.</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15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plan to develop and potentially commercialize our product candidates worldwide. Accordingly, we expect that we will be subject to additional risks related to operating in foreign countries, including:</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and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data privacy regulations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or comparable foreign regulations;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ongoing and emerging geopolitical tensions, including wars, armed conflicts or acts of terrorism.</w:t>
      </w:r>
    </w:p>
    <w:p>
      <w:pPr>
        <w:spacing w:after="0" w:line="22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potential international operations may materially adversely affect our ability to attain or maintain profitable operations, which could have a material adverse effect on our business and results of operations.</w:t>
      </w:r>
    </w:p>
    <w:p>
      <w:pPr>
        <w:spacing w:after="0" w:line="158"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and expect to continue to conduct clinical trials for some of our product candidates outside the United States, and the FDA may not accept data from trials conducted in such locations.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conduct and expect to continue to conduct one or more of our clinical trials or include sites in current or future clinical trials outside the United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w:t>
      </w:r>
    </w:p>
    <w:p>
      <w:pPr>
        <w:spacing w:after="0" w:line="207" w:lineRule="exact"/>
        <w:rPr>
          <w:sz w:val="20"/>
          <w:szCs w:val="20"/>
          <w:color w:val="auto"/>
        </w:rPr>
      </w:pPr>
    </w:p>
    <w:p>
      <w:pPr>
        <w:ind w:right="160" w:firstLine="509"/>
        <w:spacing w:after="0" w:line="272" w:lineRule="auto"/>
        <w:rPr>
          <w:sz w:val="20"/>
          <w:szCs w:val="20"/>
          <w:color w:val="auto"/>
        </w:rPr>
      </w:pPr>
      <w:r>
        <w:rPr>
          <w:rFonts w:ascii="Times New Roman" w:cs="Times New Roman" w:eastAsia="Times New Roman" w:hAnsi="Times New Roman"/>
          <w:sz w:val="17"/>
          <w:szCs w:val="17"/>
          <w:color w:val="auto"/>
        </w:rPr>
        <w:t>Although the FDA may accept data from sites or clinical trials outside the United States, acceptance of these data is subject to conditions imposed by the FDA.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w:t>
      </w:r>
    </w:p>
    <w:p>
      <w:pPr>
        <w:spacing w:after="0" w:line="2" w:lineRule="exact"/>
        <w:rPr>
          <w:sz w:val="20"/>
          <w:szCs w:val="20"/>
          <w:color w:val="auto"/>
        </w:rPr>
      </w:pPr>
    </w:p>
    <w:p>
      <w:pPr>
        <w:ind w:right="120" w:firstLine="8"/>
        <w:spacing w:after="0" w:line="251"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while these clinical trials or trial sites are subject to the applicable local laws where the trials are conducted, FDA acceptance of the data will depend on its determination that the trials or trial sites also complied with all applicable U.S. laws and regulations. There can be no assurance that the FDA will accept data from trials conducted outside the United States. If the FDA does not accept the data from any trial or trial site outside the United States, we would likely need to conduct additional trials, which would be costly and time-consuming and could delay or halt our development of the applicable product candidates. Additionally, recent policy proposals in the United States may make acceptance by the FDA or inclusion in a marketing application of foreign data more difficult or costly.</w:t>
      </w:r>
    </w:p>
    <w:p>
      <w:pPr>
        <w:spacing w:after="0" w:line="189"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regulatory policies may change, and additional government regulations may be enacted that could prevent, limit or delay regulatory approval of our product candidates.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ongoing and planned operations, including the development of our product candidates, will require substantial additional funding, without which we will be unable to complete preclinical or clinical development of or obtain regulatory approval for, or achieve commercialization of, our product candidates.</w:t>
      </w:r>
    </w:p>
    <w:p>
      <w:pPr>
        <w:spacing w:after="0" w:line="6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are currently advancing multiple product candidates through clinical development, and conducting preclinical research and development activities in other programs. Drug development is expensive, and we expect our research and development expenses to remain significant in connection with our ongoing activities, particularly as we advance our current product candidates in clinical trials and seek to initiate clinical development for additional product candidates.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our cash, cash equivalents, and investments were $174.8 million. We intend to use our cash, cash equivalents, and investments primarily to fund the advancement and clinical development of our current product candidates and our ongoing preclinical, discovery and research programs, and for working capital and general corporate purposes.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and licensing arrangements or a combination of these approaches. In any event, we will require additional capital to obtain regulatory approval for, and achieve commercialization of, our existing product candidates and any other product candidates we may identify and develop. Even if we believe we have sufficient funds for our current or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right="600"/>
        <w:spacing w:after="0" w:line="282" w:lineRule="auto"/>
        <w:rPr>
          <w:sz w:val="20"/>
          <w:szCs w:val="20"/>
          <w:color w:val="auto"/>
        </w:rPr>
      </w:pPr>
      <w:r>
        <w:rPr>
          <w:rFonts w:ascii="Times New Roman" w:cs="Times New Roman" w:eastAsia="Times New Roman" w:hAnsi="Times New Roman"/>
          <w:sz w:val="18"/>
          <w:szCs w:val="18"/>
          <w:color w:val="auto"/>
        </w:rPr>
        <w:t>operating plans, we may seek additional capital if market conditions are favorable or if we have specific strategic considerations. Our future capital requirements will depend on many factors, including, but not limited to:</w:t>
      </w:r>
    </w:p>
    <w:p>
      <w:pPr>
        <w:spacing w:after="0" w:line="54" w:lineRule="exact"/>
        <w:rPr>
          <w:sz w:val="20"/>
          <w:szCs w:val="20"/>
          <w:color w:val="auto"/>
        </w:rPr>
      </w:pPr>
    </w:p>
    <w:p>
      <w:pPr>
        <w:ind w:left="1020" w:right="5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ongoing and planned clinical trials, and any additional clinical trials we may initiate, conduct or support for our product candidates;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size, timing and costs of our preclinical, process development and manufacturing studies, and activities necessary to initiate and conduct clinical trials for our product candidates and to establish and maintain manufacturing capabilities necessary to support such trials;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in our research and development programs, including preclinical studies, process development, manufacturing and other research activities that may be necessary in order for an IND application to go into effect for a prospective clinical development candidate, as well as potential future clinical trials of any additional product candidates we may identify for development;</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existing in-license agreements and any in-license agreements that we may enter into in the future, and the timing of such payments, including payments owed to Memorial Sloan Kettering Cancer Center (MSKCC) in connection with the stock price appreciation milestones;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investigators to initiate and conduct, and the progress, results, size, timing and costs of, clinical trials of our product candidates that will be necessary to support any application for regulatory approval;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or enter into arrangements with third parties for the manufacture of our existing product candidates, as well as potential future clinical development candidates, both for clinical development and commercialization, and the timing and costs associated with such manufacture;</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or other costs we may incur,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distribution, and commercialization activities and arrangements, including the manufacturing of our product candidates, establishment of effective protocols for the supply and transport of our product candidates, and the establishment of a sales and marketing organization either internally or in partnership with a third party; and</w:t>
      </w:r>
    </w:p>
    <w:p>
      <w:pPr>
        <w:spacing w:after="0" w:line="67"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arrangements and alliances with third-party collaborators including our existing collaborations with Ono Pharmaceutical Co., Ltd. (Ono), and the University of Minnesota to advance the research, development and commercialization of therapeutic products.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and interest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 different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while the overall impacts of the ongoing and emerging geopolitical tensions, including wars and other armed conflicts, on the global economy remain unknown and difficult to predict, these events have caused significant disruptions and created uncertainties in the global financial markets, and the economic impacts of these and other similar global events could materially and adversely affect our ability to raise capital through equity or debt financings in the future.</w:t>
      </w:r>
    </w:p>
    <w:p>
      <w:pPr>
        <w:spacing w:after="0" w:line="7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cannot raise additional capital or obtain adequate funds, we may be required to curtail significantly our research and clinical programs or may not be able to continue our research or clinical development of our product candidates. Our failure to raise additional capital, or obtain adequate funds, will have a material adverse effect on our business, prospects, financial condition, results of operations, and market price of shares of our common stock.</w:t>
      </w:r>
    </w:p>
    <w:p>
      <w:pPr>
        <w:spacing w:after="0" w:line="172" w:lineRule="exact"/>
        <w:rPr>
          <w:sz w:val="20"/>
          <w:szCs w:val="20"/>
          <w:color w:val="auto"/>
        </w:rPr>
      </w:pPr>
    </w:p>
    <w:p>
      <w:pPr>
        <w:ind w:right="7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5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formed in 2007 with a limited operating history. We have not yet obtained regulatory approval for any of our product candidates or generated any revenues from therapeutic product sales. Since inception, we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spacing w:after="0" w:line="256" w:lineRule="auto"/>
        <w:rPr>
          <w:sz w:val="20"/>
          <w:szCs w:val="20"/>
          <w:color w:val="auto"/>
        </w:rPr>
      </w:pPr>
      <w:r>
        <w:rPr>
          <w:rFonts w:ascii="Times New Roman" w:cs="Times New Roman" w:eastAsia="Times New Roman" w:hAnsi="Times New Roman"/>
          <w:sz w:val="18"/>
          <w:szCs w:val="18"/>
          <w:color w:val="auto"/>
        </w:rPr>
        <w:t>have incurred significant net losses in each year and, as of March 31, 2026, we had an accumulated deficit of $1.6 billion. We expect to continue to incur losses for the foreseeable future as we continue to fund our ongoing and planned clinical trials of our product candidates and our other ongoing and planned research and development activities. We also expect to incur significant operating and capital expenditures as we continue our research and development of, and seek regulatory approval for, our product candidates, in-license or acquire new product candidates for development, implement additional infrastructure and internal systems, and hire additional scientific, clinical, and administrative personnel. We anticipate that our net losses for the next several years could be significant as we conduct our planned operations.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biological, and cell therapy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preclinical studies, process development, manufacturing activities, or the research and development of any of our product candidates. The amount of our future net losses will depend, in part, on the rate of increase in our expenses, our ability to generate revenues and our ability to raise additional capital. These net losses have had, and will continue to have, an adverse effect on our stockholders’ equity and working capital.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cash equivalents, and investments and may not use them effectively.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to use our cash, cash equivalents, investments and any additional funds that we may raise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or delay the development of our product candidates. We may invest our cash and cash equivalents in a manner that does not produce income or that loses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expect to continue to be, dependent on third parties to conduct some or all aspects of manufacturing of our product candidates for use in clinical trials and for commercial sale, if approved. Our business could be harmed if those third parties fail to perform satisfactorily.</w:t>
      </w:r>
    </w:p>
    <w:p>
      <w:pPr>
        <w:spacing w:after="0" w:line="15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While we currently manufacture clinical supplies of our iPSC-derived cell product candidates at our cGMP facilities located in San Diego, California, we also rely on third parties to manufacture certain components required for the manufacture of our product candidates, and we may rely on third parties to conduct some or all aspects of manufacturing of our product candidates for use in conducting later stage clinical trials and for commercial sale upon approval of any of our product candidates.</w:t>
      </w:r>
    </w:p>
    <w:p>
      <w:pPr>
        <w:spacing w:after="0" w:line="1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Reliance on third parties for manufacture of our product candidates and components utilized in manufacturing our product candidates entails certain risks, including reliance on the third party for regulatory compliance and quality assurance, the possibility that the third-party manufacturer does not maintain the financial, personnel or other resources to meet its obligations, the possibility that the third party fails to manufacture such components, or our product candidates or any products we may eventually commercialize, in accordance with our specifications, misappropriation of our proprietary information, including our trade secrets and know-how, and the possibility of termination of our manufacturing relationship by the third party, based on its own business priorities, at a time that is costly or damaging to us. In addition, the FDA and other regulatory authorities require that our product candidates and any products that we may eventually commercialize be manufactured according to cGMP, cGTP and similar jurisdictional standards. These requirements include, among other things, quality control, quality assurance and the maintenance of records and documentation. The FDA or similar foreign regulatory agencies may also implement new standards at any time, or change their interpretations and enforcement of existing standards for manufacture, packaging or testing of products. We have little control over our manufacturers’ compliance with these regulations and standards.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some cases, the technical skills required to manufacture our product candidates may be unique or proprietary to a particular CMO, and we may have difficulty, or there may be contractual restrictions prohibiting us from, transferring such skills to a back-up or alternate supplier if needed, or we may be unable to transfer such skills at all. In addition, if we are required to change contract manufacturers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demonstrating the comparability of clinical supplies produced by different manufacturers, which could require the conduct of additional clinical trials.</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we depend in some instances on third party suppliers, including sole source suppliers, for the provision of reagents, materials, devices and equipment that are used by us and our third-party contract manufacturers in the production of our product candidates, including certain of our iPSC-derived cell therapy product candidates. Any disruption to or loss of supply from any of these suppliers could delay our clinical development and commercialization efforts, which would adversely affect our business, prospects, results of operations and financial condition.</w:t>
      </w:r>
    </w:p>
    <w:p>
      <w:pPr>
        <w:spacing w:after="0" w:line="176" w:lineRule="exact"/>
        <w:rPr>
          <w:sz w:val="20"/>
          <w:szCs w:val="20"/>
          <w:color w:val="auto"/>
        </w:rPr>
      </w:pPr>
    </w:p>
    <w:p>
      <w:pPr>
        <w:ind w:firstLine="50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strategic partnerships and collaboration arrangements for the development and commercialization of certain of our product candidates in certain indications or geographic territories, and if these arrangements are terminated or are unsuccessful, this could result in delays and other obstacles in the development, manufacture or commercialization of any of our product candidates and materially harm our results of operations.</w:t>
      </w:r>
    </w:p>
    <w:p>
      <w:pPr>
        <w:spacing w:after="0" w:line="15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strategy for fully developing and commercializing our product candidates is dependent upon maintaining our current arrangements and establishing new arrangements with research collaborators, corporate collaborators and other third parties. We currently have a corporate collaboration agreement with Ono. Our collaboration agreement with Ono provides for, among other things, research funding and significant future payments should certain development, regulatory and commercial milestones be achieved. Under our arrangement with Ono and any future corporate arrangements that we may form, our corporate collaborators may be responsible for:</w:t>
      </w:r>
    </w:p>
    <w:p>
      <w:pPr>
        <w:spacing w:after="0" w:line="75"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advance product candidates through preclinical and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clinical development and obtaining required regulatory approvals for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any resulting products.</w:t>
      </w:r>
    </w:p>
    <w:p>
      <w:pPr>
        <w:spacing w:after="0" w:line="22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a result, we may not be able to conduct such corporate collaborations in the manner or on the time schedule we currently contemplate, which may negatively impact our business operations.</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lack of control over the research funding for, and the development and commercialization of, certain of our product candidates being developed under the collaboration and option agreement we entered into with Ono on September 14, 2018 (as amended to date, the Ono Agreement) and any other product candidates that we may develop under a future arrangement could cause delays or other difficulties in the development and commercialization of any of our product candidates, which may prevent completion of research and development activities and intended regulatory filings in a timely fashion, if at all. Because we expect to continue to rely on our current collaborator and to enter into new collaborations in the future, the development and commercialization of any of our product candidates could be substantially delayed, and our ability to receive future funding could be substantially impaired, if one or more of our current or future collaborators:</w:t>
      </w:r>
    </w:p>
    <w:p>
      <w:pPr>
        <w:spacing w:after="0" w:line="81" w:lineRule="exact"/>
        <w:rPr>
          <w:sz w:val="20"/>
          <w:szCs w:val="20"/>
          <w:color w:val="auto"/>
        </w:rPr>
      </w:pPr>
    </w:p>
    <w:p>
      <w:pPr>
        <w:ind w:left="1020" w:right="6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its priorities and resources away from our collaborations due to a change in business strategies, or a merger, acquisition, sale or downsizing of its company or business unit;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development in therapeutic areas which are the subject of our collaboration;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select a product candidate for advancement into preclinical development, clinical development, or subsequent clinical development into a marketed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success criteria for a particular product candidate, thereby delaying or ceasing development of such product candidate;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delays the initiation or conduct of certain activities which could delay our receipt of milestone payments tied to such activities, thereby impacting our ability to fund our own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product candidate that competes, either directly or indirectly, with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obtain the requisite regulatory approval of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successfully commercialize a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encounters regulatory, resource or quality issues and is unable to meet demand requirements;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its rights under the agreement to terminate the collaboration, or otherwise withdraws support for, or otherwise impairs or delays development of one or more product candidates under the collaboration;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left="1020" w:right="2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disagrees on the research, development or commercialization of a product candidate resulting in a delay in milestones, royalty payments or termination of such product candidate;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our proprietary information or intellectual property in such a way as to jeopardize our rights in such property.</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termination of the Ono Agreement or any future strategic partnership or collaboration arrangement that we enter into may prevent us from receiving any milestone, royalty payment, sharing of profits, and other benefits under such agreement. Furthermore, disagreements with these parties could require or result in litigation or arbitration, which would be time-consuming and expensive. Any of these events could have a material adverse effect on our ability to develop and commercialize any of our product candidates and may adversely impact our business, prospects, financial condition, and results of operations.</w:t>
      </w:r>
    </w:p>
    <w:p>
      <w:pPr>
        <w:spacing w:after="0" w:line="179"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conduct of our clinical trials and the manufacture of our product candidates and do not have supply arrangements for certain of these components.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manufacturing of our product candidates requires many reagents and other specialty materials and equipment, some of which are manufactured or supplied by small companies with limited resources and experience to support commercial biologics production. To date, we and our CMOs have purchased equipment, materials and disposables used for the manufacture of our existing product candidates from third-party suppliers. Some of these suppliers may not have the capacity to support commercial products manufactured under cGMP or cGTP conditions for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and equipment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third-party for the supply of certain required components and equipment.</w:t>
      </w:r>
    </w:p>
    <w:p>
      <w:pPr>
        <w:spacing w:after="0" w:line="188" w:lineRule="exact"/>
        <w:rPr>
          <w:sz w:val="20"/>
          <w:szCs w:val="20"/>
          <w:color w:val="auto"/>
        </w:rPr>
      </w:pPr>
    </w:p>
    <w:p>
      <w:pPr>
        <w:jc w:val="both"/>
        <w:ind w:right="120" w:firstLine="509"/>
        <w:spacing w:after="0" w:line="277" w:lineRule="auto"/>
        <w:rPr>
          <w:sz w:val="20"/>
          <w:szCs w:val="20"/>
          <w:color w:val="auto"/>
        </w:rPr>
      </w:pPr>
      <w:r>
        <w:rPr>
          <w:rFonts w:ascii="Times New Roman" w:cs="Times New Roman" w:eastAsia="Times New Roman" w:hAnsi="Times New Roman"/>
          <w:sz w:val="17"/>
          <w:szCs w:val="17"/>
          <w:color w:val="auto"/>
        </w:rPr>
        <w:t>In addition, the clinical development of our product candidates depends on the availability of certain materials and agents used in our clinical trials. For example, we intend to develop certain of our product candidates as a combination therapy with other cancer therapies, such as monoclonal antibodies, requiring availability and use of these monoclonal antibodies in certain of our clinical trial protocols. Any failure or delays by us or by our clinical sites to obtain sufficient quantities of materials and agents required under our protocols, or other components and agents necessary for the conduct of our clinical trials, may delay our ability to enroll and treat patients in, or complete, our current or future clinical trials of our product candidates on time, if at all.</w:t>
      </w:r>
    </w:p>
    <w:p>
      <w:pPr>
        <w:spacing w:after="0" w:line="1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any public health crises, natural disasters (including due to the effects of climate change), ongoing and emerging global geopolitical tensions, including wars and other armed conflicts, regulatory actions, restrictions or requirements affecting the supplier, adverse financial or other strategic developments experienced by a supplier, labor disputes or shortages, unexpected demands, or quality issues, the business and operations of our suppliers and other third parties which produce agents and materials used in our clinical trials or manufacturing of our product candidates may be disrupted or delayed, and we in turn may experience disruptions or delays in our supply chain. A delay or inability to continue to source product or materials from any of these suppliers or third parties, which could be due to the impacts of any of the events described above could adversely affect our ability to manufacture our product candidates and our ability to conduct clinical trials, which could significantly harm our business.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3"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certain research and development activities and clinical trials of our product candidates. If these third parties do not successfully carry out their contractual duties or meet expected deadlines, we may not be able to timely develop, manufacture, obtain regulatory approval for or commercialize our product candidates and our business could be substantially harmed.</w:t>
      </w:r>
    </w:p>
    <w:p>
      <w:pPr>
        <w:spacing w:after="0" w:line="17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rely upon third parties, including medical institutions, clinical investigators, and clinical research organizations (CROs) for the conduct of certain research and preclinical development activities, process development and manufacturing activities, and for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conduct, management, and supervision of clinical trials of our product candidates. We do not have direct control over the activities of these third parties, and may have limited influence over their actual performance. Our reliance on these third parties and CROs does not relieve us of our responsibilities to ensure that our clinical studies are conducted in accordance with the applicable protocol, legal and regulatory requirements and scientific standards.</w:t>
      </w:r>
    </w:p>
    <w:p>
      <w:pPr>
        <w:spacing w:after="0" w:line="15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responsible for complying, and we are responsible for ensuring that our third-party service providers and CROs comply, with applicable GCP for conducting activities for all of our product candidates in clinical development, including conducting our clinical trials, and recording and reporting data from these trials. Regulatory authorities enforce these regulations through periodic inspections of trial sponsors, principal investigators and trial sites. We cannot assure that upon inspection by a given regulatory authority, such regulatory authority will determine that any of our clinical trials comply with applicable GCP requirements. In addition, our registrational clinical trials must be conducted with product produced under applicable regulatory requirements.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and CROs do not successfully carry out their contractual duties or obligations, meet expected deadlines or successfully complete activities as planned, or if the quality or accuracy of the research, preclinical development, process development, manufacturing, or clinical data they obtain is compromised due to the failure to adhere to applicable regulatory and manufacturing requirements or for other reasons, our research, preclinical development, process development and manufacturing activities, and clinical trials, and the development of our product candidates, may be extended, delayed or terminated, and we may not be able to obtain regulatory approval for or successfully commercialize our product candidates. Further, if our agreements with third parties or CROs are terminated for any reason, the development of our product candidates may be delayed or impaired, and we may be unable to advance our product candidates. As a result, our results of operations and the commercial prospects for our product candidates would be harmed, our costs could increase and our ability to generate revenues could be delayed or impaired.</w:t>
      </w:r>
    </w:p>
    <w:p>
      <w:pPr>
        <w:spacing w:after="0" w:line="188"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our collaborators’ or partners’ support for our product candidates.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Any of these developments could harm our product development efforts.</w:t>
      </w:r>
    </w:p>
    <w:p>
      <w:pPr>
        <w:spacing w:after="0" w:line="176" w:lineRule="exact"/>
        <w:rPr>
          <w:sz w:val="20"/>
          <w:szCs w:val="20"/>
          <w:color w:val="auto"/>
        </w:rPr>
      </w:pPr>
    </w:p>
    <w:p>
      <w:pPr>
        <w:jc w:val="both"/>
        <w:ind w:right="4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also rely on certain third-party vendors located in China or who are owned by or are associated with certain Chinese companies to assist in non-clinical or clinical trials or provide laboratory services. It is unknown how current or future geopolitical relationships with China or specific Chinese-owned or associated vendors may affect our ability to complete our non-clinical or clinical trials.</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currently, and may in the future, do business with one or more companies located in China, or that are owned or operated by Chinese companies to provide non-clinical or clinical trial support services. The process of changing these vendors could have an adverse impact on our current clinical development programs if they were no longer permitted to provide services or products due to geopolitical pressures, including legislative activities or executive orders aimed at prohibiting certain Chinese or Chinese-owned biotechnology companies from engaging in biotechnology or biopharmaceutical research activities.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particular, the United States government has proposed and, in certain cases, enacted legislation and policies intended to restrict or prohibit the use of biotechnology services or products provided by certain foreign entities that are owned by, controlled by, or associated with the government of China or other foreign adversaries. Such measures include the “BIOSECURE Act,” which was enacted on December 18, 2025, as well as related executive branch actions, which are intended to limit U.S. government funding or support for biotechnology activities involving specified foreign entities and to reduce perceived national security risks associated with reliance on such entities. If applied to our third-party vendors, these laws or policies could restrict our ability, or the ability of our collaborators, contract research organizations, manufacturers, or other third-party vendors, to engage or continue to engage certain Chinese or Chinese-affiliated service providers, even where such providers are currently permitted to operate under applicable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could experience delays in finding suitable replacement service providers located outside China or not otherwise owned by or associated with Chinese companies, which could have a material adverse effect on our development activities and our business. In addition, alternative vendors may be more expensive, may have longer lead times, or may lack the same technical capabilities or capacity, which could increase our costs or delay our development timelines.</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unable to predict whether or when legislative or executive actions would be effective or applied to specific vendors, or the scope and timing of their potential implementation and whether such actions would materially and adversely affect our liquidity, access to capital, development timelines, or ability to conduct business. Any failure on our part to comply with changing government regulations and policies could result in the loss of our ability to manufacture and develop our product candidates. Even if we are able to comply with such requirements, compliance may require significant management attention, increased costs, and changes to our supply chain or development strategy, which could adversely affect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or obtain and maintain patent protection for our technology and product candidates, other companies could develop products based on our discoveries, which may reduce demand for our products and harm our business.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intellectual property protection for our product candidates, the operations used to manufacture them and the methods for using them, and also for our cell programming technology in order to prevent third parties from making, using, selling, offering to sell or importing our product candidates or otherwise exploiting our cell programming approach. The scope of patent protection in the biotechnology and pharmaceutical field involves complex legal and scientific questions and can be uncertain.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uncertain. We own and have exclusive licenses to patent portfolios for our product candidates and cell programming technology, although we cannot be certain that our existing patents and patent applications provide adequate protection or that any additional patents will issue to us with claims that provide adequate protection of our other product candidates. Further, we cannot predict the breadth of claims that may be enforced in our patents if we attempt to enforce them or if they are challenged in court or in other proceedings. If we are unable to secure and maintain protection for our product candidates and cell programming technology, or if any patents we obtain or license are deemed invalid and unenforceable, our ability to commercialize or license our technology could be adversely affected.</w:t>
      </w:r>
    </w:p>
    <w:p>
      <w:pPr>
        <w:spacing w:after="0" w:line="19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Since patent applications in the United States and most other countries are confidential for a period of time after filing, and some remain so until issued,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 The scope, validity or enforceability of our patents or the patents of our licensors may be challenged in such proceedings in either the courts or patent offices in the United States and abroad, and our business may be harmed if the coverage of our patents or the patents of our licensors is narrowed, or if a patent of ours or our licensors is judged invalid or unenforceable, in any such proceedings.</w:t>
      </w:r>
    </w:p>
    <w:p>
      <w:pPr>
        <w:spacing w:after="0" w:line="18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Furthermore, our intellectual property rights may be subject to a reservation of rights by one or more third parties. For example, the research resulting in certain of the patent rights and technology that we own or have licensed was funded in part by the U.S. government. As a result, the government has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or to have others use the invention on its behalf. These rights may permit the government to disclose our information to third parties and to exercise march-in rights to use or allow third parties to use our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180"/>
        <w:spacing w:after="0" w:line="312" w:lineRule="auto"/>
        <w:rPr>
          <w:sz w:val="20"/>
          <w:szCs w:val="20"/>
          <w:color w:val="auto"/>
        </w:rPr>
      </w:pPr>
      <w:r>
        <w:rPr>
          <w:rFonts w:ascii="Times New Roman" w:cs="Times New Roman" w:eastAsia="Times New Roman" w:hAnsi="Times New Roman"/>
          <w:sz w:val="17"/>
          <w:szCs w:val="17"/>
          <w:color w:val="auto"/>
        </w:rPr>
        <w:t>may be subject to certain requirements to manufacture products embodying such inventions in the United States. Any exercise by the government of such rights or by any third party of its reserved rights could harm our competitive position, business, financial condition, results of operations, and prospects.</w:t>
      </w:r>
    </w:p>
    <w:p>
      <w:pPr>
        <w:spacing w:after="0" w:line="136"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affect our business and operations.</w:t>
      </w:r>
    </w:p>
    <w:p>
      <w:pPr>
        <w:spacing w:after="0" w:line="15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Certain rights to our key technologies and product candidates, including intellectual property relating to our iPSC technology, are licensed from third parties. As a licensee of third-party intellectual property, we rely on our licensors to file and prosecute patent applications and maintain patents, and otherwise protect the licensed intellectual property under some of our license agreements. We have not had and do not have primary control over these activities for certain of our licensed patents, patent applications and other intellectual property rights, and we cannot be certain that such activities will result in valid and enforceable patents and other intellectual property rights. Additionally, our licensors may have the right to control enforcement of our licensed patents or defense of any claims asserting the invalidity of these patents and we cannot be certain that our licensors will allocate sufficient resources or prioritize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license agreements, we could lose rights to our product candidates or key technologies.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obtained rights to develop, market and sell some of our product candidates through intellectual property license agreements with third parties. These license agreements impose various diligence, milestone payment, royalty and other obligations on us. In particular, under our Amended MSKCC License with MSKCC, in the event a licensed product achieves a specified clinical milestone,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such clinical milestone. If we fail to comply with our obligations under our license agreements, including any payment obligations,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84"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become involved in litigation or other proceedings relating to the enforcement or defense of patent and other intellectual property rights, which could cause us to divert our resources and could put our intellectual property at risk.</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To prevent infringement or unauthorized use of our intellectual property, we have in the past, and may in the future, need to file infringement claims. When we pursue litigation to stop another party from using the inventions claimed in any patents we own or control, that party has the right to ask the court to rule that such patents are invalid or should not be enforced against that third party. In addition to patent infringement lawsuits, we may decide to file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 Patent and Trademark Office (the USPTO) and corresponding foreign patent offices. Litigation and other proceedings relating to intellectual property are unpredictable and expensive and may consume time and resources and divert the attention of managerial and scientific personnel. Such litigations and proceedings could substantially increase our operating losses and reduce the resources available for research, development, and other activities. We may not have sufficient financial or other resources to adequately conduct such litigation or proceedings or may be required to divert such resources from our ongoing and planned research and development activities.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There also is a risk that a court or patent office in such proceeding will decide that our patents or the patents of our licensors are not valid or are not enforceable, and that we do not have the right to stop the other party from using the inventions. Additionally, even if the validity of such patents is upheld, the court may refuse to stop the other party on the ground that such other party’s activities do not infringe our rights to such patents. If we are not successful in enforcing or defending our intellectual property, our competitors could develop and market products based on our discoveries and technologies, which may reduce the commercial viability of, and demand for, our product candidates and any future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strategic partners may infringe the intellectual property rights of others, which may prevent or delay our product development efforts and stop us from commercializing, or increase the costs of commercializing, our product candidates.</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success will depend, in part, on our ability to operate without infringing the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or misappropriation of other intellectual property rights of third parties.</w:t>
      </w:r>
    </w:p>
    <w:p>
      <w:pPr>
        <w:spacing w:after="0" w:line="18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intellectual property rights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cannot guarantee that the manufacture, use or marketing of our existing product candidates or any other product candidates that we develop, or the use of our cell programming technology, will not infringe third-party patents. There may be third-party patents or patent applications with claims to materials, cell compositions, methods of manufacture or methods for treatment related to the use or manufacture of our product candidates. Our competitors may have filed, and may in the future file, patent applications covering products and technologies similar to ours.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18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development or manufacture of our product candidates which may cause us to operate our business in a more costly or otherwise adverse manner that was not anticipated.</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own or license from third parties certain intellectual property rights necessary to develop and manufacture our product candidates. The growth of our business will likely depend in part on our ability to acquire or in-license additional proprietary rights, including to advance our research or allow commercialization of our product candidates.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or biotechnology companies and academic institutions may also have filed or may be planning to file patent applications potentially relevant to our business. From time to time, in order to avoid infringing these third-party patents,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ind w:right="300"/>
        <w:spacing w:after="0" w:line="261" w:lineRule="auto"/>
        <w:rPr>
          <w:sz w:val="20"/>
          <w:szCs w:val="20"/>
          <w:color w:val="auto"/>
        </w:rPr>
      </w:pPr>
      <w:r>
        <w:rPr>
          <w:rFonts w:ascii="Times New Roman" w:cs="Times New Roman" w:eastAsia="Times New Roman" w:hAnsi="Times New Roman"/>
          <w:sz w:val="18"/>
          <w:szCs w:val="18"/>
          <w:color w:val="auto"/>
        </w:rPr>
        <w:t>compositions or methods covered by such third-party intellectual property rights, and may need to seek to develop alternative approaches or technology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it may be more costly for us to secure and maintain the necessary patent protection to block third parties from using our technology than to negotiate out-licenses or similar agreements with these parties to provide them with limited rights to use our technology. There can be no assurance that we will be able to successfully complete any such negotiations and ultimately acquire or maintain, on commercially viable terms, the rights to the intellectual property required for the successful development and commercialization of our product candidates.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 issuing based on our patent applications may not provide protection against competitors or any competitive advantages, or may be challenged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and may from time to time initiate, litigation or administrative proceedings to enforce and/or defend our patent rights which will be costly whether we win or lose;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left="1020" w:right="3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alleged trade secrets.</w:t>
      </w:r>
    </w:p>
    <w:p>
      <w:pPr>
        <w:spacing w:after="0" w:line="22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conducting our business operations, we have obtained confidential and proprietary information from third parties. In addition,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or other parties. Litigation may be necessary to defend against these claims. If we fail in defending any such claims, in addition to paying monetary damages, we could lose valuable intellectual property rights or personnel, which could adversely affect our business. Even if we are successful in defending against these claims, litigation could result in substantial costs and be a distraction to management.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If we fail in defending any such claims, we may lose valuable intellectual property rights, such as exclusive ownership of, or right to use, valuable intellectual property. We may also be subject to monetary damages, and any of these outcomes could have a material adverse impact on our business.</w:t>
      </w:r>
    </w:p>
    <w:p>
      <w:pPr>
        <w:spacing w:after="0" w:line="176" w:lineRule="exact"/>
        <w:rPr>
          <w:sz w:val="20"/>
          <w:szCs w:val="20"/>
          <w:color w:val="auto"/>
        </w:rPr>
      </w:pPr>
    </w:p>
    <w:p>
      <w:pPr>
        <w:jc w:val="both"/>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Proprietary information and invention assignment agreements with our employees and third parties may not prevent unauthorized disclosure of our trade secrets and other proprietary information.</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upon unpatented trade secrets and improvements, proprietary know-how, and continuing technological innovation to develop and maintain our competitive position, which we seek to protect, in part, through confidentiality agreements with our collaborators, employees and consultants. We also have invention or patent assignment agreements with our employees and some, but not all, of our collaborators and consultants. Because we expect to rely on third parties in the development and manufacture of our product candidates, we must, at times, share trade secrets with them, which increases the possibility that a competitor will discover them or that our trade secrets will be misappropriated or disclosed.</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Trade secrets, however, may be difficult to protect, and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Although we use reasonable efforts to protect our trade secrets, our employees or former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any products that we may develop and commercialize, and our patents or other intellectual property rights may not be effective or sufficient to prevent them from competing.</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patent law in the United States could diminish the value of patents in general, thereby impairing our ability to protect our product candidates and technology.</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rights, particularly patents. Obtaining and enforcing patents in the biotechnology industry involve both technological and legal complexity, and therefore obtaining and enforcing biotechnology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not be sufficient to effectively protect our market position and products.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Even if we obtain patents covering our product candidates, once the patent life has expired for a product, we may be open to competition from other products. If the lives of our patents are not sufficient to effectively protect our products and business, our business and results of operations will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experience marketing any product candidates and do not have a sales force or distribution capabilities, and if our products are approved, we may be unable to commercialize them successfully.</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experience in marketing and selling therapeutic products, including obtaining and maintaining adequate pricing and reimbursements. If any of our product candidates are approved for marketing, we intend to establish marketing and sales capabilities internally or we may selectively seek to enter into partnerships with other entities to utilize their marketing and distribution capabilities. If we are unable to develop adequate marketing and sales capabilities on our own or effectively partner with third parties, our ability to generate product revenues will suffer.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commercial success of our product candidates will depend upon the degree of market acceptance by physicians, patients, third-party payers and others in the medical community.</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commercial success of our products, if approved for marketing, will depend in part on the medical community, patients and third-party payers accepting our product candidates as effective and safe. The use of cellular immunotherapies for the potential treatment of autoimmune diseases is a recent development, and may not become widely accepted by patients, physicians, treatment centers, and third-party payors. If any of our products obtains regulatory approval but does not achieve an adequate level of acceptance, we may not generate significant product revenue and may not become profitable. For example, in January 2024, the FDA determined that new safety information related to T-cell malignancies should be included in the labeling with boxed warning language on these malignancies for all BCMA- and CD19-directed genetically modified autologous T-cell immunotherapies. FDA’s investigation into CAR T-cell therapies and other similar actions could result in increased government regulation, unfavorable public perception and publicity, potential impacts on enrollment in our clinical trials, stricter labeling requirements for those product candidates that are approved, and a decrease in demand for any such product candidates. The degree of market acceptance of our products, if approved for marketing, will depend on a number of factors, including:</w:t>
      </w:r>
    </w:p>
    <w:p>
      <w:pPr>
        <w:spacing w:after="0" w:line="8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the products, and advantages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labeling of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any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adequate pricing and reimbursement in the United States and/or other regions of the world;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governmental reimbursement, which may depend on our ability to provide compelling evidence that a product meaningfully improves health outcomes to support such insurance coverage or reimbursement.</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patient populations targeted by our autoimmune product candidates are also typically not at risk of near-term death, even if they may suffer life-threatening symptoms, so those patients will need to deem the benefits of cell therapy to be worth the risk of unknown potential adverse side effects. Our success in this space will depend upon physicians who specialize in the treatment of autoimmune diseases targeted by our product candidates prescribing treatments that involve the use of our product candidates in lieu of, or in addition to, existing treatments with which they are more familiar and for which greater clinical data may be available. In addition, the target populations may be relatively small, resulting in a high degree of uncertainty regarding long-term demand for our product candidates. Even if we obtain marketing approval for a product, demand for our product may not be adequate to support commercialization.</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known until after it is launched. Any failure to achieve market acceptance for our product candidates will harm our business, results and financial condition.</w:t>
      </w:r>
    </w:p>
    <w:p>
      <w:pPr>
        <w:spacing w:after="0" w:line="172"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any product candidates we may get approved in the future may harm our reputation in the marketplace or result in injuries that lead to costly product liability suits.</w:t>
      </w:r>
    </w:p>
    <w:p>
      <w:pPr>
        <w:spacing w:after="0" w:line="15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approved by the FDA, we may only promote or market them in a manner consistent with their FDA-approved labeling. We will train our marketing and sales force against promoting our products for uses outside of the approved indications for use, known as “off-label uses.” We cannot, however, prevent a physician from prescribing any products for which we may obtain approval off-label, when in the physician’s independent professional medical judgment he or she deems it appropriate. Furthermore, the use of any approved products for indications other than those approved by the FDA may not effectively treat such conditions. Additionally, FDA’s Office of Prescription Drug Promotion (OPDP) actively scrutinizes promotional communications, including digital and social media; any materials that are false, misleading or promote unapproved uses can lead to enforcement actions and could necessitate corrective communications. Any such off-label use of our products approved in the future could harm our reputation in the marketplace among physicians and patients. There may also be increased risk of injury to patients if</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61" w:name="page62"/>
    <w:bookmarkEnd w:id="61"/>
    <w:p>
      <w:pPr>
        <w:ind w:right="60"/>
        <w:spacing w:after="0" w:line="258" w:lineRule="auto"/>
        <w:rPr>
          <w:sz w:val="20"/>
          <w:szCs w:val="20"/>
          <w:color w:val="auto"/>
        </w:rPr>
      </w:pPr>
      <w:r>
        <w:rPr>
          <w:rFonts w:ascii="Times New Roman" w:cs="Times New Roman" w:eastAsia="Times New Roman" w:hAnsi="Times New Roman"/>
          <w:sz w:val="18"/>
          <w:szCs w:val="18"/>
          <w:color w:val="auto"/>
        </w:rPr>
        <w:t>physicians attempt to use any our products approved in the future for these uses for which they are not approved, which could lead to product liability suits that might require significant financial and management resources and that could harm our reputation. Similar requirements and considerations apply abroad. In the current administration, the FDA has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p>
    <w:p>
      <w:pPr>
        <w:spacing w:after="0" w:line="179"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face uncertainty regarding the pricing of our existing product candidates and any other product candidates that we may develop. If pricing policies for our product candidates are unfavorable, our commercial success will be impaired.</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Due to the novel nature of our cellular immunotherapy product candidates, we face significant uncertainty as to the pricing of any such products for which we may receive marketing approval. While we anticipate that pricing for any cellular immunotherapy product candidates that we develop will be relatively high due to their anticipated use in the prevention or treatment of life-threatening diseases where therapeutic options are limited, the biopharmaceutical industry has recently experienced significant pricing pressures.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 For additional information regarding pricing pressures and healthcare regulatory changes, see “Business—Government Regulation— Healthcare Reform and Other Regulatory Changes” in our Annual Report on Form 10-K filed with the Securities and Exchange Commission on February 26, 2026.</w:t>
      </w:r>
    </w:p>
    <w:p>
      <w:pPr>
        <w:spacing w:after="0" w:line="184"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Failure to obtain or maintain adequate coverage and reimbursement for our product candidates could limit our product revenues.</w:t>
      </w:r>
    </w:p>
    <w:p>
      <w:pPr>
        <w:spacing w:after="0" w:line="15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of our product candidates successfully will depend in part on the availability of coverage and reimbursement for these products from third-party payors, including government health administration authorities, private health insurers, and other managed care organizations. The availability and extent of reimbursement by governmental and private payors is essential for most patients who generally rely on third-party payors to reimburse all or part of the costs of their care, including treatments such as cellular immunotherapy. Because our product candidates represent new approaches to the treatment of autoimmune diseases and cancer, there is significant uncertainty as to the insurance coverage and reimbursement status of any product candidates for which we may receive regulatory approval.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determinations to a substantial degree. If reimbursement or insurance coverage is not available for our product candidates, or is available only to limited levels, we may not be able to successfully commercialize our product candidates. Even if coverage is provided, the approved reimbursement amount may not be sufficient to allow us to establish or maintain pricing to generate income. Factors payors consider in determining reimbursement are based on whether the product is: (i) a covered benefit under its health plan; (ii) safe, effective and medically necessary; (iii) appropriate for the specific patient; (iv) cost-effective; and (v) neither experimental nor investigational. For additional information, please see “Business—Government Regulation—Coverage and Reimbursement” in our Annual Report on Form 10-K filed with the Securities and Exchange Commission on February 26, 2026.</w:t>
      </w:r>
    </w:p>
    <w:p>
      <w:pPr>
        <w:spacing w:after="0" w:line="19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restricted or smaller than we believe they are, our revenues may be adversely affected and our business may suffer. Because the target patient populations of our product candidates may be small and variable, we must be able to successfully identify patients and capture a significant market share to achieve and maintain profitability.</w:t>
      </w:r>
    </w:p>
    <w:p>
      <w:pPr>
        <w:spacing w:after="0" w:line="1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focus our research and development on product candidates for rare diseases. The FDA often approves new therapies initially for use in patients with relapsed or refractory disease. We expect to initially seek approval of our product candidates in these settings. Subsequently, for those products that prove to be sufficiently beneficial, if any, we would expect to seek approval in earlier lines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400"/>
        <w:spacing w:after="0" w:line="258" w:lineRule="auto"/>
        <w:rPr>
          <w:sz w:val="20"/>
          <w:szCs w:val="20"/>
          <w:color w:val="auto"/>
        </w:rPr>
      </w:pPr>
      <w:r>
        <w:rPr>
          <w:rFonts w:ascii="Times New Roman" w:cs="Times New Roman" w:eastAsia="Times New Roman" w:hAnsi="Times New Roman"/>
          <w:sz w:val="18"/>
          <w:szCs w:val="18"/>
          <w:color w:val="auto"/>
        </w:rPr>
        <w:t>treatment. There is no guarantee that our product candidates, even if approved, would be approved for earlier lines of therapy, and, prior to any such approvals, we will have to conduct additional clinical trials, including potentially comparative trials against approved therapies. Certain of our product candidates also target similar patient populations as autologous cell therapy product candidates, including approved autologous CAR T products. Our therapies may not be as safe and effective as approved autologous CAR T therapies and as a result, such product candidates may only be approved for patients who are ineligible for autologous CAR T therapy.</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projections of the number of people who have or will have the diseases we may be targeting, as well as the subset of patients with these cancers in a position to receive second or later lines of therapy and who have the potential to benefit from treatment with our product candidates, may prove to be incorrect. Further, new studies may change the estimated incidence or prevalence of these diseases. The number of patients in the United States, Europe and elsewhere may turn out to be lower than expected, or the potentially addressable patient population for our product candidates may be limited or may not be amenable to treatment with our product candidates, all of which would adversely affect our results of operations and our business. Additionally, because our target patient populations may be small and variable, we may never achieve profitability without capturing a significant market share or obtaining regulatory approval for additional indications for our products.</w:t>
      </w:r>
    </w:p>
    <w:p>
      <w:pPr>
        <w:spacing w:after="0" w:line="185" w:lineRule="exact"/>
        <w:rPr>
          <w:sz w:val="20"/>
          <w:szCs w:val="20"/>
          <w:color w:val="auto"/>
        </w:rPr>
      </w:pPr>
    </w:p>
    <w:p>
      <w:pPr>
        <w:ind w:right="10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including regulations regarding the pricing, coverage and reimbursement of pharmaceutical and biological products, may have a negative impact on our business and results of operations.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Payors, whether domestic or foreign, or governmental or private, are developing increasingly sophisticated methods of controlling healthcare costs. Recent and proposed healthcare reform measures in the United States have focused in particular on prescription drug pricing, reimbursement, and manufacturer financial obligations under government healthcare programs. These measures include statutory changes, executive actions, and proposed regulations that may affect pricing, coverage, reimbursement methodologies, and market access for pharmaceutical and biological products. For a more complete discussion of healthcare reform and regulatory developments that may affect our business, see “Business – Government Regulation – Healthcare Reform and Other Regulatory Changes” in our Annual Report on Form 10-K filed with the Securities and Exchange Commission on February 26, 2026.</w:t>
      </w:r>
    </w:p>
    <w:p>
      <w:pPr>
        <w:spacing w:after="0" w:line="18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There has been increasing legislative, regulatory, and enforcement interest in the United States with respect to prescription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Inflation Reduction Act of 2022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Subsequent legislation, including the One Big Beautiful Bill Act of 2025, modified certain aspects of the IRA, including expanding the orphan drug exemption from Medicare drug price negotiation for the 2028 initial price applicability year.</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80"/>
        <w:spacing w:after="0" w:line="254" w:lineRule="auto"/>
        <w:rPr>
          <w:sz w:val="20"/>
          <w:szCs w:val="20"/>
          <w:color w:val="auto"/>
        </w:rPr>
      </w:pPr>
      <w:r>
        <w:rPr>
          <w:rFonts w:ascii="Times New Roman" w:cs="Times New Roman" w:eastAsia="Times New Roman" w:hAnsi="Times New Roman"/>
          <w:sz w:val="18"/>
          <w:szCs w:val="18"/>
          <w:color w:val="auto"/>
        </w:rPr>
        <w:t>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92"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Recent executive actions and proposed regulatory initiatives in the United States have sought to further reduce prescription drug prices, including through the use of most-favored-nation pricing principles, potential changes to manufacturer distribution models, and expanded governmental oversight of pricing practices. For example, in May 2025, the U.S. presidential administration issued an executive order titled, “Delivering Most-Favored-Nation Prescription Drug Pricing to American Patients,” which, among other things, directs the HHS and other agencies to communicate most-favored-nation (MFN) price targets to pharmaceutical manufacturers to bring prices for U.S. patients in line with comparably developed nations and to facilitate direct-to-consumer purchasing programs. Since the May 2025 order, the current administration has continued to exert pressure on drug manufacturers to implement MFN pricing, including by suggesting that the administration may impose significant tariffs on pharmaceuticals if such manufacturers do not reach agreements to implement MFN pricing. 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 See “Business— Government Regulation—Healthcare Reform and Other Regulatory Changes” in our Annual Report on Form 10-K filed with the Securities and Exchange Commission on February 26, 2026 for more information. If the GLOBE and GUARD models are finalized as proposed under CMMI authority, we could be required to pay additional rebates on products reimbursed by Medicare for the covered populations during the applicable model periods. In addition, if MFN pricing or similar reference pricing policies are enacted or implemented in the U.S. outside of the CMMI framework and applied more broadly, we could be required to pay rebates on products utilization by a broader portion of U.S. patients to align with prices in certain reference countries. MFN pricing models in the U.S. could also affect our ability to commercialize any approved products outside of the U.S., our pricing strategy for any approved products, and future decisions on reimbursement and commercialization in certain jurisdictions.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that could impact drug pricing in the U.S. political, economic and regulatory developments may further complicate developments in healthcare systems and pharmaceutical drug pricing.</w:t>
      </w:r>
    </w:p>
    <w:p>
      <w:pPr>
        <w:spacing w:after="0" w:line="20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the U.S. Supreme Court’s 2024 decision in Loper Bright Enterprises v. Raimondo overruled the Chevron doctrine, which for 40 years required federal courts to defer to permissible agency interpretations of statutes that are silent or ambiguous on a particular topic. This decision may increase regulatory uncertainty and litigation risk and could delay or complicate FDA regulatory review, policymaking, or implementation of regulatory initiatives.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cannot predict the full impact of this decision, future judicial challenges brought against the FDA, or the nature or extent of government regulation that may arise from future legislation or administrative action. Any such challenges, if successful, could have an impact on our business, and any such impact could be material.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existing product candidates is substantially dependent on developments within the field of cellular immunotherapy, and specifically developments relating to the use of pluripotent or genome edited cells for the manufacture of cellular therapeutics, the majority of which are beyond our control.</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are designed and are being developed as therapeutic entities for use as cellular immunotherapies, and all of our current product candidates are based on our novel iPSC product platform. Additionally, some of our product candidates utilize novel genome editing technologies. To date, there is limited clinical trial experience testing iPSC-derived therapeutic product candidates using genome edited cells. The fields of cellular and genome edited therapies are evolving, and as more therapeutic product candidates derived from pluripotent and genome edited cells are reviewed by regulatory authorities, regulatory authorities may impose additional requirements for approval that were not previously anticipated. There have also been several significant adverse events from gene therapy treatments in the past, including reported cases of leukemia and death. Additionally, in January 2024, the FDA determined that new safety information related to T-cell malignancies should be included in the labeling with boxed warning language on these malignancies for all BCMA- and CD19-directed genetically modified autologous T-cell immunotherapies. There can be no assurance that any product candidates developed from or related to our iPSC product platform or any of our research programs will not cause severe or undesirable side effects or result in significant delays or unanticipated costs, or that such development problems can be solved. Any adverse developments in the fields of cellular immunotherapy or genome edited therapy, such as the FDA’s investigation into CAR T-cell therapies and other similar actions, could negatively affect our ability to develop and commercialize our product candidates.</w:t>
      </w:r>
    </w:p>
    <w:p>
      <w:pPr>
        <w:spacing w:after="0" w:line="18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an environment of rapid technological and scientific progress from other biotechnology and pharmaceutical companies that are commercializing, have developed or may develop product candidates for the treatment of the diseases that we may target, including companies developing novel therapies and platform technologies. If these companies develop product candidates or platform technologies more rapidly than we do, if their commercialized products or product candidates are more effective, more cost effective, or have fewer side effects, or if they compete in various other aspects of our business, our ability to develop and successfully commercialize product candidates and to execute on our business plans will be adversely affected.</w:t>
      </w:r>
    </w:p>
    <w:p>
      <w:pPr>
        <w:spacing w:after="0" w:line="1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characterized by rapid and significant innovation, particularly in the areas of immune-oncology and the development and commercialization of cell therapies. We compete with a variety of large pharmaceutical companies, multinational biopharmaceutical companies, other biopharmaceutical companies and specialized biotechnology companies, as well as technology and/or therapeutics being developed at universities and other research institutions. Many of our competitors have greater financial and other resources, such as larger research and development staff, more experienced manufacturing organizations and facilities and greater sales and marketing organizations. Third parties are commercializing, have developed, are developing or may develop product candidates, platform technologies and processes that compete with ours. Competitive therapeutic treatments include those that have already been approved and accepted by the medical community, as well as novel treatments that are currently in preclinical or clinical development or may otherwise enter the market. We believe that a significant number of product candidates are currently under development, including various cellular immunotherapies as well as multifunctional targeted antibodies, such as bi-specific and tri-specific T-cell engagers, which may become commercially available in the future for the treatment of indications, including a variety of cancers, for which we are developing or may try to develop our product candidates. Additionally, several companies with experience and knowledge in the development of CAR T-cell therapies for oncology indications have now commenced the development of cell therapies for the treatment of autoimmune diseases where B cells may play a role in initiating or maintaining disease affected populations, and the product candidates these companies develop may be competitive with product candidates that we are developing for autoimmune diseases. Should one or more of these competing product candidates or other competing product candidates of which we are not aware receive regulatory approval or otherwise achieve clinical or commercial success, our regulatory strategy could be impaired, our ability to obtain regulatory approval could be delayed or prevented, or the market for our products may be reduced or eliminated, thereby harming or preventing our commercial success.</w:t>
      </w:r>
    </w:p>
    <w:p>
      <w:pPr>
        <w:spacing w:after="0" w:line="19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 if we successfully obtain approval for any product candidate, we will face competition based on many different factors, including the relative safety and efficacy of our product candidates, the actual or perceived quality of patient life while undergoing treatment with our product candidates, the ease with which our product candidates can be administered, the timing and scope of regulatory approvals for these product candidates, the availability and cost of manufacturing, marketing and sales capabilities, pricing, reimbursement coverage and patent positions, and the relative prioritization of our product candidates by physicians and healthcare providers among available therapies. Competing products and product candidates could present superior treatment alternatives, including by being more effective, safer, less expensive or marketed and sold more effectively than any products we may develop. Competitive products and product candidates may also make any product we develop obsolete or noncompetitive before we recover</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5" w:name="page66"/>
    <w:bookmarkEnd w:id="65"/>
    <w:p>
      <w:pPr>
        <w:ind w:right="40"/>
        <w:spacing w:after="0" w:line="282" w:lineRule="auto"/>
        <w:rPr>
          <w:sz w:val="20"/>
          <w:szCs w:val="20"/>
          <w:color w:val="auto"/>
        </w:rPr>
      </w:pPr>
      <w:r>
        <w:rPr>
          <w:rFonts w:ascii="Times New Roman" w:cs="Times New Roman" w:eastAsia="Times New Roman" w:hAnsi="Times New Roman"/>
          <w:sz w:val="18"/>
          <w:szCs w:val="18"/>
          <w:color w:val="auto"/>
        </w:rPr>
        <w:t>the expense of developing and commercializing such product. We could also face competition from other companies for collaboration partners, employees, advisors and service providers, which could negatively impact our ability to execute our business plans.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or more commercially viable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product candidates uneconomical or obsolete and we may not be successful in marketing those product candidates, once approved, against competitors.</w:t>
      </w:r>
    </w:p>
    <w:p>
      <w:pPr>
        <w:spacing w:after="0" w:line="186"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effectively with other biotechnology and pharmaceutical companies depends on our ability to distinguish our company and our product candidates from our competitors and their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and new competitors or alliances may emerge that have, greater name and brand recognition, greater market share, an existing customer base, more widely adopted proprietary technologies, greater marketing expertise, larger sales forces, and/or significantly greater resources than we do and may be able to offer products that compete with any of our product candidates that receive regulatory approval at a more attractive price. Further,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In addition, our competitors may in the future establish cooperative relationships with sellers of complementary products, technologies or services to increase the availability of their products in the marketplace. Our competitors could also be better positioned to serve certain segments of our market, which could create additional price pressure. In light of these factors, even if any products that we may develop are more effective than those of our competitors, potential customers may accept competitive products in lieu of purchasing our products. If we are unable to successfully compete, our business, financial condition, and results of operations could be materially and adversely affected.</w:t>
      </w:r>
    </w:p>
    <w:p>
      <w:pPr>
        <w:spacing w:after="0" w:line="190"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team or our inability to attract and retain key personnel and consultants could adversely affect our business.</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team and other key personnel. The loss of services of any of these individuals could delay or prevent the successful development of our product pipeline, initiation or completion of our preclinical studies and clinical trials or the commercialization of our product candidates. Although we have executed offer letters with each member of our senior management team, these agreements are terminable at will without notice and, therefore, we may not be able to retain their services as expected. 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on August 12, 2025, we announced a reduction in force affecting approximately 12% of our workforce. This reduction was part of a tactical operations plan intended to reduce our costs and extend funding of our operations through the end of 2027. However, this reduction may increase our dependence on the remaining key members of our senior management and executive teams and could result in other unintended consequences, such as the loss of institutional knowledge and expertise, decreased morale or attrition among our remaining employees, and the risk that we may not achieve the anticipated benefits of the reduction in force.</w:t>
      </w:r>
    </w:p>
    <w:p>
      <w:pPr>
        <w:spacing w:after="0" w:line="183" w:lineRule="exact"/>
        <w:rPr>
          <w:sz w:val="20"/>
          <w:szCs w:val="20"/>
          <w:color w:val="auto"/>
        </w:rPr>
      </w:pPr>
    </w:p>
    <w:p>
      <w:pPr>
        <w:ind w:right="300" w:firstLine="509"/>
        <w:spacing w:after="0" w:line="273" w:lineRule="auto"/>
        <w:rPr>
          <w:sz w:val="20"/>
          <w:szCs w:val="20"/>
          <w:color w:val="auto"/>
        </w:rPr>
      </w:pPr>
      <w:r>
        <w:rPr>
          <w:rFonts w:ascii="Times New Roman" w:cs="Times New Roman" w:eastAsia="Times New Roman" w:hAnsi="Times New Roman"/>
          <w:sz w:val="17"/>
          <w:szCs w:val="17"/>
          <w:color w:val="auto"/>
        </w:rPr>
        <w:t>We may not be able to retain or attract qualified management, finance, scientific and clinical personnel and consultants due to the intense competition for a limited number of qualified personnel and consultants among biotechnology, pharmaceutical and other businesses. We may also experience difficulties in attracting or retaining personnel with sufficient experience and skills in the complex and emerging field of cellular therapeutic development and manufacture to support our ongoing and planned clinical development activities. 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right="120"/>
        <w:spacing w:after="0" w:line="256" w:lineRule="auto"/>
        <w:rPr>
          <w:sz w:val="20"/>
          <w:szCs w:val="20"/>
          <w:color w:val="auto"/>
        </w:rPr>
      </w:pPr>
      <w:r>
        <w:rPr>
          <w:rFonts w:ascii="Times New Roman" w:cs="Times New Roman" w:eastAsia="Times New Roman" w:hAnsi="Times New Roman"/>
          <w:sz w:val="18"/>
          <w:szCs w:val="18"/>
          <w:color w:val="auto"/>
        </w:rPr>
        <w:t>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Further, some of the qualified personnel that we hire and recruit are not U.S. citizens. Changes to U.S. immigration policies, particularly to H-1B and other visa programs, could restrain the flow of technical and professional talent into the United States and may inhibit our ability to hire qualified personnel.</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and restricted stock unit (RSU) awards that vest over time. The value to employees of stock options and RSU awards that vest over time has been significantly affected by movements in our stock price that are beyond our control and may at any time be insufficient to counteract more lucrative offers from other companies. A significant number of our employee options remain underwater and may not provide the intended incentive for employees to remain at our company.</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have greater financial and other resources and different risk profiles than we do. We may be required to provide compensation in excess of historical levels in order to recruit and retain personnel in the current market. If we are not able to retain and attract necessary personnel and consultants to perform the requisite operational roles and accomplish our business objectives, we may experience constraints that will significantly impede the achievement of our development objectives, our ability to raise additional capital and our ability to implement our business strategy.</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an acquisition, reorganization or business combination, we will incur a variety of risks that could adversely affect our business operations or our stockholders.</w:t>
      </w:r>
    </w:p>
    <w:p>
      <w:pPr>
        <w:spacing w:after="0" w:line="15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have considered, and we will consider in the future, strategic business initiatives intended to further the expansion and development of our business. These initiatives may include acquiring businesses, technologies or products or entering into business combinations with other companies. If we pursue such a strategy, we could, among other things:</w:t>
      </w:r>
    </w:p>
    <w:p>
      <w:pPr>
        <w:spacing w:after="0" w:line="6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that would dilute our current stockholders’ percentage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that may place strains on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 substantial operational, financial and management resources to integrate new businesses, technologies and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reprioritize our development programs and even cease development and commercialization of our product candidates;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with, or otherwise enter into a business combination with, another company in which our stockholders would receive cash or shares of the other company on terms that certain of our stockholders may not deem desirable.</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Although we intend to evaluate and consider acquisitions, reorganizations and business combinations in the future, we have no agreements or understandings with respect to any acquisition, reorganization or business combination at this time.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far in excess of our limited insurance coverage.</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participants in clinical trials, hospitals, medical centers, healthcare providers, pharmaceutical companies, and consumers, or by others selling, manufacturing or otherwise coming into contact with our product candidates. We carry product liability insurance and we believe our product liability insurance coverage is sufficient in light of our current clinical programs. In addition, if and when we obtain marketing approval for product candidates, we intend to expand our insurance coverage to include the sale of commercial products; however, we may be unable to obtain insurance coverage for any approved products on commercially reasonable terms or in sufficient amounts to protect us against losses due to liability.</w:t>
      </w:r>
    </w:p>
    <w:p>
      <w:pPr>
        <w:spacing w:after="0" w:line="18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On occasion, large judgments have been awarded in class action lawsuits based on drugs or medical treatments that had unanticipated adverse effects. In addition, under some of our agreements with clinical trial sites, we are required to indemnify the sites and their personnel against product liability and other claims. A successful product liability claim, or a series of claims, brought against us or any third parties whom we are required to indemnify could cause our stock price to decline and, if judgments exceed our insurance coverage, could adversely affect our results of operations and business.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7" w:name="page68"/>
    <w:bookmarkEnd w:id="67"/>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Patients with the diseases targeted by our product candidates are often already in severe and advanced stages of disease and have both known and unknown significant pre-existing and potentially life-threatening health risks. During the course of treatment, patients may suffer adverse events, including death, for a variety of reasons. Such events, whether or not resulting from our product candidates, could subject us to costly litigation, require us to pay substantial amounts of money to injured patients, delay, negatively affect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risks, which leaves us exposed to significant uninsured liabilities.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to which our business is or may be exposed. Some of the policies we maintain include general liability, product liability, property, employee benefits liability, employment practices, workers’ compensation, cybersecurity, directors’ and officers’ insurance, and umbrella. We do not know, however, if we will be able to maintain insurance coverage at a reasonable cost or in sufficient amounts or scope to protect us against losses. Even if we obtain insurance, a claim could exceed the amount of our insurance coverage or it may be excluded from coverage under the terms of the policy. Any significant uninsured liability may require us to pay substantial amounts, which would adversely affect our cash position and results of operations.</w:t>
      </w:r>
    </w:p>
    <w:p>
      <w:pPr>
        <w:spacing w:after="0" w:line="183"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third party service providers may engage in misconduct or other improper activities, including noncompliance with regulatory standards and requirements and insider trading.</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or third party service provider fraud or other misconduct. Misconduct by employees or third party service providers could include intentional failures to comply with the regulations of the FDA or foreign regulators, to provide accurate information to the FDA or foreign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Employee or third party service provider misconduct could also involve the improper use of information obtained in the course of clinical trials, which could result in regulatory sanctions and cause serious harm to our reputation. If any actions alleging such misconduct are instituted against us, and we are not successful in defending ourselves or asserting our rights, those actions could have a significant effect on our business, including the imposition of significant fines or other sanctions.</w:t>
      </w:r>
    </w:p>
    <w:p>
      <w:pPr>
        <w:spacing w:after="0" w:line="18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of potential liability related to the privacy of personal information, including health information we utilize in the development of our products, as well as information we obtain from clinical trials sponsored by us from research institutions and directly from individuals.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our partners and vendors may be subject to various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including the federal Health Insurance Portability and Accountability Act of 1996 (HIPAA) and privacy and security requirements under HIPAA, as amended by the Health Information Technology for Economic and Clinical Health Act of 2009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There is no certainty that all of our employees, agents, suppliers, manufacturers, contractors, or collaborators, or those of our affiliates, will comply with all applicable laws and regulations, particularly given the high level of complexity of these laws. Even when HIPAA does not apply, failing to take appropriate steps to keep consumers’ personal information secure may constitute a violation of the Federal Trade Commission Act. In addition, certain of the materials we use as starting material in our iPSC-derived product candidates are derived from human sources, which potentially contain sensitive identifiable personal information regarding the donor. In addition, in conducting our clinical trials, we may maintain sensitive identifiable personal information, including health information, that we receive throughout the clinical trial process, in the course of our research collaborations, and directly from individuals (or their healthcare providers) who enroll in our clinical trials. As such, we may become subject to further obligations under HIPAA. Our collection of personal information generally (e.g., of employees currently and/or of patients in the future) may subject us to state data privacy laws governing the processing of personal information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120"/>
        <w:spacing w:after="0" w:line="254" w:lineRule="auto"/>
        <w:rPr>
          <w:sz w:val="20"/>
          <w:szCs w:val="20"/>
          <w:color w:val="auto"/>
        </w:rPr>
      </w:pPr>
      <w:r>
        <w:rPr>
          <w:rFonts w:ascii="Times New Roman" w:cs="Times New Roman" w:eastAsia="Times New Roman" w:hAnsi="Times New Roman"/>
          <w:sz w:val="18"/>
          <w:szCs w:val="18"/>
          <w:color w:val="auto"/>
        </w:rPr>
        <w:t>and requiring notification of affected individuals and state regulators in the event of a breach of such personal information. These state laws include the California Consumer Privacy Act, as amended by the California Privacy Rights Act (the CCPA), which establishes data privacy rights for residents of the State of California, with corresponding obligations on businesses related to transparency, deletion rights, and opt-out of the selling or sharing of personal information, and grants a private right of action for individuals in the event of certain security breaches. Similar laws relating to data privacy and security have passed in numerous other states, which may have potentially conflicting requirements that would make compliance challenging, require us to expend significant resources to come into compliance, and restrict our ability to process certain personal information. Moreover, some states have advanced privacy laws focused on protecting consumer health information, such as Washington’s My Health My Data Act, and this remains a rapidly changing legislative and regulatory environment.</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Certain state laws may be more stringent or broader in scope than the CCPA, or offer greater individual rights, with respect to confidential, sensitive and personal information than federal, international or other state laws, and such laws may differ from each other, which may complicate compliance efforts.</w:t>
      </w:r>
    </w:p>
    <w:p>
      <w:pPr>
        <w:spacing w:after="0" w:line="176"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An increasing number of foreign data protection laws, regulations and industry standards may also apply to personal information we obtain from individuals outside of the United States. For example, the European Union’s General Data Protection Regulation (EU GDPR) and the United Kingdom’s General Data Protection Regulation (UK GDPR) impose strict requirements for processing the personal data of individuals within the EEA and UK, including health-related data, and on the transfer of personal data out of the European Economic Area (EEA) and United Kingdom (UK) to non-adequate territories such as the United States; any inability to transfer personal data from the EEA and UK to the United States in compliance with data protection laws may impede our ability to conduct trials and may adversely affect our business and financial position. Failure to comply with the requirements of the EU GDPR may result in potential fines for companies of up to the greater of €20 million (£17.5 million for the UK GDPR) or 4% of annual global revenue and other administrative penalties. In addition, under the EU GDPR and UK GDPR, companies may face private litigation related to processing of personal data brought by classes of data subjects or consumer protection organizations authorized at law to protect their interests. Although the EU GDPR and the UK GDPR currently impose substantially similar obligations, it is possible that over time the UK GDPR could become less aligned with the EU GDPR, particularly with the introduction of the new Data Reform Bill into the UK legislative process.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and could require us to amend our processes and procedures to implement different compliance measures for the UK and the EEA.</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2024, the U.S. Department of Justice issued regulations implementing Executive Order (EO) 14117, “Preventing Access to Americans’ Bulk Sensitive Personal Data and United States Government-Related Data by Countries of Concern,” which became effective on April 8, 2025. These regulations prohibit transactions involving access to bulk sensitive data by countries of concern, such as China (including Hong Kong). In the life sciences sector, the regulations prohibit investment agreements, employment agreements, vendor agreements, and other transactions involving human genomic data and biospecimens, except where necessary for specified exempt activities. Tracking and complying with these regulations may require significant time and expense.</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likely to be required to expend significant capital and other resources to ensure ongoing compliance with applicable data privacy and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 If we fail to keep apprised of and comply with applicable international, federal, state, or local regulatory requirements, we could be subject to a range of regulatory actions that could affect our or any collaborators’ ability to seek to commercialize our clinical candidates. Any threatened or actual government enforcement action or litigation could also generate adverse publicity, damage our reputation, result in liabilities, fines and loss of business, and require that we devote substantial resources that could otherwise be used in other aspects of our business.</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make public statements about our use and disclosure of personal information through our privacy policy information provided on our internet platform and press statements. Although we endeavor to comply with our public statements and documentation, we may at times fail to do so or be alleged to have failed to do so. Moreover, despite our efforts, we may not be successful in achieving compliance if our employees or contractual partners fail to comply with our published policies, certifications and documentation. The publication of our privacy policy and other statements that provide promises and assurances about data privacy and security can subject us to potential government or legal action if they are found to be deceptive, unfair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spacing w:after="0" w:line="255" w:lineRule="auto"/>
        <w:rPr>
          <w:sz w:val="20"/>
          <w:szCs w:val="20"/>
          <w:color w:val="auto"/>
        </w:rPr>
      </w:pPr>
      <w:r>
        <w:rPr>
          <w:rFonts w:ascii="Times New Roman" w:cs="Times New Roman" w:eastAsia="Times New Roman" w:hAnsi="Times New Roman"/>
          <w:sz w:val="18"/>
          <w:szCs w:val="18"/>
          <w:color w:val="auto"/>
        </w:rPr>
        <w:t>misrepresentative of our actual practices. Any failure, real or perceived, by us to comply with our posted privacy policies or with any legal or regulatory requirements, standards, certifications or orders or other privacy or consumer protection-related laws and regulations applicable to us could cause our prospective customers to reduce their use of our products and could materially and adversely affect our business, financial condition and results of operations. In many jurisdictions, enforcement actions and consequences for non-compliance can be significant and are rising. In addition, from time to time, concerns may be expressed about whether our products or processes compromise the privacy of customers and others. Concerns about our practices with regard to the collection, use, retention, security, disclosure, transfer and other processing of personal information or other privacy-related matters, even if unfounded, could damage our reputation and materially and adversely affect our business, financial condition and results of operations.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or security incident.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in a manner that requires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contract partners and the physician and patient community and have a material and adverse impact on our business.</w:t>
      </w:r>
    </w:p>
    <w:p>
      <w:pPr>
        <w:spacing w:after="0" w:line="188"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use of artificial intelligence-based software (including machine learning) may result in reputational harm or liability or could otherwise adversely affect our business.</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use and integrate artificial intelligence (AI) tools in our business operations. As with many developing technologies, AI tools present risks and challenges that could affect their further development, adoption, and use, and therefore our business. For example, algorithms may be flawed; data sets may be insufficient, of poor quality, or contain biased information; and inappropriate or controversial data practices by data scientists, engineers, and end-users could impair results. If the analyses that AI applications assist in producing are deficient or inaccurate, we could be subject to competitive harm, potential legal liability, and reputational harm. Furthermore, use of AI-based software may lead to the inadvertent release of confidential information which may impact our ability to realize the benefit of our intellectual property rights.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AI, and use of such technologies in compliance with ethical standards and societal expectations. For example, the EU’s Artificial Intelligence Act (AI Act) imposes significant obligations on providers and deployers of AI systems, and encourages providers and deployers of AI systems to account for EU ethical principles in their development and use of these systems. Likewise, in the United States, several states, including Colorado and California, passed laws to regulate various uses of AI, including to make consequential decisions. In addition, various federal regulators have issued guidance and focused enforcement efforts on the use of AI in regulated sectors. The FDA, for example, issued draft guidance on the use of AI in regulatory-decision 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will need to apply significant resources to design, develop, test and maintain such systems in accordance with applicable law, regulation, or guidance, with the potential for significant enforcement or litigation in the event of any perceived non-compliance. We expect other jurisdictions will adopt similar laws. Uncertainty in the legal regulatory regime may require significant resources to modify and maintain business practices to comply with U.S. and non-U.S. laws, the nature of which cannot be determined at this time.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presents risks and challenges.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us, our programs, and the diseases our product candidates are being developed to treat. We also work with third parties, including patient advocacy organizations and patient recruitment firms, to raise awareness of our clinical trials, and these third parties often use social media to communicate with patients. Social media use in the biotechnology and biopharmaceutical industry continues to evolve, and applicable regulations and guidance are not always clear. This creates uncertainty and risk of noncompliance with laws governing marketing, communications, and clinical trial disclosures, which could result in regulatory actions, litigation, or heightened scrutiny by the FDA, SEC, and other regulators.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media website, or a risk that a post on a social media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our employees have been impersonated by bad actors, who are believed to have drawn on publicly available information from our social media, such as LinkedIn, to make fraudulent job offers. While these incidents have not been material to date, similar activity could occur in the future. Misinformation disseminated from fraudulent accounts impersonating our employees or our business could harm our business and reputation.</w:t>
      </w:r>
    </w:p>
    <w:p>
      <w:pPr>
        <w:spacing w:after="0" w:line="172"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vendors, and consultants may be vulnerable to damage from cybersecurity risks, including attempts to gain unauthorized access to and to harm sensitive or confidential information and networks, insider threats, and ransomware. These vulnerabilities may be heightened as a result of flexible work arrangements, including hybrid or remote work policies implemented by us and our third-party contractors, that were first adopted in response to the COVID-19 pandemic and have continued by many businesses in an effort to attract and retain talent.</w:t>
      </w:r>
    </w:p>
    <w:p>
      <w:pPr>
        <w:spacing w:after="0" w:line="183"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from time to time experienced, and will continue to experience in the future, cyberattacks on our information technology systems, including malware and computer virus attacks, despite our best efforts to prevent them. Although such incidents have been immaterial to our business to date, investigations into and remedial efforts in connection with any security incidents, even those with immaterial impact, can be costly and time-consuming, and any future incidents could be material, or cause significant disruption, to our business. Our technologies, systems, networks, or other proprietary information, and those of our vendors, suppliers and other business partners, may become the target of cyberattacks or data breaches that could result in the unauthorized release, gathering, monitoring, misuse, loss, or destruction of proprietary and other information, or could otherwise lead to the disruption of our business operations. For example, the loss of clinical trial data from completed,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cybersecurity incidents. If they fail to do so, we may suffer financial and other harm, including to our information, operations, performance, and reputation. To the extent that any cybersecurity incident or data breach were to result in a loss of, or damage to, our data or systems, or inappropriate disclosure of confidential or proprietary information, we may have an obligation to provide legal notifications and disclosures, and we could incur liability and the further development and commercialization of our product candidates could be delayed.</w:t>
      </w:r>
    </w:p>
    <w:p>
      <w:pPr>
        <w:spacing w:after="0" w:line="19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Cybersecurity threats, both on premises and in the cloud, are evolving and could occur and result in information theft, data corruption, operational disruption, damage to our reputation, or financial loss. Such threats include, but are not limited to: malicious software, destructive malware, ransomware attacks, denial-of-service attacks, business email compromises, viruses, wrongful intrusions, social engineering (including phishing attacks), attempts to gain unauthorized access to systems or data, data</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ind w:right="40"/>
        <w:spacing w:after="0" w:line="253" w:lineRule="auto"/>
        <w:rPr>
          <w:sz w:val="20"/>
          <w:szCs w:val="20"/>
          <w:color w:val="auto"/>
        </w:rPr>
      </w:pPr>
      <w:r>
        <w:rPr>
          <w:rFonts w:ascii="Times New Roman" w:cs="Times New Roman" w:eastAsia="Times New Roman" w:hAnsi="Times New Roman"/>
          <w:sz w:val="18"/>
          <w:szCs w:val="18"/>
          <w:color w:val="auto"/>
        </w:rPr>
        <w:t>breaches, the unauthorized release of confidential, personal or otherwise protected information, data corruption, the breakdown or damage or interruption of networks or systems from, among other things, natural disasters, terrorism, war, telecommunication and electrical failures, and harm to individuals. In addition, we could be impacted by cybersecurity threats or other disruptions or vulnerabilities found in products or services we use that are provided to us by third-parties. The risk of a security breach or disruption, particularly through cyberattacks or cyber intrusion, including by computer hackers, cyber criminals, hacktivists, foreign governments, and cyber terrorists, has generally increased as the number, intensity and sophistication of attempted attacks and intrusions from around the world have increased. The techniques used by criminal elements to attack computer systems are sophisticated, change frequently and may originate from less regulated and remote areas of the world. Attempts to disrupt or gain unauthorized access to our and our third-party vendors’ information systems from malicious third parties or insider threats may be enhanced or facilitated by evolving technologies, including artificial intelligence.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spacing w:after="0" w:line="19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Securities Exchange Commission (SEC), the National Institutes of Health (NIH) and other government agencies, including from government shutdowns, or other disruptions to these agencies’ staffing and operations, could hinder their ability to hire, retain or deploy personnel, and substantial leadership, personnel, and policy changes or otherwise could prevent new products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of these factors. Disruptions at the FDA and other agencies, including substantial leadership departures, personnel cuts and policy changes, may also slow the time necessary for new product candidates to be reviewed and/or approved by necessary government agencies, which would adversely affect our business. 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Additionally, disruptions at the NIH or changes to the NIH’s budget may negatively impact our operations, research and development activities and ongoing clinical trials. Further, future government shutdowns could impact our ability to access the public markets and obtain necessary capital in order to properly fund and continue our operations.</w:t>
      </w:r>
    </w:p>
    <w:p>
      <w:pPr>
        <w:spacing w:after="0" w:line="18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the current U.S. presidential administration, there is substantial uncertainty as to the extent and manner in which the U.S. government will continue to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or may decline regardless of our operating performance.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has fluctuated in the past and could be subject to wide fluctuations in the future as a result of many risks listed in this section, and other risks beyond our control, including:</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of, and progress in, our current and planned clinical trials and preclinical studies;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 and the results of clinical trials and preclinical studies by others for product candidates or indications similar to ours;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the FDA or to regulations applicable to cellular immunotherapies generally or our product candidates in particular including, but not limited to, regulatory pathways and clinical trial requirements for approvals;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 or any changes in, or termination of, any such significant arrangement or relationship, such as our announcement in January 2023 of the termination of our collaboration with Janssen;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proprietary rights including patents, litigation matters and our ability to obtain patent protection for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research and development activities and our business prospects, including in relation to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technological innovations or new therapeutic products by us or others in the field of immunotherapy;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equity or debt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our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(including changes related to stock-based compensation from performance-based awards);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periods of widespread civil unrest, including the increasingly volatile global economic conditions resulting from the ongoing global geopolitical tensions, including wars and other armed conflicts;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inflationary pressures, tariffs and stock market volatility.</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and other market and industry factors, including the effects of any future public health crises or other public health concerns, wars or other armed conflicts, changes in the regulatory landscape and governmental agency personnel in the United States or similar events resulting from the change in the U.S. presidential administration, and global economic conditions,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Changes in our stock price may also trigger financial obligations under our licensing arrangements. For example, pursuant to the terms of the Amended MSKCC License, MSKCC is eligible to receive from us certain milestone payments totaling up to $75.0 million based on the price of our common stock, where the amount of such payments owed to MSKCC is contingent upon certain increases in the price of our common stock following the date of achievement of a specified clinical milestone. In July 2021, we achieved the specified clinical milestone for a licensed product under the Amended MSKCC License and our ten-trading day trailing average common stock price exceeded the first, pre-specified threshold. Accordingly, MSKCC received the first milestone payment of $20.0 million in November 2021; however, uncertainty of the price of our common stock results in an inability to ascertain the precise timing of any remaining future milestone payments in advance.</w:t>
      </w:r>
    </w:p>
    <w:p>
      <w:pPr>
        <w:spacing w:after="0" w:line="18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common stock is delisted from the Nasdaq Global Market, the liquidity of our common stock would be adversely affected and the market price of our common stock could decrease.</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3" w:name="page74"/>
    <w:bookmarkEnd w:id="73"/>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(Nasdaq), which has minimum requirements that a company must meet in order to remain listed such market, including that we maintain a minimum closing bid price of $1.00 per share. If we fail to maintain such minimum requirements and a final determination is made by Nasdaq that our common stock must be delisted, our ability to raise additional funds and the liquidity of our common stock would be adversely affected, and the market price of our common stock could decrease. Our failure to be listed on Nasdaq or another national securities exchange would have a material adverse effect on the value of your investment in us.</w:t>
      </w:r>
    </w:p>
    <w:p>
      <w:pPr>
        <w:spacing w:after="0" w:line="179"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exercise significant control over our company.</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May 7, 2026, our executive officers, directors and entities affiliated with our five percent stockholders beneficially own, in the aggregate, shares representing approximately 40.2% of our outstanding voting stock. If, in accordance with the CoD (as such term is defined in Note 8 of the notes to the consolidated financial statements herewith) relating to the Class A Convertible Preferred Stock, Redmile (as such term is defined in Note 8 of the notes to the consolidated financial statements herewith) elects to remove certain limitations on the percentage of our outstanding common stock that it may own such that the 2,755,086 shares of Class A Convertible Preferred Stock currently held by Redmile become fully convertible at Redmile’s option into 13,775,430 shares of common stock, the beneficial ownership of our executive officers, directors and entities affiliated with our five percent stockholders would increase to 43.9%. Although we are not aware of any voting arrangements in place among these stockholders, if these stockholders were to choose to act together, as a result of their stock ownership, they would be able to influence our management and affairs and control all matters submitted to our stockholders for approval, including the election of directors and approval of any merger, consolidation or sale of all or substantially all of our assets. This concentration of ownership may have the effect of delaying or preventing a change in control of our company that our other stockholders may believe are in their best interests, or adversely affecting the liquidity, volatility, and market price of our common stock. For example, if any of our directors, executive officers or other entities affiliated with our five percent stockholders elect to sell, transfer or otherwise dispose of a significant amount of shares of our common stock, this could result in a decrease in our stock price. Furthermore, any transferees or successors of all or a significant portion of our existing stockholders’ ownership in us will be able to exert a similar amount of control over us through their ownership position.</w:t>
      </w:r>
    </w:p>
    <w:p>
      <w:pPr>
        <w:spacing w:after="0" w:line="193"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 Issuances of common stock or rights to purchase common stock under our equity incentive plans could result in additional dilution of the percentage ownership of our stockholders and could cause our stock price to fall.</w:t>
      </w:r>
    </w:p>
    <w:p>
      <w:pPr>
        <w:spacing w:after="0" w:line="1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and we may seek additional funding through a combination of equity offerings, debt financings, state or government grants, strategic alliances, licensing and collaboration arrangements, or other third-party business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Further, in November 2023, we filed a registration statement on Form S-3 pursuant to which we were initially eligible to issue and sell up to $300.0 million in common stock, preferred stock, debt securities, warrants and/or units, in one or more series or classes, including up to $100.0 million in shares of common stock that may be issued in sales deemed to be an “at the market offering” as defined by the Securities Act of 1933, as amended (the Securities Act). In March 2024, we issued and sold 14,545,454 shares of our common stock at a purchase price of $5.50 per share in an underwritten offering pursuant to the shelf registration statement for aggregate gross proceeds of approximately $80.0 million. Accordingly, we are currently eligible to issue an aggregate of approximately $220.0 million under the shelf registration statement (including the $100.0 million issuable in “at the market offerings”). Any sale or issuance of securities pursuant to a registration statement or otherwise may result in dilution to our stockholders and may cause the market price of our stock to decline, and new investors could gain rights superior to our existing stockholders. In addition, any debt financings that we may enter into in the future may subject us to unfavorable repayment terms, including increased interest rates, impose restrictive covenants or otherwise adversely affect the holdings or the rights of our stockholders, and any additional equity financings will be dilutive to our stockholders. Furthermore, additional equity or debt financing might not be available to us on reasonable terms, if at all.</w:t>
      </w:r>
    </w:p>
    <w:p>
      <w:pPr>
        <w:spacing w:after="0" w:line="19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Pursuant to our 2022 Stock Option and Incentive Plan (as amended and restated, the 2022 Plan) we are authorized to grant stock options and other equity-based awards to our employees, officers, directors and consultants. The 2022 Plan currently authorizes the issuance of up to 24.5 million shares. We also make equity grants to new employees joining our company pursuant to our inducement plan, and our board of directors may elect to increase the number of shares available for future grants under the inducement plan without stockholder approval. In March 2026, our board of directors approved a third amendment and restatement of the 2022 Plan, subject to stockholder approval, to increase the number of shares authorized for issuance under the 2022 Plan by 7.0 million shares, which would increase the total number of shares authorized for issuance under the 2022 Plan to 31.5 million shares. If our board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80"/>
        <w:spacing w:after="0" w:line="282" w:lineRule="auto"/>
        <w:rPr>
          <w:sz w:val="20"/>
          <w:szCs w:val="20"/>
          <w:color w:val="auto"/>
        </w:rPr>
      </w:pPr>
      <w:r>
        <w:rPr>
          <w:rFonts w:ascii="Times New Roman" w:cs="Times New Roman" w:eastAsia="Times New Roman" w:hAnsi="Times New Roman"/>
          <w:sz w:val="18"/>
          <w:szCs w:val="18"/>
          <w:color w:val="auto"/>
        </w:rPr>
        <w:t>directors elects in the future to increase the number of shares available for future grant and, in the case of the 2022 Plan, if our stockholders approve of any such future increase, our stockholders may experience additional dilution, and our stock price may fall.</w:t>
      </w:r>
    </w:p>
    <w:p>
      <w:pPr>
        <w:spacing w:after="0" w:line="15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we registered all of the 5,250,000 shares of common stock issued by us in our August 2016 private placement transaction for resale on a Form S-3, which was declared effective by the SEC in September 2016. We also registered all of the 6,766,915 shares of common stock issued by us and all 14,097,745 shares of common stock issuable upon the conversion of an aggregate of 2,819,549 shares of Class A Convertible Preferred Stock issued by us in our November 2016 private placement transaction for resale on a Form S-3, which was declared effective by the SEC in January 2017. Additionally, we registered all of the 5,380,117 shares of common stock issued by us and all of the 257,310 prefunded warrants to purchase common stock in our public offering in January 2021. We registered all of the 14,545,454 shares of common stock issued by us in our underwritten offering in March 2024. In addition, we registered for resale all of the 3,636,364 shares of common stock issuable upon exercise of the pre-funded warrants sold in the concurrent private placement in March 2024.</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also registered or intend to register all shares of our common stock subject to options, restricted stock units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certain of our executive officers, directors, employees and affiliates have established and may in the future establish programmed selling plans under Rule 10b5-1 of the Securities Exchange Act of 1934, as amended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Delaware law or our charter documents could delay or prevent an acquisition of our company, and could make it more difficult for you to change management.</w:t>
      </w:r>
    </w:p>
    <w:p>
      <w:pPr>
        <w:spacing w:after="0" w:line="15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Provisions of Delaware law,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7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 or to call special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make, alter or repeal our amended and restated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Any provision of our amended and restated certificate of incorporation or amended and restated bylaws or Delaware law that has the effect of delaying or discouraging a potential acquisition proposal or tender offer could limit the opportunity for our stockholders to achieve liquidity for their shares of our common stock, even if the acquisition proposal or tender offer is at a premium over the then-current market price for our common stock, and could also affect the price that some investors are willing to pay for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and the U.S. federal district courts as the exclusive forum for certain litigation that may be initiated by our stockholders, which could limit our stockholders’ ability to litigate disputes with us in a different judicial forum.</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arising pursuant to any provision of the General Corporation Law of the State of Delaware, our amended and restated certificate of incorporation or our amended and restated bylaws; or (iv) any action asserting a claim governed by the internal affairs doctrine. This exclusive forum provision will not apply to any causes of action arising under the Securities Act. Unless we consent in writing to the selection of an alternate forum, the U.S. federal district courts shall be the sole and exclusive forum for resolving any complaint asserting a cause of action arising under the Securities Act. The forum selection clause in our amended and restated bylaws may limit our stockholders’ ability to litigate disputes with us in a different judicial forum. While the Delaware courts have determined that these types of forum provisions are facially valid, a stockholder may nevertheless seek to bring a claim in a venue other than those designated in the exclusive forum provisions. In such instance, we may incur significant additional costs associated with resolving the dispute in other jurisdictions, and there can be no assurance that the provisions will be enforced by a court in those other jurisdictions.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sustained decline in our stock price may result in an impairment indicator which could have an adverse impact on our results of operations.</w:t>
      </w:r>
    </w:p>
    <w:p>
      <w:pPr>
        <w:spacing w:after="0" w:line="229"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Any significant change in market conditions, including a sustained decline in our stock price, may give rise to indicators of impairment in the period that the change becomes known. For example, during the year ended December 31, 2024, we identified an indicator of impairment of our long-lived assets due to a sustained decline in the trading price of our common stock over the preceding year, resulting in our market capitalization being below our net asset value. As a result of the fair value analysis, we recorded a $13.4 million impairment charge against property and equipment and a $1.3 million impairment charge against the right-of-use asset in the statement of operations during the year ended December 31, 2024.</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qualify as a “smaller reporting company” and a “non-accelerated filer,” and any decision on our part to comply only with certain reduced reporting and disclosure requirements applicable to such companies could make shares of our common stock less attractive to investors.</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but not limited to, an exemption from the requirement that our independent registered public accounting firm attest to the design and operating effectiveness of our internal controls over financial reporting under Section 404(b) of the Sarbanes-Oxley Act.</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choose to rely on any of these reporting and disclosure exemptions, the information we provide stockholders will be different than the information that is available with respect to many other public companies. Moreover, if some investors find our common stock less attractive as a result of any choices to reduce future disclosure or have an independent review and attestation of our internal control over financial reporting, there may be a less active trading market for our common stock and the market price of our common stock may be more volatile.</w:t>
      </w:r>
    </w:p>
    <w:p>
      <w:pPr>
        <w:spacing w:after="0" w:line="176"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benefits may be limited and, as a result, our future tax liability may increase.</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of $879.1 million and $773.3 million, respectively, some of which begin to expire in various amounts in 2027 and 2028, respectively. As of December 31, 2025, we also had federal and California research and development tax credit carryforwards of $48.5 million and $40.1 million, respectively. The federal research and development tax credit carryforwards will begin to expire in 2035 unless previously utilized, while the California carryforwards will carry forward indefinitely. These net operating loss and tax credit carryforwards could expire unused and be unavailable to offset future income tax liabilities. In addition, in general, under Sections 382 and 383 of the Internal Revenue Code of 1986, as amended, a corporation that undergoes an “ownership change” is subject to limitations on its ability to utilize its pre-change net operating losses (NOLs) or tax credits, or NOLs or credits, to offset future taxable income or taxes. Generally, a change of more than 50 percentage points in the ownership of a corporation’s stock, by value, over a three-year period constitutes an ownership change for U.S. federal income tax purposes. We have determined that we triggered an ownership change limitation in November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spacing w:after="0" w:line="256" w:lineRule="auto"/>
        <w:rPr>
          <w:sz w:val="20"/>
          <w:szCs w:val="20"/>
          <w:color w:val="auto"/>
        </w:rPr>
      </w:pPr>
      <w:r>
        <w:rPr>
          <w:rFonts w:ascii="Times New Roman" w:cs="Times New Roman" w:eastAsia="Times New Roman" w:hAnsi="Times New Roman"/>
          <w:sz w:val="18"/>
          <w:szCs w:val="18"/>
          <w:color w:val="auto"/>
        </w:rPr>
        <w:t>2009 and again in May 2015. We have determined that we do not believe there were any ownership changes from May 2015 through December 2025. We have not analyzed periods subsequent to December 2025. We may experience additional ownership changes as a result of shifts in our stock ownership in the future. Limits on our ability to use our pre-change NOLs or credits to offset U.S. federal taxable income could potentially result in increased future tax liability to us if we earn net taxable income in the future. The amount of NOLs generated in taxable periods beginning after December 31, 2017, that we are permitted to deduct in any taxable year is limited to 80% of our taxable income in such year, where taxable income is determined without regard to the NOL deduction itself. U.S. federal and certain state NOLs generated in taxable years beginning after December 31, 2017 are not subject to expiration.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and could be further subject to securities class action litigation and other types of stockholder litigation.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stock market in general, and Nasdaq and biotechnology companies in particular, have experienced extreme price and volume fluctuations that have often been unrelated or disproportionate to the operating performance of these companies. Securities class action litigation has often been instituted against companies following periods of volatility in the market price of a company’s securities. For example, in January 2023, a purported stockholder filed a lawsuit against us and certain of our officers captioned Hadian v. Fate Therapeutics, Inc. et al. in the U.S. District Court for the Southern District of California and two derivative actions were filed in the same court in June 2023 and June 2024, respectively. An additional derivative action was filed in the Court of Chancery of the State of Delaware in December 2025 (see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for a more detailed description of these matters). We could also be subject to other types of litigation, which may involve claims of breach of fiduciary duties by our directors or officers for misuse/mismanagement of company assets/resources or conflicts of interest. Any such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88"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may subject us to disputes, claims and lawsuits, which may be costly and time-consuming and could materially and adversely impact our financial position and results of operations.</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disputes, claims and lawsuits relating to our business operations. For example, we have in the past and we may, from time to time, face or initiate claims related to intellectual property matters, employment matters, or commercial disputes. Any dispute, claim or lawsuit may divert management’s attention away from our business, we may incur significant expenses in addressing or defending any dispute, claim or lawsuit, and we may be required to pay damage awards or settlements or become subject to equitable remedies that could adversely affect our operations and financial results. Litigation related to these disputes may be costly and time-consuming and could materially and adversely impact our financial position and results of operations if resolved against us. In addition, the uncertainty associated with litigation could lead to increased volatility in our stock price.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ability to invest in and expand our business and meet our financial obligations, to attract and retain third-party contractors and collaboration partners and to raise additional capital depends on our operating and financial performance, which, in turn, is subject to numerous factors, including the prevailing economic and political conditions and financial, business, regulatory and other factors beyond our control, such as the rate of unemployment, rate of inflation, the number of uninsured persons in the United States, political influences and inflationary pressures, and fluctuations in costs, particularly due to changes in labor costs and material costs. For example, an overall decrease in or loss of insurance coverage among individuals in the United States due to high levels of unemployment, underemployment or the repeal of certain provisions of the ACA and changes to other federal healthcare programs may decrease the demand for healthcare services and pharmaceuticals. These changes could adversely impact our clinical trial recruitment, particularly in underserved populations. In addition, if fewer patients are seeking medical care because they do not have insurance coverage or are unable to obtain medical care for their conditions due to resource constraints on the healthcare system, we may experience difficulties in any eventual commercialization of our product candidates and our business, results of operations, financial condition and cash flows could be adversely affected. In addition, if we are unable to manage cost fluctuations and inflationary pressures, including prices of materials, costs of labor, it may adversely impact our operating performance, expenses and results.</w:t>
      </w:r>
    </w:p>
    <w:p>
      <w:pPr>
        <w:spacing w:after="0" w:line="19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our results of operations could be adversely affected by general conditions in the global economy and in the global financial markets upon which pharmaceutical and biopharmaceutical companies such as us are dependent for sources of capital. In the past, global financial crises have caused extreme volatility and disruptions in the capital and credit markets. A severe or prolonged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7" w:name="page78"/>
    <w:bookmarkEnd w:id="77"/>
    <w:p>
      <w:pPr>
        <w:ind w:right="80"/>
        <w:spacing w:after="0" w:line="258" w:lineRule="auto"/>
        <w:rPr>
          <w:sz w:val="20"/>
          <w:szCs w:val="20"/>
          <w:color w:val="auto"/>
        </w:rPr>
      </w:pPr>
      <w:r>
        <w:rPr>
          <w:rFonts w:ascii="Times New Roman" w:cs="Times New Roman" w:eastAsia="Times New Roman" w:hAnsi="Times New Roman"/>
          <w:sz w:val="18"/>
          <w:szCs w:val="18"/>
          <w:color w:val="auto"/>
        </w:rPr>
        <w:t>economic downturn, ongoing and emerging global geopolitical tensions, including wars or other armed conflicts, interest rate fluctuations, rising inflation rates or recession, could result in a variety of risks to our business, including a reduced ability to raise additional capital when needed on acceptable terms, if at all, and weakened demand for our product candidates. A weak or declining economy, and rising inflation could also strain our suppliers, possibly resulting in supply disruption. Any of the foregoing could harm our business and we cannot anticipate all of the ways in which ongoing wars and other armed conflicts, current economic climate and financial market conditions could adversely impact our business.</w:t>
      </w:r>
    </w:p>
    <w:p>
      <w:pPr>
        <w:spacing w:after="0" w:line="179"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59"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intend to expand our clinical operations to countries other than the U.S., and are developing products for regulatory approval and sale in countries throughout the world. Significant political, trade, or regulatory developments in the jurisdictions in which we may conduct clinical trials, develop, or sell our products, such as those stemming from the change in U.S. federal administration, are difficult to predict and may have a material adverse effect on us. Similarly, changes in U.S. federal policy that affect the geopolitical landscape, such as supply chain disruptions and delays as a result of any new tariff policies or trade restrictions, could give rise to circumstances outside our control that could have negative impacts on our business operations. For example, in early 2025, the U.S. imposed and adjusted a series of tariffs on imports from key trading partners, including Canada, Mexico, China and the European Union. Since then, tariff activity has continued to escalate, with new rounds of increases, expanded coverage to additional goods and materials, pauses, and shifting implementation timelines. In response to tariffs, other countries have implemented retaliatory tariffs on imports from the United States. Historically, tariffs have led to increased trade and political tensions.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current U.S. presidential administration has threatened to impose additional significant tariffs on pharmaceutical products, which could lead to corresponding punitive actions by countries outside the United States. Any changes in political, trade, regulatory, and economic conditions, including U.S. trade policies, could have a material adverse effect on our financial condition or results of operations.</w:t>
      </w:r>
    </w:p>
    <w:p>
      <w:pPr>
        <w:spacing w:after="0" w:line="172"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capital markets and lower market prices for our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1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respond to business challenges or opportunities, develop new product candidates, retain or expand our current levels of personnel, improve our existing products,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72"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or our existing product candidates and develop or enhance our technological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in-licenses or other strategic relationships;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85"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interest rates could affect our ability to obtain working capital through borrowings such as bank credit lines and public or private sales of debt securities, which may result in lower liquidity, reduced working capital and other adverse impacts on our business.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8" w:name="page79"/>
    <w:bookmarkEnd w:id="78"/>
    <w:p>
      <w:pPr>
        <w:ind w:firstLine="509"/>
        <w:spacing w:after="0" w:line="266" w:lineRule="auto"/>
        <w:rPr>
          <w:sz w:val="20"/>
          <w:szCs w:val="20"/>
          <w:color w:val="auto"/>
        </w:rPr>
      </w:pPr>
      <w:r>
        <w:rPr>
          <w:rFonts w:ascii="Times New Roman" w:cs="Times New Roman" w:eastAsia="Times New Roman" w:hAnsi="Times New Roman"/>
          <w:sz w:val="18"/>
          <w:szCs w:val="18"/>
          <w:color w:val="auto"/>
        </w:rPr>
        <w:t>To meet our liquidity needs, we have previously relied, in part, on borrowed funds, and may do so again in the future. Continued volatility in interest rates will impact the cost of new indebtedness and could materially and adversely affect our results of operations, financial condition, liquidity and cash flows.</w:t>
      </w:r>
    </w:p>
    <w:p>
      <w:pPr>
        <w:spacing w:after="0" w:line="172"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governments and third-parties relating to environmental, social and governance (ESG) policies and practices may cause us to incur additional costs, expose us to additional risks or impact our reputation.</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recent years, there has been increasing public focus and scrutiny from certain investors, employees and other stakeholders concerning corporate responsibility, specifically related to ESG factors. In addition to the changing rules and regulations related to ESG matters imposed by governmental and self-regulatory organizations, a variety of third-party organizations, institutional investors and business partners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 Third-party providers of ESG ratings and reports on companies have increased in number, resulting in varied and, in some cases, inconsistent standards and frameworks. Topics taken into account in such assessments include, among others, our efforts and impacts with respect to climate change and the role of our board of directors in supervising various sustainability issues.</w:t>
      </w:r>
    </w:p>
    <w:p>
      <w:pPr>
        <w:spacing w:after="0" w:line="188"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current U.S. presidential administration having recently issued an executive order opposing diversity equity and inclusion (DEI) initiatives in the private sector. Such anti-ESG and anti-DEI-related policies, legislation, initiatives, litigation, legal opinions, and scrutiny could result in our facing additional compliance obligations, becoming the subject of investigations and enforcement actions, or sustaining reputational harm.</w:t>
      </w:r>
    </w:p>
    <w:p>
      <w:pPr>
        <w:spacing w:after="0" w:line="19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our business practices do not meet evolving investor, government agency or other stakeholder expectations and standards with respect to ESG, then our reputation, our ability to attract or retain employees and the market price of our securities could be negatively impacted. New governmental regulations could result in new directives and new or more stringent forms of ESG oversight and disclosures which may lead to increased expenditures for sustainability initiatives, which in turn could have a material adverse effect on our business, financial condition, cash flows and results of operations and could cause the market value of our common stock to decline.</w:t>
      </w:r>
    </w:p>
    <w:p>
      <w:pPr>
        <w:spacing w:after="0" w:line="179" w:lineRule="exact"/>
        <w:rPr>
          <w:sz w:val="20"/>
          <w:szCs w:val="20"/>
          <w:color w:val="auto"/>
        </w:rPr>
      </w:pPr>
    </w:p>
    <w:p>
      <w:pPr>
        <w:ind w:right="4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other financial institutions were also swept into receivership. In some cases, borrowers under credit agreements, letters of credit and certain other financial instruments with a financial institution that was placed into receivership by the FDIC were unable to access undrawn amounts thereunder. We currently use deposit accounts to fund our operations and other financial instruments such as cash-collateralized letters of credit associated with our facilities leases. Our excess cash is invested according to a restrictive investment policy within custodial accounts at various financial institutions. If any of the financial institutions that hold our deposit accounts were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right="100"/>
        <w:spacing w:after="0" w:line="261" w:lineRule="auto"/>
        <w:rPr>
          <w:sz w:val="20"/>
          <w:szCs w:val="20"/>
          <w:color w:val="auto"/>
        </w:rPr>
      </w:pPr>
      <w:r>
        <w:rPr>
          <w:rFonts w:ascii="Times New Roman" w:cs="Times New Roman" w:eastAsia="Times New Roman" w:hAnsi="Times New Roman"/>
          <w:sz w:val="18"/>
          <w:szCs w:val="18"/>
          <w:color w:val="auto"/>
        </w:rPr>
        <w:t>to be placed into receivership, we may be unable to access the funds in those accounts, which could result in liquidity constraints or failures. In addition, if any of our collaboration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other business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 or</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or reductions in borrowings available under working capital sources and/or delays, inability or reductions in our ability to refund, roll over or extend the maturity of, or enter into new working capital resources.</w:t>
      </w:r>
    </w:p>
    <w:p>
      <w:pPr>
        <w:spacing w:after="0" w:line="162" w:lineRule="exact"/>
        <w:rPr>
          <w:sz w:val="20"/>
          <w:szCs w:val="20"/>
          <w:color w:val="auto"/>
        </w:rPr>
      </w:pPr>
    </w:p>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collaboration partners, suppliers or other parties with whom we do business, which in turn, could have a material adverse effect on our current and/or projected business operations and results of operations and financial condition. Any bankruptcy or insolvency of a collaboration partner, supplier or other party with whom we do business, or the failure of any such party to make payments when due, or any breach or default by any such party, or the loss of any significant commercial relationships, could result in material losses to us and may have a material adverse impact on our business.</w:t>
      </w:r>
    </w:p>
    <w:p>
      <w:pPr>
        <w:spacing w:after="0" w:line="179"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associated with ongoing wars and armed conflicts could have an adverse impact on our business, financial condition and results of operations, including our clinical trials.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are ongoing and emerging geopolitical tensions, including wars and other armed conflicts, and although the conflicts have had little direct impact on our business to date, the uncertainty and ripple effects created by these conflicts may have unknown indirect impacts. For instance, the ongoing conflicts have resulted in significant volatility in certain equity, debt and currency markets, material increases in certain commodity prices, and economic uncertainty. Global conflicts, including Russia’s invasion of Ukraine, conflicts in the Middle East, and heightened tensions in the Pacific region, have significantly elevated global geopolitical tensions and security concerns. It is not possible to predict the broader or longer-term consequences of these conflicts, although a prolonged conflict may result in adverse effects on microeconomic conditions including inflation; disruptions to our global technology infrastructure,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right="40"/>
        <w:spacing w:after="0" w:line="258" w:lineRule="auto"/>
        <w:rPr>
          <w:sz w:val="20"/>
          <w:szCs w:val="20"/>
          <w:color w:val="auto"/>
        </w:rPr>
      </w:pPr>
      <w:r>
        <w:rPr>
          <w:rFonts w:ascii="Times New Roman" w:cs="Times New Roman" w:eastAsia="Times New Roman" w:hAnsi="Times New Roman"/>
          <w:sz w:val="18"/>
          <w:szCs w:val="18"/>
          <w:color w:val="auto"/>
        </w:rPr>
        <w:t>including through cyberattack, ransom attack, or cybersecurity-intrusion; adverse changes in international trade policies and relations; disruptions in global supply chains; our exposure to foreign currency fluctuations; and constraints, volatility, or disruption in the capital markets, any of which could negatively impact our business, financial performance and financial condition. Tariffs and economic sanctions imposed by the United States, Canada, EU, and other countries in response to the ongoing conflicts and the potential response to such sanctions may also have an adverse impact our business, including our clinical trials and supply chain, the financial markets and the global economy.</w:t>
      </w:r>
    </w:p>
    <w:p>
      <w:pPr>
        <w:spacing w:after="0" w:line="183"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spacing w:after="0" w:line="172" w:lineRule="exact"/>
        <w:rPr>
          <w:sz w:val="20"/>
          <w:szCs w:val="20"/>
          <w:color w:val="auto"/>
        </w:rPr>
      </w:pPr>
    </w:p>
    <w:p>
      <w:pPr>
        <w:ind w:right="30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earthquakes, wildfires, power outages, or other natural disasters, including public health crises, and our business continuity and disaster recovery plans may not adequately protect us from a serious disaster.</w:t>
      </w:r>
    </w:p>
    <w:p>
      <w:pPr>
        <w:spacing w:after="0" w:line="13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historically has been subject to wildfires and electrical blackouts. Earthquakes, wildfires, power outages, or other natural disasters (including due to the effects of climate change or any public health crises) could severely disrupt our operations, or the operations of third parties upon whom we depend,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our manufacturing facilities or those of our CMOs, or that otherwise disrupted operations, it may be difficult or, in certain cases, impossible for us to continue our business for a substantial period of time. For example, clinical supplies of our NK and T-cell therapeutic product candidates, as well as the working and master cell banks from which these product candidates are manufactured, are maintained in freezers at our manufacturing facility and at third-party biorepositories. If these materials are damaged at our facility or at the facilities of our third-party repositories, including as a result of a power outage or natural disaster, clinical supply of our product candidates may be impacted and our clinical trials may be delayed. Further, any measures taken by governmental authorities or businesses in response to any public health crisis, such as quarantines, stay-at-home orders or travel restrictions, could adversely affect our business, operations, financial condition, prospects or results of operations by restricting our ability to conduct our clinical trials and research and development activities, and limiting our and our third-party manufacturers’ ability to manufacture product and forcing temporary closure of our facilities and facilities that we rely upon. The disaster recovery and business continuity plans we and our third-party biorepositories have in place currently may be limited and may not prove adequate for protecting and continuing our business in the event that our business is disrupted as a result of a public health crisis or other serious disaster or similar event. We may incur substantial expenses as a result of the limited nature of our disaster recovery and business continuity plans, which could have a material adverse effect on our business. Any insurance we maintain against such risks may not be adequate to cover losses in any particular case.</w:t>
      </w:r>
    </w:p>
    <w:p>
      <w:pPr>
        <w:spacing w:after="0" w:line="189"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procedures and internal controls, our ability to produce accurate financial statements or comply with applicable regulations could be impaired.</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as amended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18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cannot assure that we will not have material weaknesses or significant deficiencies in our internal control over financial reporting. If we are unable to successfully remediate any material weakness or significant deficiency in our internal control over financial reporting, or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spacing w:after="0" w:line="179"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including regulations governing the handling, storage or disposal of hazardous materials, we could become subject to fines or penalties or incur costs that could harm our business.</w:t>
      </w:r>
    </w:p>
    <w:p>
      <w:pPr>
        <w:spacing w:after="0" w:line="15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1" w:name="page82"/>
    <w:bookmarkEnd w:id="81"/>
    <w:p>
      <w:pPr>
        <w:ind w:right="60"/>
        <w:spacing w:after="0" w:line="261" w:lineRule="auto"/>
        <w:rPr>
          <w:sz w:val="20"/>
          <w:szCs w:val="20"/>
          <w:color w:val="auto"/>
        </w:rPr>
      </w:pPr>
      <w:r>
        <w:rPr>
          <w:rFonts w:ascii="Times New Roman" w:cs="Times New Roman" w:eastAsia="Times New Roman" w:hAnsi="Times New Roman"/>
          <w:sz w:val="18"/>
          <w:szCs w:val="18"/>
          <w:color w:val="auto"/>
        </w:rPr>
        <w:t>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7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to tax laws have been made and changes are likely to continue to occur in the future. For example, the Tax Cuts and Jobs Act was enacted in 2017 and made significant changes to corporate taxation, including the reduction of the corporate tax rate from a top marginal rate of 35% to a flat rate of 21%, the limitation of the tax deduction for net interest expense to 30% of adjusted taxable income (except for certain small businesses), the limitation of the deduction for net operating losses to 80% of current year taxable income and the elimination of net operating loss carrybacks (though any such net operating losses may be carried forward indefinitely), and the modification or repeal of many business deductions and credits. In addition, the One Big Beautiful Bill Act (OBBBA) was signed into law on July 4, 2025 and made significant changes to U.S. federal tax law. The OBBBA provides that for taxable years beginning after December 31, 2024, expenses that are incurred for research and development performed in the U.S. may, at the taxpayer’s election, be immediately deducted or capitalized and amortized. The OBBBA further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made no unregistered sales of securities during the quarter covered by this report that have not previously been disclosed on Form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00" w:hanging="183"/>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Trading Plans</w:t>
      </w:r>
    </w:p>
    <w:p>
      <w:pPr>
        <w:spacing w:after="0" w:line="11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none of the Company’s directors or officers adopted, materially modified, or terminated any contract, instruction, or written plan for the purchase or sale of Company securities that was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intended to satisfy the affirmative defense conditions of Rule 10b5-1(c) under the Exchange Act or any non-Rule 10b5-1 trading arrangement.</w:t>
      </w:r>
    </w:p>
    <w:p>
      <w:pPr>
        <w:sectPr>
          <w:pgSz w:w="11900" w:h="16838" w:orient="portrait"/>
          <w:cols w:equalWidth="0" w:num="1">
            <w:col w:w="10260"/>
          </w:cols>
          <w:pgMar w:left="320" w:top="1093"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093" w:right="131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60" w:type="dxa"/>
            <w:vAlign w:val="bottom"/>
            <w:gridSpan w:val="1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0"/>
        </w:trPr>
        <w:tc>
          <w:tcPr>
            <w:tcW w:w="960" w:type="dxa"/>
            <w:vAlign w:val="bottom"/>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6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3.1</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Amended and Restated Certificate of Incorporation of the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Registrant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3.2</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Certificate of Amendment to Amended and Restated</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Certificate of Incorporation of the Registrant, as currently in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effect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3.3</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Certificate of Designation of Preferences, Rights and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Limitations of Class A Convertible Preferred Stock</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3.4</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Amended and Restated Bylaws of the Registrant, as currently</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in effect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3.5</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Certificate of Amendment to Certificate of Designation of</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Preferences, Rights and Limitation of Class A Convertible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Preferred Stock of Fate Therapeutics, Inc.</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3.6</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Certificate of Amendment to Amended and Restated</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Certificate of Incorporation of the Registrant, as currently in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effect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3.7</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Certificate of Amendment to Amended and Restated</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Certificate of Incorporation of the Registrant, as currently in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effect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4.1</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Specimen Common Stock Certificate</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4.2</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Pre-Funded Warrant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40" w:type="dxa"/>
            <w:vAlign w:val="bottom"/>
            <w:tcBorders>
              <w:left w:val="single" w:sz="8" w:color="0000EE"/>
            </w:tcBorders>
            <w:gridSpan w:val="3"/>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4.3</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Pre-Funded Warrant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72"/>
              <w:spacing w:after="0"/>
              <w:rPr>
                <w:sz w:val="20"/>
                <w:szCs w:val="20"/>
                <w:color w:val="auto"/>
              </w:rPr>
            </w:pPr>
            <w:r>
              <w:rPr>
                <w:rFonts w:ascii="Times New Roman" w:cs="Times New Roman" w:eastAsia="Times New Roman" w:hAnsi="Times New Roman"/>
                <w:sz w:val="18"/>
                <w:szCs w:val="18"/>
                <w:color w:val="auto"/>
                <w:w w:val="97"/>
              </w:rPr>
              <w:t>4.4</w:t>
            </w:r>
          </w:p>
        </w:tc>
        <w:tc>
          <w:tcPr>
            <w:tcW w:w="4460" w:type="dxa"/>
            <w:vAlign w:val="bottom"/>
            <w:gridSpan w:val="17"/>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Description of Securities</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gridSpan w:val="4"/>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8"/>
              </w:rPr>
              <w:t>10.1#</w:t>
            </w:r>
          </w:p>
        </w:tc>
        <w:tc>
          <w:tcPr>
            <w:tcW w:w="4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Amended and Restated Non-Employee Director</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tcBorders>
              <w:left w:val="single" w:sz="8" w:color="0000FF"/>
            </w:tcBorders>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Compensation Policy, effective March 31, 2026</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31.1</w:t>
            </w:r>
          </w:p>
        </w:tc>
        <w:tc>
          <w:tcPr>
            <w:tcW w:w="4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13a-14 and 15-d-14 promulgated pursuant to the Securities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 as adopted pursuant to</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2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20" w:type="dxa"/>
            <w:vAlign w:val="bottom"/>
            <w:tcBorders>
              <w:right w:val="single" w:sz="8" w:color="0000EE"/>
            </w:tcBorders>
            <w:gridSpan w:val="8"/>
            <w:shd w:val="clear" w:color="auto" w:fill="0000FF"/>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31.2</w:t>
            </w:r>
          </w:p>
        </w:tc>
        <w:tc>
          <w:tcPr>
            <w:tcW w:w="4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420" w:type="dxa"/>
            <w:vAlign w:val="bottom"/>
            <w:gridSpan w:val="1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13a-14 and 15-d-14 promulgated pursuant to the Securities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260" w:right="220"/>
        <w:spacing w:after="0" w:line="282" w:lineRule="auto"/>
        <w:rPr>
          <w:sz w:val="20"/>
          <w:szCs w:val="20"/>
          <w:color w:val="auto"/>
        </w:rPr>
      </w:pPr>
      <w:r>
        <w:rPr>
          <w:rFonts w:ascii="Times New Roman" w:cs="Times New Roman" w:eastAsia="Times New Roman" w:hAnsi="Times New Roman"/>
          <w:sz w:val="18"/>
          <w:szCs w:val="18"/>
          <w:u w:val="single" w:color="auto"/>
          <w:color w:val="0000FF"/>
        </w:rPr>
        <w:t>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-185420</wp:posOffset>
            </wp:positionV>
            <wp:extent cx="27285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272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-48260</wp:posOffset>
            </wp:positionV>
            <wp:extent cx="2167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1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20"/>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3.2</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August 29, 2013</w:t>
            </w:r>
          </w:p>
        </w:tc>
      </w:tr>
      <w:tr>
        <w:trPr>
          <w:trHeight w:val="553"/>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June 7, 2021</w:t>
            </w:r>
          </w:p>
        </w:tc>
      </w:tr>
      <w:tr>
        <w:trPr>
          <w:trHeight w:val="770"/>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November 29, 2016</w:t>
            </w:r>
          </w:p>
        </w:tc>
      </w:tr>
      <w:tr>
        <w:trPr>
          <w:trHeight w:val="553"/>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3.3</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February 24, 2021</w:t>
            </w:r>
          </w:p>
        </w:tc>
      </w:tr>
      <w:tr>
        <w:trPr>
          <w:trHeight w:val="553"/>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April 19, 2023</w:t>
            </w:r>
          </w:p>
        </w:tc>
      </w:tr>
      <w:tr>
        <w:trPr>
          <w:trHeight w:val="769"/>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June 10, 2024</w:t>
            </w:r>
          </w:p>
        </w:tc>
      </w:tr>
      <w:tr>
        <w:trPr>
          <w:trHeight w:val="770"/>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May 30, 2025</w:t>
            </w:r>
          </w:p>
        </w:tc>
      </w:tr>
      <w:tr>
        <w:trPr>
          <w:trHeight w:val="769"/>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333-190608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August 29, 2013</w:t>
            </w:r>
          </w:p>
        </w:tc>
      </w:tr>
      <w:tr>
        <w:trPr>
          <w:trHeight w:val="338"/>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January 8, 2021</w:t>
            </w:r>
          </w:p>
        </w:tc>
      </w:tr>
      <w:tr>
        <w:trPr>
          <w:trHeight w:val="338"/>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4.1</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March 21, 2024</w:t>
            </w:r>
          </w:p>
        </w:tc>
      </w:tr>
      <w:tr>
        <w:trPr>
          <w:trHeight w:val="338"/>
        </w:trPr>
        <w:tc>
          <w:tcPr>
            <w:tcW w:w="72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252525"/>
                <w:w w:val="97"/>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001-36076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4.4</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February 26, 2026</w:t>
            </w:r>
          </w:p>
        </w:tc>
      </w:tr>
      <w:tr>
        <w:trPr>
          <w:trHeight w:val="338"/>
        </w:trPr>
        <w:tc>
          <w:tcPr>
            <w:tcW w:w="7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252525"/>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53"/>
        </w:trPr>
        <w:tc>
          <w:tcPr>
            <w:tcW w:w="7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252525"/>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Filed herewith</w:t>
            </w:r>
          </w:p>
        </w:tc>
      </w:tr>
      <w:tr>
        <w:trPr>
          <w:trHeight w:val="985"/>
        </w:trPr>
        <w:tc>
          <w:tcPr>
            <w:tcW w:w="72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252525"/>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70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Filed herewith</w:t>
            </w:r>
          </w:p>
        </w:tc>
      </w:tr>
    </w:tbl>
    <w:p>
      <w:pPr>
        <w:sectPr>
          <w:pgSz w:w="11900" w:h="16838" w:orient="portrait"/>
          <w:cols w:equalWidth="0" w:num="2">
            <w:col w:w="5740" w:space="480"/>
            <w:col w:w="4780"/>
          </w:cols>
          <w:pgMar w:left="320" w:top="981" w:right="579" w:bottom="1440" w:gutter="0" w:footer="0" w:header="0"/>
        </w:sectPr>
      </w:pPr>
    </w:p>
    <w:bookmarkStart w:id="84" w:name="page85"/>
    <w:bookmarkEnd w:id="84"/>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32.1*</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1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w:t>
            </w:r>
          </w:p>
        </w:tc>
        <w:tc>
          <w:tcPr>
            <w:tcW w:w="1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3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67"/>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101.INS</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instance document</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101.SCH</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101.CAL</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101.DEF</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101.LAB</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Taxonomy Extension Label Linkbase Document</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101.PRE</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0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252525"/>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52525"/>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252525"/>
              </w:rPr>
              <w:t>—</w:t>
            </w:r>
          </w:p>
        </w:tc>
        <w:tc>
          <w:tcPr>
            <w:tcW w:w="15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04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4230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7" w:lineRule="exact"/>
        <w:rPr>
          <w:sz w:val="20"/>
          <w:szCs w:val="20"/>
          <w:color w:val="auto"/>
        </w:rPr>
      </w:pPr>
    </w:p>
    <w:p>
      <w:pPr>
        <w:ind w:firstLine="8"/>
        <w:spacing w:after="0" w:line="260" w:lineRule="auto"/>
        <w:tabs>
          <w:tab w:leader="none" w:pos="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furnished herewith and shall not be deemed “filed” for purposes of Section 18 of the Exchange Act, or otherwise subject to the liability of that section, and shall not be deemed to be incorporated by reference into any filing under the Securities Act or the Exchange Act.</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4" w:right="439" w:bottom="1440" w:gutter="0" w:footer="0" w:header="0"/>
        </w:sectPr>
      </w:pPr>
    </w:p>
    <w:bookmarkStart w:id="85" w:name="page86"/>
    <w:bookmarkEnd w:id="8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229" w:lineRule="exact"/>
        <w:rPr>
          <w:sz w:val="20"/>
          <w:szCs w:val="20"/>
          <w:color w:val="auto"/>
        </w:rPr>
      </w:pPr>
    </w:p>
    <w:p>
      <w:pPr>
        <w:spacing w:after="0"/>
        <w:tabs>
          <w:tab w:leader="none" w:pos="6180" w:val="left"/>
          <w:tab w:leader="none" w:pos="82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alamehr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Bahram Valamehr, Ph.D., MBA</w:t>
      </w:r>
    </w:p>
    <w:p>
      <w:pPr>
        <w:spacing w:after="0" w:line="3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6180" w:val="left"/>
          <w:tab w:leader="none" w:pos="838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amal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Kamal Adawi, M.S., MBA</w:t>
      </w:r>
    </w:p>
    <w:p>
      <w:pPr>
        <w:spacing w:after="0" w:line="3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2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7" w:right="77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FATE THERAPEUTICS,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NON-EMPLOYEE DIRECTOR COMPENSATION POLICY</w:t>
      </w:r>
    </w:p>
    <w:p>
      <w:pPr>
        <w:spacing w:after="0" w:line="200" w:lineRule="exact"/>
        <w:rPr>
          <w:sz w:val="20"/>
          <w:szCs w:val="20"/>
          <w:color w:val="auto"/>
        </w:rPr>
      </w:pP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purpose of this Amended and Restated Non-Employee Director Compensation Policy (the “Policy”) of Fate Therapeutics, Inc., a Delaware corporation (the “Company”), is to provide a total compensation package that enables the Company to attract and retain, on a long-term basis, high-caliber directors who are not employees or officers of the Company. In furtherance of this purpose, effective as of the date of approval by the Company’s Board of Directors (the “Board”) of this Policy (the “Effective Date”), all non-employee directors shall be paid compensation for services provided to the Company as set forth below:</w:t>
      </w:r>
      <w:r>
        <w:rPr>
          <w:rFonts w:ascii="Times New Roman" w:cs="Times New Roman" w:eastAsia="Times New Roman" w:hAnsi="Times New Roman"/>
          <w:sz w:val="27"/>
          <w:szCs w:val="27"/>
          <w:color w:val="auto"/>
          <w:vertAlign w:val="superscript"/>
        </w:rPr>
        <w:t>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Retainers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the Board. No additional compensation for attending individual Board meetings.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Additional Annual Retainers for Committee Membership and Service as Chairperson:</w:t>
            </w:r>
          </w:p>
        </w:tc>
        <w:tc>
          <w:tcPr>
            <w:tcW w:w="1860" w:type="dxa"/>
            <w:vAlign w:val="bottom"/>
          </w:tcPr>
          <w:p>
            <w:pPr>
              <w:spacing w:after="0"/>
              <w:rPr>
                <w:sz w:val="22"/>
                <w:szCs w:val="22"/>
                <w:color w:val="auto"/>
              </w:rPr>
            </w:pPr>
          </w:p>
        </w:tc>
      </w:tr>
      <w:tr>
        <w:trPr>
          <w:trHeight w:val="452"/>
        </w:trPr>
        <w:tc>
          <w:tcPr>
            <w:tcW w:w="73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22"/>
                <w:szCs w:val="22"/>
                <w:color w:val="auto"/>
              </w:rPr>
              <w:t>Board Chairperson:</w:t>
            </w:r>
          </w:p>
        </w:tc>
        <w:tc>
          <w:tcPr>
            <w:tcW w:w="12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$35,000</w:t>
            </w:r>
          </w:p>
        </w:tc>
      </w:tr>
      <w:tr>
        <w:trPr>
          <w:trHeight w:val="243"/>
        </w:trPr>
        <w:tc>
          <w:tcPr>
            <w:tcW w:w="8580" w:type="dxa"/>
            <w:vAlign w:val="bottom"/>
            <w:gridSpan w:val="2"/>
          </w:tcPr>
          <w:p>
            <w:pPr>
              <w:ind w:left="800"/>
              <w:spacing w:after="0" w:line="243" w:lineRule="exact"/>
              <w:rPr>
                <w:sz w:val="20"/>
                <w:szCs w:val="20"/>
                <w:color w:val="auto"/>
              </w:rPr>
            </w:pPr>
            <w:r>
              <w:rPr>
                <w:rFonts w:ascii="Times New Roman" w:cs="Times New Roman" w:eastAsia="Times New Roman" w:hAnsi="Times New Roman"/>
                <w:sz w:val="22"/>
                <w:szCs w:val="22"/>
                <w:color w:val="auto"/>
              </w:rPr>
              <w:t>Audit Committee Chairperson:</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$20,000</w:t>
            </w:r>
          </w:p>
        </w:tc>
      </w:tr>
      <w:tr>
        <w:trPr>
          <w:trHeight w:val="243"/>
        </w:trPr>
        <w:tc>
          <w:tcPr>
            <w:tcW w:w="8580" w:type="dxa"/>
            <w:vAlign w:val="bottom"/>
            <w:gridSpan w:val="2"/>
          </w:tcPr>
          <w:p>
            <w:pPr>
              <w:ind w:left="800"/>
              <w:spacing w:after="0" w:line="243" w:lineRule="exact"/>
              <w:rPr>
                <w:sz w:val="20"/>
                <w:szCs w:val="20"/>
                <w:color w:val="auto"/>
              </w:rPr>
            </w:pPr>
            <w:r>
              <w:rPr>
                <w:rFonts w:ascii="Times New Roman" w:cs="Times New Roman" w:eastAsia="Times New Roman" w:hAnsi="Times New Roman"/>
                <w:sz w:val="22"/>
                <w:szCs w:val="22"/>
                <w:color w:val="auto"/>
              </w:rPr>
              <w:t>Audit Committee member:</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$10,000</w:t>
            </w:r>
          </w:p>
        </w:tc>
      </w:tr>
      <w:tr>
        <w:trPr>
          <w:trHeight w:val="243"/>
        </w:trPr>
        <w:tc>
          <w:tcPr>
            <w:tcW w:w="8580" w:type="dxa"/>
            <w:vAlign w:val="bottom"/>
            <w:gridSpan w:val="2"/>
          </w:tcPr>
          <w:p>
            <w:pPr>
              <w:ind w:left="800"/>
              <w:spacing w:after="0" w:line="243" w:lineRule="exact"/>
              <w:rPr>
                <w:sz w:val="20"/>
                <w:szCs w:val="20"/>
                <w:color w:val="auto"/>
              </w:rPr>
            </w:pPr>
            <w:r>
              <w:rPr>
                <w:rFonts w:ascii="Times New Roman" w:cs="Times New Roman" w:eastAsia="Times New Roman" w:hAnsi="Times New Roman"/>
                <w:sz w:val="22"/>
                <w:szCs w:val="22"/>
                <w:color w:val="auto"/>
              </w:rPr>
              <w:t>Compensation Committee Chairperson:</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$15,000</w:t>
            </w:r>
          </w:p>
        </w:tc>
      </w:tr>
      <w:tr>
        <w:trPr>
          <w:trHeight w:val="243"/>
        </w:trPr>
        <w:tc>
          <w:tcPr>
            <w:tcW w:w="8580" w:type="dxa"/>
            <w:vAlign w:val="bottom"/>
            <w:gridSpan w:val="2"/>
          </w:tcPr>
          <w:p>
            <w:pPr>
              <w:ind w:left="800"/>
              <w:spacing w:after="0" w:line="243" w:lineRule="exact"/>
              <w:rPr>
                <w:sz w:val="20"/>
                <w:szCs w:val="20"/>
                <w:color w:val="auto"/>
              </w:rPr>
            </w:pPr>
            <w:r>
              <w:rPr>
                <w:rFonts w:ascii="Times New Roman" w:cs="Times New Roman" w:eastAsia="Times New Roman" w:hAnsi="Times New Roman"/>
                <w:sz w:val="22"/>
                <w:szCs w:val="22"/>
                <w:color w:val="auto"/>
              </w:rPr>
              <w:t>Compensation Committee member:</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$7,500</w:t>
            </w:r>
          </w:p>
        </w:tc>
      </w:tr>
      <w:tr>
        <w:trPr>
          <w:trHeight w:val="243"/>
        </w:trPr>
        <w:tc>
          <w:tcPr>
            <w:tcW w:w="8580" w:type="dxa"/>
            <w:vAlign w:val="bottom"/>
            <w:gridSpan w:val="2"/>
          </w:tcPr>
          <w:p>
            <w:pPr>
              <w:ind w:left="800"/>
              <w:spacing w:after="0" w:line="243" w:lineRule="exact"/>
              <w:rPr>
                <w:sz w:val="20"/>
                <w:szCs w:val="20"/>
                <w:color w:val="auto"/>
              </w:rPr>
            </w:pPr>
            <w:r>
              <w:rPr>
                <w:rFonts w:ascii="Times New Roman" w:cs="Times New Roman" w:eastAsia="Times New Roman" w:hAnsi="Times New Roman"/>
                <w:sz w:val="22"/>
                <w:szCs w:val="22"/>
                <w:color w:val="auto"/>
              </w:rPr>
              <w:t>Nominating and Corporate Governance Committee Chairperson:</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$10,000</w:t>
            </w:r>
          </w:p>
        </w:tc>
      </w:tr>
      <w:tr>
        <w:trPr>
          <w:trHeight w:val="243"/>
        </w:trPr>
        <w:tc>
          <w:tcPr>
            <w:tcW w:w="8580" w:type="dxa"/>
            <w:vAlign w:val="bottom"/>
            <w:gridSpan w:val="2"/>
          </w:tcPr>
          <w:p>
            <w:pPr>
              <w:ind w:left="800"/>
              <w:spacing w:after="0" w:line="243" w:lineRule="exact"/>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$5,000</w:t>
            </w:r>
          </w:p>
        </w:tc>
      </w:tr>
      <w:tr>
        <w:trPr>
          <w:trHeight w:val="243"/>
        </w:trPr>
        <w:tc>
          <w:tcPr>
            <w:tcW w:w="8580" w:type="dxa"/>
            <w:vAlign w:val="bottom"/>
            <w:gridSpan w:val="2"/>
          </w:tcPr>
          <w:p>
            <w:pPr>
              <w:ind w:left="800"/>
              <w:spacing w:after="0" w:line="243" w:lineRule="exact"/>
              <w:rPr>
                <w:sz w:val="20"/>
                <w:szCs w:val="20"/>
                <w:color w:val="auto"/>
              </w:rPr>
            </w:pPr>
            <w:r>
              <w:rPr>
                <w:rFonts w:ascii="Times New Roman" w:cs="Times New Roman" w:eastAsia="Times New Roman" w:hAnsi="Times New Roman"/>
                <w:sz w:val="22"/>
                <w:szCs w:val="22"/>
                <w:color w:val="auto"/>
              </w:rPr>
              <w:t>Science &amp; Technology Committee Chairperson:</w:t>
            </w:r>
          </w:p>
        </w:tc>
        <w:tc>
          <w:tcPr>
            <w:tcW w:w="18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$15,000</w:t>
            </w:r>
          </w:p>
        </w:tc>
      </w:tr>
      <w:tr>
        <w:trPr>
          <w:trHeight w:val="282"/>
        </w:trPr>
        <w:tc>
          <w:tcPr>
            <w:tcW w:w="8580" w:type="dxa"/>
            <w:vAlign w:val="bottom"/>
            <w:gridSpan w:val="2"/>
          </w:tcPr>
          <w:p>
            <w:pPr>
              <w:ind w:left="800"/>
              <w:spacing w:after="0"/>
              <w:rPr>
                <w:sz w:val="20"/>
                <w:szCs w:val="20"/>
                <w:color w:val="auto"/>
              </w:rPr>
            </w:pPr>
            <w:r>
              <w:rPr>
                <w:rFonts w:ascii="Times New Roman" w:cs="Times New Roman" w:eastAsia="Times New Roman" w:hAnsi="Times New Roman"/>
                <w:sz w:val="22"/>
                <w:szCs w:val="22"/>
                <w:color w:val="auto"/>
              </w:rPr>
              <w:t>Science &amp; Technology Committee member:</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$7,500</w:t>
            </w:r>
          </w:p>
        </w:tc>
      </w:tr>
    </w:tbl>
    <w:p>
      <w:pPr>
        <w:spacing w:after="0" w:line="200" w:lineRule="exact"/>
        <w:rPr>
          <w:sz w:val="20"/>
          <w:szCs w:val="20"/>
          <w:color w:val="auto"/>
        </w:rPr>
      </w:pP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 additional compensation for attending individual committee meetings.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All cash retainers will be paid quarterly, in arrears, or upon the earlier resignation or removal of the non-employee director. Cash retainers owing to non-employee directors shall be annualized, meaning that with respect to non-employee directors who join the Board during the calendar year, such amounts shall be pro-rated based on the number of calendar days served by such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1688465" cy="51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67"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policy shall supersede any prior arrangements between the Company and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b w:val="1"/>
          <w:bCs w:val="1"/>
          <w:color w:val="auto"/>
        </w:rPr>
        <w:t>Equity Retainers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For purposes of this Policy,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with respect to (i) any award of stock options, the grant date fair value of the option award (i.e., Black-Scholes Value) determined in accordance with the reasonable assumptions and methodologies employed by the Company for calculating the fair value of options under ASC 718; and (ii) any award of restricted stock and restricted stock units, the product of (A) the average closing market price on The NASDAQ Global Market (or such other market on which the Company’s common stock, par value $0.001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is then principally listed) of one share of Common Stock over the trailing ten (10) trading day period ending on the grant date, and (B) the aggregate number of shares pursuant to such award.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u w:val="single" w:color="auto"/>
          <w:color w:val="auto"/>
        </w:rPr>
        <w:t>Initial Equity Grant</w:t>
      </w:r>
      <w:r>
        <w:rPr>
          <w:rFonts w:ascii="Times New Roman" w:cs="Times New Roman" w:eastAsia="Times New Roman" w:hAnsi="Times New Roman"/>
          <w:sz w:val="21"/>
          <w:szCs w:val="21"/>
          <w:color w:val="auto"/>
        </w:rPr>
        <w:t>: One-time equity grants to each new non-employee director upon his or her election to the Board after the Effective Date of an option to purchase 175,800 shares of Common Stock, with a an exercise price per share equal to the closing price of a share of Common Stock on the date of grant and a term of ten years. Such initial option grant shall vest in equal monthly installments during the 36 months following the grant date, subject to the director’s continued service on the Board.</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On the date of each Annual Meeting of Stockholders</w:t>
      </w:r>
      <w:r>
        <w:rPr>
          <w:rFonts w:ascii="Times New Roman" w:cs="Times New Roman" w:eastAsia="Times New Roman" w:hAnsi="Times New Roman"/>
          <w:sz w:val="22"/>
          <w:szCs w:val="22"/>
          <w:color w:val="auto"/>
        </w:rPr>
        <w:t>: Annual equity grants to each non-employee director serving on the Board immediately following the Company’s annual meeting of stockholders of an option to purchase 87,900 shares of Common Stock, with an exercise price per share equal to the closing price of a share of Common Stock on the date of grant and a term of ten years. Such annual option grant shall vest on the earlier of the one-year anniversary of the grant date and the Company’s next annual meeting of stockholders, subject to the director’s continued service on the Board.</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In the event of a Sale Event (as defined in the Company’s 2022 Stock Option and Incentive Plan, as amended and restated from time to time), the equity retainer awards granted to Outside Directors pursuant to this Policy shall become 100% vested and exercisable.</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form of option agreement will give directors up to one year following cessation of service as a director to exercise the options (to the extent vested at the date of such cessation), provided that the director has not been removed for cause. All of the foregoing option grants will have an exercise price equal to the fair market value of a share of Common Stock on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shall reimburse all reasonable out-of-pocket expenses incurred by non-employee directors in attending Board and committee meetings.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Amended and Restated Non-Employee Director Compensation Policy adopted by the Board of Directors on September 9, 2019.</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Amended and Restated Non-Employee Director Compensation Policy adopted by the Board of Directors on December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899795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i w:val="1"/>
          <w:iCs w:val="1"/>
          <w:color w:val="auto"/>
        </w:rPr>
        <w:t>Amended and Restated Non-Employee Director Compensation Policy adopted by the Board of Directors on April 2,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Amended and Restated Non-Employee Director Compensation Policy adopted by the Board of Directors on April 4,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Amended and Restated Non-Employee Director Compensation Policy adopted by the Board of Directors on January 16,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Amended and Restated Non-Employee Director Compensation Policy adopted by the Board of Directors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04" w:right="6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RULE 13a-14(a) AND 15d-14(a) OF THE SECURITIES EXCHANGE ACT, 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Bahram Valamehr, certify that:</w:t>
      </w:r>
    </w:p>
    <w:p>
      <w:pPr>
        <w:spacing w:after="0" w:line="225" w:lineRule="exact"/>
        <w:rPr>
          <w:sz w:val="20"/>
          <w:szCs w:val="20"/>
          <w:color w:val="auto"/>
        </w:rPr>
      </w:pPr>
    </w:p>
    <w:p>
      <w:pPr>
        <w:ind w:left="700" w:hanging="183"/>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Fate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1028"/>
        <w:spacing w:after="0" w:line="266" w:lineRule="auto"/>
        <w:tabs>
          <w:tab w:leader="none" w:pos="118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1028"/>
        <w:spacing w:after="0" w:line="266" w:lineRule="auto"/>
        <w:tabs>
          <w:tab w:leader="none" w:pos="12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028"/>
        <w:spacing w:after="0" w:line="282" w:lineRule="auto"/>
        <w:tabs>
          <w:tab w:leader="none" w:pos="118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1028"/>
        <w:spacing w:after="0" w:line="266" w:lineRule="auto"/>
        <w:tabs>
          <w:tab w:leader="none" w:pos="12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60" w:firstLine="1028"/>
        <w:spacing w:after="0" w:line="282" w:lineRule="auto"/>
        <w:tabs>
          <w:tab w:leader="none" w:pos="118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1028"/>
        <w:spacing w:after="0" w:line="282" w:lineRule="auto"/>
        <w:tabs>
          <w:tab w:leader="none" w:pos="12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BAHRAM VALAMEHR</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Bahram Valamehr, Ph.D., MBA</w:t>
            </w:r>
          </w:p>
        </w:tc>
      </w:tr>
      <w:tr>
        <w:trPr>
          <w:trHeight w:val="230"/>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424"/>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40"/>
        <w:spacing w:after="0" w:line="275" w:lineRule="auto"/>
        <w:rPr>
          <w:sz w:val="20"/>
          <w:szCs w:val="20"/>
          <w:color w:val="auto"/>
        </w:rPr>
      </w:pPr>
      <w:r>
        <w:rPr>
          <w:rFonts w:ascii="Times New Roman" w:cs="Times New Roman" w:eastAsia="Times New Roman" w:hAnsi="Times New Roman"/>
          <w:sz w:val="18"/>
          <w:szCs w:val="18"/>
          <w:color w:val="auto"/>
        </w:rPr>
        <w:t>CERTIFICATION OF PRINCIPAL FINANCIAL AND ACCOUNTING OFFICER PURSUANT TO RULE 13a-14(a) AND 15d-14(a) OF THE SECURITIES EXCHANGE ACT, AS ADOPTED PURSUANT TO SECTION 302 OF THE SARBANES-OXLEY ACT OF 2002</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Kamal Adawi, certify that:</w:t>
      </w:r>
    </w:p>
    <w:p>
      <w:pPr>
        <w:spacing w:after="0" w:line="225" w:lineRule="exact"/>
        <w:rPr>
          <w:sz w:val="20"/>
          <w:szCs w:val="20"/>
          <w:color w:val="auto"/>
        </w:rPr>
      </w:pPr>
    </w:p>
    <w:p>
      <w:pPr>
        <w:ind w:left="700" w:hanging="183"/>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Fate Therapeutics,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1028"/>
        <w:spacing w:after="0" w:line="266" w:lineRule="auto"/>
        <w:tabs>
          <w:tab w:leader="none" w:pos="11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1028"/>
        <w:spacing w:after="0" w:line="266" w:lineRule="auto"/>
        <w:tabs>
          <w:tab w:leader="none" w:pos="12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028"/>
        <w:spacing w:after="0" w:line="282" w:lineRule="auto"/>
        <w:tabs>
          <w:tab w:leader="none" w:pos="11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1028"/>
        <w:spacing w:after="0" w:line="266" w:lineRule="auto"/>
        <w:tabs>
          <w:tab w:leader="none" w:pos="12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20" w:firstLine="517"/>
        <w:spacing w:after="0" w:line="282" w:lineRule="auto"/>
        <w:tabs>
          <w:tab w:leader="none" w:pos="6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60" w:firstLine="1028"/>
        <w:spacing w:after="0" w:line="282" w:lineRule="auto"/>
        <w:tabs>
          <w:tab w:leader="none" w:pos="11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1028"/>
        <w:spacing w:after="0" w:line="282" w:lineRule="auto"/>
        <w:tabs>
          <w:tab w:leader="none" w:pos="12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KAMAL ADAWI</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Kamal Adawi, M.S., MBA</w:t>
            </w:r>
          </w:p>
        </w:tc>
      </w:tr>
      <w:tr>
        <w:trPr>
          <w:trHeight w:val="230"/>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1424"/>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Fate Therapeutics, Inc. (the “Company”) on Form 10-Q for the period ended March 31, 2026 as filed with the Securities and Exchange Commission on the date hereof (the “Report”), we, Bahram Valamehr, Chief Executive Officer of the Company, and Kamal Adawi,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ahram valamehr</w:t>
            </w:r>
          </w:p>
        </w:tc>
      </w:tr>
      <w:tr>
        <w:trPr>
          <w:trHeight w:val="203"/>
        </w:trPr>
        <w:tc>
          <w:tcPr>
            <w:tcW w:w="67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Bahram Valamehr, Ph.D., MBA</w:t>
            </w:r>
          </w:p>
        </w:tc>
      </w:tr>
      <w:tr>
        <w:trPr>
          <w:trHeight w:val="229"/>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4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amal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dawi</w:t>
            </w:r>
          </w:p>
        </w:tc>
      </w:tr>
      <w:tr>
        <w:trPr>
          <w:trHeight w:val="203"/>
        </w:trPr>
        <w:tc>
          <w:tcPr>
            <w:tcW w:w="676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Kamal Adawi, M.S., MBA</w:t>
            </w:r>
          </w:p>
        </w:tc>
      </w:tr>
      <w:tr>
        <w:trPr>
          <w:trHeight w:val="229"/>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3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2"/>
    </w:lvl>
  </w:abstractNum>
  <w:abstractNum w:abstractNumId="6">
    <w:nsid w:val="836C40E"/>
    <w:multiLevelType w:val="hybridMultilevel"/>
    <w:lvl w:ilvl="0">
      <w:lvlJc w:val="left"/>
      <w:lvlText w:val="%1."/>
      <w:numFmt w:val="decimal"/>
      <w:start w:val="3"/>
    </w:lvl>
  </w:abstractNum>
  <w:abstractNum w:abstractNumId="7">
    <w:nsid w:val="2901D82"/>
    <w:multiLevelType w:val="hybridMultilevel"/>
    <w:lvl w:ilvl="0">
      <w:lvlJc w:val="left"/>
      <w:lvlText w:val="%1."/>
      <w:numFmt w:val="decimal"/>
      <w:start w:val="4"/>
    </w:lvl>
  </w:abstractNum>
  <w:abstractNum w:abstractNumId="8">
    <w:nsid w:val="3A95F874"/>
    <w:multiLevelType w:val="hybridMultilevel"/>
    <w:lvl w:ilvl="0">
      <w:lvlJc w:val="left"/>
      <w:lvlText w:val="%1."/>
      <w:numFmt w:val="decimal"/>
      <w:start w:val="5"/>
    </w:lvl>
  </w:abstractNum>
  <w:abstractNum w:abstractNumId="9">
    <w:nsid w:val="8138641"/>
    <w:multiLevelType w:val="hybridMultilevel"/>
    <w:lvl w:ilvl="0">
      <w:lvlJc w:val="left"/>
      <w:lvlText w:val="%1."/>
      <w:numFmt w:val="decimal"/>
      <w:start w:val="6"/>
    </w:lvl>
  </w:abstractNum>
  <w:abstractNum w:abstractNumId="10">
    <w:nsid w:val="1E7FF521"/>
    <w:multiLevelType w:val="hybridMultilevel"/>
    <w:lvl w:ilvl="0">
      <w:lvlJc w:val="left"/>
      <w:lvlText w:val="%1."/>
      <w:numFmt w:val="decimal"/>
      <w:start w:val="7"/>
    </w:lvl>
  </w:abstractNum>
  <w:abstractNum w:abstractNumId="11">
    <w:nsid w:val="7C3DBD3D"/>
    <w:multiLevelType w:val="hybridMultilevel"/>
    <w:lvl w:ilvl="0">
      <w:lvlJc w:val="left"/>
      <w:lvlText w:val="%1."/>
      <w:numFmt w:val="decimal"/>
      <w:start w:val="8"/>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lowerRoman"/>
      <w:start w:val="2"/>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49" Type="http://schemas.openxmlformats.org/officeDocument/2006/relationships/hyperlink" Target="https://www.sec.gov/Archives/edgar/data/1434316/000119312513351036/d590580dex32.htm" TargetMode="External"/><Relationship Id="rId250" Type="http://schemas.openxmlformats.org/officeDocument/2006/relationships/hyperlink" Target="https://www.sec.gov/Archives/edgar/data/1434316/000119312521184402/d191657dex31.htm" TargetMode="External"/><Relationship Id="rId251" Type="http://schemas.openxmlformats.org/officeDocument/2006/relationships/hyperlink" Target="https://www.sec.gov/Archives/edgar/data/1434316/000119312516778378/d301639dex31.htm" TargetMode="External"/><Relationship Id="rId252" Type="http://schemas.openxmlformats.org/officeDocument/2006/relationships/hyperlink" Target="https://www.sec.gov/Archives/edgar/data/1434316/000156459021008086/fate-ex33_493.htm" TargetMode="External"/><Relationship Id="rId253" Type="http://schemas.openxmlformats.org/officeDocument/2006/relationships/hyperlink" Target="https://www.sec.gov/Archives/edgar/data/1434316/000095017023013471/fate-ex3_1.htm" TargetMode="External"/><Relationship Id="rId254" Type="http://schemas.openxmlformats.org/officeDocument/2006/relationships/hyperlink" Target="https://www.sec.gov/Archives/edgar/data/1434316/000119312524158374/d764437dex31.htm" TargetMode="External"/><Relationship Id="rId255" Type="http://schemas.openxmlformats.org/officeDocument/2006/relationships/hyperlink" Target="https://www.sec.gov/Archives/edgar/data/1434316/000119312525132301/d42374dex31.htm" TargetMode="External"/><Relationship Id="rId256" Type="http://schemas.openxmlformats.org/officeDocument/2006/relationships/hyperlink" Target="https://www.sec.gov/Archives/edgar/data/1434316/000119312513351036/d590580dex41.htm" TargetMode="External"/><Relationship Id="rId257" Type="http://schemas.openxmlformats.org/officeDocument/2006/relationships/hyperlink" Target="https://www.sec.gov/Archives/edgar/data/1434316/000119312521005180/d95890dex41.htm" TargetMode="External"/><Relationship Id="rId258" Type="http://schemas.openxmlformats.org/officeDocument/2006/relationships/hyperlink" Target="https://www.sec.gov/Archives/edgar/data/1434316/000119312524072871/d799248dex41.htm" TargetMode="External"/><Relationship Id="rId259" Type="http://schemas.openxmlformats.org/officeDocument/2006/relationships/hyperlink" Target="https://www.sec.gov/Archives/edgar/data/1434316/000119312526073699/fate-ex4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2026-05-13T07:38:13Z</dcterms:created>
  <dcterms:modified xsi:type="dcterms:W3CDTF">2026-05-13T07:38:13Z</dcterms:modified>
</cp:coreProperties>
</file>