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Valamehr Bahram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FATE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12278 SCRIPPS SUMMIT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FATE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FATE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4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28,946</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1.8822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635,762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Required number of shares sold by the Reporting Person to cover tax withholding obligations in connection with the vesting of 50,000 shares of Common Stock underlying performance-based RSUs granted to the Reporting Person on July 29, 2024. These sales were automatically executed pursuant to an irrevocable election by the Reporting Person to satisfy tax withholding obligations through "sell-to-cover" transactions and were not made at the discretion of the Reporting Person.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shares sold ranging from $1.825 to $1.935 per share. The Reporting Person will provide, upon request by the Commission staff, the Issuer, or a security holder of the Issuer, full information regarding the number of shares sold at each price within the ranges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Cindy Tahl, as Attorney-in- </w:t>
      </w:r>
      <w:r>
        <w:rPr>
          <w:rFonts w:ascii="Times New Roman" w:cs="Times New Roman" w:eastAsia="Times New Roman" w:hAnsi="Times New Roman"/>
          <w:sz w:val="33"/>
          <w:szCs w:val="33"/>
          <w:color w:val="0000FF"/>
          <w:vertAlign w:val="subscript"/>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8177" TargetMode="External"/><Relationship Id="rId14"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2026-05-21T18:03:22Z</dcterms:created>
  <dcterms:modified xsi:type="dcterms:W3CDTF">2026-05-21T18:03:22Z</dcterms:modified>
</cp:coreProperties>
</file>