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7851ddefa14a.htm"/>
      <w:bookmarkStart w:id="1" w:name="ksd97851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12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12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Filed by the Registrant ☒       Filed by a Party other than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7"/>
        <w:gridCol w:w="101"/>
        <w:gridCol w:w="9697"/>
      </w:tblGrid>
      <w:tr>
        <w:trPr/>
        <w:tc>
          <w:tcPr>
            <w:tcW w:w="40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9697" w:type="dxa"/>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Preliminary Proxy Statement</w:t>
            </w:r>
          </w:p>
        </w:tc>
      </w:tr>
      <w:tr>
        <w:trPr>
          <w:trHeight w:val="60" w:hRule="atLeast"/>
        </w:trPr>
        <w:tc>
          <w:tcPr>
            <w:tcW w:w="407" w:type="dxa"/>
            <w:tcBorders/>
            <w:vAlign w:val="center"/>
          </w:tcPr>
          <w:p>
            <w:pPr>
              <w:pStyle w:val="TableContents"/>
              <w:bidi w:val="0"/>
              <w:spacing w:before="0" w:after="283"/>
              <w:jc w:val="left"/>
              <w:rPr>
                <w:sz w:val="4"/>
                <w:szCs w:val="4"/>
              </w:rPr>
            </w:pPr>
            <w:r>
              <w:rPr>
                <w:sz w:val="4"/>
                <w:szCs w:val="4"/>
              </w:rPr>
            </w:r>
          </w:p>
        </w:tc>
        <w:tc>
          <w:tcPr>
            <w:tcW w:w="9798" w:type="dxa"/>
            <w:gridSpan w:val="2"/>
            <w:tcBorders/>
            <w:vAlign w:val="center"/>
          </w:tcPr>
          <w:p>
            <w:pPr>
              <w:pStyle w:val="TableContents"/>
              <w:bidi w:val="0"/>
              <w:spacing w:before="0" w:after="283"/>
              <w:jc w:val="left"/>
              <w:rPr>
                <w:sz w:val="4"/>
                <w:szCs w:val="4"/>
              </w:rPr>
            </w:pPr>
            <w:r>
              <w:rPr>
                <w:sz w:val="4"/>
                <w:szCs w:val="4"/>
              </w:rPr>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b/>
              </w:rPr>
            </w:pPr>
            <w:r>
              <w:rPr>
                <w:b/>
              </w:rPr>
              <w:t>Confidential, for Use of the Commission Only (as permitted by Rule 14a-6(e)(2))</w:t>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Definitive Proxy Statement</w:t>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Definitive Additional Materials</w:t>
            </w:r>
          </w:p>
        </w:tc>
      </w:tr>
      <w:tr>
        <w:trPr/>
        <w:tc>
          <w:tcPr>
            <w:tcW w:w="407" w:type="dxa"/>
            <w:tcBorders/>
          </w:tcPr>
          <w:p>
            <w:pPr>
              <w:pStyle w:val="TableContents"/>
              <w:bidi w:val="0"/>
              <w:spacing w:before="0" w:after="283"/>
              <w:jc w:val="left"/>
              <w:rPr/>
            </w:pPr>
            <w:r>
              <w:rPr/>
              <w:t>☐</w:t>
            </w:r>
          </w:p>
        </w:tc>
        <w:tc>
          <w:tcPr>
            <w:tcW w:w="101" w:type="dxa"/>
            <w:tcBorders/>
            <w:vAlign w:val="bottom"/>
          </w:tcPr>
          <w:p>
            <w:pPr>
              <w:pStyle w:val="TableContents"/>
              <w:bidi w:val="0"/>
              <w:spacing w:before="0" w:after="283"/>
              <w:jc w:val="left"/>
              <w:rPr/>
            </w:pPr>
            <w:r>
              <w:rPr/>
              <w:t> </w:t>
            </w:r>
          </w:p>
        </w:tc>
        <w:tc>
          <w:tcPr>
            <w:tcW w:w="9697" w:type="dxa"/>
            <w:tcBorders/>
            <w:vAlign w:val="bottom"/>
          </w:tcPr>
          <w:p>
            <w:pPr>
              <w:pStyle w:val="TableContents"/>
              <w:bidi w:val="0"/>
              <w:spacing w:before="0" w:after="283"/>
              <w:jc w:val="left"/>
              <w:rPr/>
            </w:pPr>
            <w:r>
              <w:rPr/>
              <w:t>Soliciting Material under §240.14a-12</w:t>
            </w:r>
          </w:p>
        </w:tc>
      </w:tr>
    </w:tbl>
    <w:p>
      <w:pPr>
        <w:pStyle w:val="TextBody"/>
        <w:bidi w:val="0"/>
        <w:spacing w:before="240" w:after="0"/>
        <w:jc w:val="center"/>
        <w:rPr>
          <w:rFonts w:ascii="Times New Roman" w:hAnsi="Times New Roman"/>
          <w:b/>
          <w:sz w:val="44"/>
        </w:rPr>
      </w:pPr>
      <w:r>
        <w:rPr>
          <w:rFonts w:ascii="Times New Roman" w:hAnsi="Times New Roman"/>
          <w:b/>
          <w:sz w:val="44"/>
        </w:rPr>
        <w:t xml:space="preserve">Fate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0" w:after="0"/>
        <w:jc w:val="left"/>
        <w:rPr/>
      </w:pPr>
      <w:r>
        <w:rPr/>
        <w:t> </w:t>
      </w:r>
    </w:p>
    <w:p>
      <w:pPr>
        <w:pStyle w:val="TextBody"/>
        <w:bidi w:val="0"/>
        <w:spacing w:before="0" w:after="0"/>
        <w:jc w:val="center"/>
        <w:rPr>
          <w:rFonts w:ascii="Times New Roman" w:hAnsi="Times New Roman"/>
          <w:b/>
          <w:sz w:val="16"/>
        </w:rPr>
      </w:pPr>
      <w:r>
        <w:rPr>
          <w:rFonts w:ascii="Times New Roman" w:hAnsi="Times New Roman"/>
          <w:b/>
          <w:sz w:val="16"/>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tbl>
      <w:tblPr>
        <w:tblW w:w="5000" w:type="pct"/>
        <w:jc w:val="center"/>
        <w:tblInd w:w="0" w:type="dxa"/>
        <w:tblLayout w:type="fixed"/>
        <w:tblCellMar>
          <w:top w:w="0" w:type="dxa"/>
          <w:left w:w="0" w:type="dxa"/>
          <w:bottom w:w="0" w:type="dxa"/>
          <w:right w:w="0" w:type="dxa"/>
        </w:tblCellMar>
      </w:tblPr>
      <w:tblGrid>
        <w:gridCol w:w="437"/>
        <w:gridCol w:w="120"/>
        <w:gridCol w:w="9648"/>
      </w:tblGrid>
      <w:tr>
        <w:trPr/>
        <w:tc>
          <w:tcPr>
            <w:tcW w:w="43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48"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437" w:type="dxa"/>
            <w:tcBorders/>
            <w:vAlign w:val="center"/>
          </w:tcPr>
          <w:p>
            <w:pPr>
              <w:pStyle w:val="TableContents"/>
              <w:bidi w:val="0"/>
              <w:spacing w:before="0" w:after="283"/>
              <w:jc w:val="left"/>
              <w:rPr>
                <w:sz w:val="4"/>
                <w:szCs w:val="4"/>
              </w:rPr>
            </w:pPr>
            <w:r>
              <w:rPr>
                <w:sz w:val="4"/>
                <w:szCs w:val="4"/>
              </w:rPr>
            </w:r>
          </w:p>
        </w:tc>
        <w:tc>
          <w:tcPr>
            <w:tcW w:w="9768" w:type="dxa"/>
            <w:gridSpan w:val="2"/>
            <w:tcBorders/>
            <w:vAlign w:val="center"/>
          </w:tcPr>
          <w:p>
            <w:pPr>
              <w:pStyle w:val="TableContents"/>
              <w:bidi w:val="0"/>
              <w:spacing w:before="0" w:after="283"/>
              <w:jc w:val="left"/>
              <w:rPr>
                <w:sz w:val="4"/>
                <w:szCs w:val="4"/>
              </w:rPr>
            </w:pPr>
            <w:r>
              <w:rPr>
                <w:sz w:val="4"/>
                <w:szCs w:val="4"/>
              </w:rPr>
            </w:r>
          </w:p>
        </w:tc>
      </w:tr>
      <w:tr>
        <w:trPr/>
        <w:tc>
          <w:tcPr>
            <w:tcW w:w="437" w:type="dxa"/>
            <w:tcBorders/>
          </w:tcPr>
          <w:p>
            <w:pPr>
              <w:pStyle w:val="TableContents"/>
              <w:bidi w:val="0"/>
              <w:spacing w:before="0" w:after="0"/>
              <w:jc w:val="left"/>
              <w:rPr/>
            </w:pPr>
            <w:r>
              <w:rPr/>
              <w:t>☒</w:t>
            </w:r>
          </w:p>
        </w:tc>
        <w:tc>
          <w:tcPr>
            <w:tcW w:w="120" w:type="dxa"/>
            <w:tcBorders/>
            <w:vAlign w:val="bottom"/>
          </w:tcPr>
          <w:p>
            <w:pPr>
              <w:pStyle w:val="TableContents"/>
              <w:bidi w:val="0"/>
              <w:spacing w:before="0" w:after="283"/>
              <w:jc w:val="left"/>
              <w:rPr/>
            </w:pPr>
            <w:r>
              <w:rPr/>
              <w:t>  </w:t>
            </w:r>
          </w:p>
        </w:tc>
        <w:tc>
          <w:tcPr>
            <w:tcW w:w="9648" w:type="dxa"/>
            <w:tcBorders/>
          </w:tcPr>
          <w:p>
            <w:pPr>
              <w:pStyle w:val="TableContents"/>
              <w:bidi w:val="0"/>
              <w:spacing w:before="0" w:after="283"/>
              <w:jc w:val="left"/>
              <w:rPr/>
            </w:pPr>
            <w:r>
              <w:rPr/>
              <w:t>No fee required.</w:t>
            </w:r>
          </w:p>
        </w:tc>
      </w:tr>
      <w:tr>
        <w:trPr>
          <w:trHeight w:val="60" w:hRule="atLeast"/>
        </w:trPr>
        <w:tc>
          <w:tcPr>
            <w:tcW w:w="437" w:type="dxa"/>
            <w:tcBorders/>
            <w:vAlign w:val="center"/>
          </w:tcPr>
          <w:p>
            <w:pPr>
              <w:pStyle w:val="TableContents"/>
              <w:bidi w:val="0"/>
              <w:spacing w:before="0" w:after="283"/>
              <w:jc w:val="left"/>
              <w:rPr>
                <w:sz w:val="4"/>
                <w:szCs w:val="4"/>
              </w:rPr>
            </w:pPr>
            <w:r>
              <w:rPr>
                <w:sz w:val="4"/>
                <w:szCs w:val="4"/>
              </w:rPr>
            </w:r>
          </w:p>
        </w:tc>
        <w:tc>
          <w:tcPr>
            <w:tcW w:w="9768" w:type="dxa"/>
            <w:gridSpan w:val="2"/>
            <w:tcBorders/>
            <w:vAlign w:val="center"/>
          </w:tcPr>
          <w:p>
            <w:pPr>
              <w:pStyle w:val="TableContents"/>
              <w:bidi w:val="0"/>
              <w:spacing w:before="0" w:after="283"/>
              <w:jc w:val="left"/>
              <w:rPr>
                <w:sz w:val="4"/>
                <w:szCs w:val="4"/>
              </w:rPr>
            </w:pPr>
            <w:r>
              <w:rPr>
                <w:sz w:val="4"/>
                <w:szCs w:val="4"/>
              </w:rPr>
            </w:r>
          </w:p>
        </w:tc>
      </w:tr>
      <w:tr>
        <w:trPr/>
        <w:tc>
          <w:tcPr>
            <w:tcW w:w="437" w:type="dxa"/>
            <w:tcBorders/>
          </w:tcPr>
          <w:p>
            <w:pPr>
              <w:pStyle w:val="TableContents"/>
              <w:bidi w:val="0"/>
              <w:spacing w:before="0" w:after="0"/>
              <w:jc w:val="left"/>
              <w:rPr/>
            </w:pPr>
            <w:r>
              <w:rPr/>
              <w:t>☐</w:t>
            </w:r>
          </w:p>
        </w:tc>
        <w:tc>
          <w:tcPr>
            <w:tcW w:w="120" w:type="dxa"/>
            <w:tcBorders/>
            <w:vAlign w:val="bottom"/>
          </w:tcPr>
          <w:p>
            <w:pPr>
              <w:pStyle w:val="TableContents"/>
              <w:bidi w:val="0"/>
              <w:spacing w:before="0" w:after="283"/>
              <w:jc w:val="left"/>
              <w:rPr/>
            </w:pPr>
            <w:r>
              <w:rPr/>
              <w:t>  </w:t>
            </w:r>
          </w:p>
        </w:tc>
        <w:tc>
          <w:tcPr>
            <w:tcW w:w="9648" w:type="dxa"/>
            <w:tcBorders/>
          </w:tcPr>
          <w:p>
            <w:pPr>
              <w:pStyle w:val="TableContents"/>
              <w:bidi w:val="0"/>
              <w:spacing w:before="0" w:after="283"/>
              <w:jc w:val="left"/>
              <w:rPr/>
            </w:pPr>
            <w:r>
              <w:rPr/>
              <w:t>Fee paid previously with preliminary materials.</w:t>
            </w:r>
          </w:p>
        </w:tc>
      </w:tr>
      <w:tr>
        <w:trPr>
          <w:trHeight w:val="60" w:hRule="atLeast"/>
        </w:trPr>
        <w:tc>
          <w:tcPr>
            <w:tcW w:w="437" w:type="dxa"/>
            <w:tcBorders/>
            <w:vAlign w:val="center"/>
          </w:tcPr>
          <w:p>
            <w:pPr>
              <w:pStyle w:val="TableContents"/>
              <w:bidi w:val="0"/>
              <w:spacing w:before="0" w:after="283"/>
              <w:jc w:val="left"/>
              <w:rPr>
                <w:sz w:val="4"/>
                <w:szCs w:val="4"/>
              </w:rPr>
            </w:pPr>
            <w:r>
              <w:rPr>
                <w:sz w:val="4"/>
                <w:szCs w:val="4"/>
              </w:rPr>
            </w:r>
          </w:p>
        </w:tc>
        <w:tc>
          <w:tcPr>
            <w:tcW w:w="9768" w:type="dxa"/>
            <w:gridSpan w:val="2"/>
            <w:tcBorders/>
            <w:vAlign w:val="center"/>
          </w:tcPr>
          <w:p>
            <w:pPr>
              <w:pStyle w:val="TableContents"/>
              <w:bidi w:val="0"/>
              <w:spacing w:before="0" w:after="283"/>
              <w:jc w:val="left"/>
              <w:rPr>
                <w:sz w:val="4"/>
                <w:szCs w:val="4"/>
              </w:rPr>
            </w:pPr>
            <w:r>
              <w:rPr>
                <w:sz w:val="4"/>
                <w:szCs w:val="4"/>
              </w:rPr>
            </w:r>
          </w:p>
        </w:tc>
      </w:tr>
      <w:tr>
        <w:trPr/>
        <w:tc>
          <w:tcPr>
            <w:tcW w:w="437" w:type="dxa"/>
            <w:tcBorders/>
          </w:tcPr>
          <w:p>
            <w:pPr>
              <w:pStyle w:val="TableContents"/>
              <w:bidi w:val="0"/>
              <w:spacing w:before="0" w:after="0"/>
              <w:jc w:val="left"/>
              <w:rPr/>
            </w:pPr>
            <w:r>
              <w:rPr/>
              <w:t>☐</w:t>
            </w:r>
          </w:p>
        </w:tc>
        <w:tc>
          <w:tcPr>
            <w:tcW w:w="120" w:type="dxa"/>
            <w:tcBorders/>
            <w:vAlign w:val="bottom"/>
          </w:tcPr>
          <w:p>
            <w:pPr>
              <w:pStyle w:val="TableContents"/>
              <w:bidi w:val="0"/>
              <w:spacing w:before="0" w:after="283"/>
              <w:jc w:val="left"/>
              <w:rPr/>
            </w:pPr>
            <w:r>
              <w:rPr/>
              <w:t>  </w:t>
            </w:r>
          </w:p>
        </w:tc>
        <w:tc>
          <w:tcPr>
            <w:tcW w:w="9648" w:type="dxa"/>
            <w:tcBorders/>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068"/>
        <w:gridCol w:w="120"/>
        <w:gridCol w:w="5017"/>
      </w:tblGrid>
      <w:tr>
        <w:trPr/>
        <w:tc>
          <w:tcPr>
            <w:tcW w:w="506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17" w:type="dxa"/>
            <w:tcBorders/>
            <w:vAlign w:val="center"/>
          </w:tcPr>
          <w:p>
            <w:pPr>
              <w:pStyle w:val="TableContents"/>
              <w:bidi w:val="0"/>
              <w:spacing w:before="0" w:after="283"/>
              <w:jc w:val="left"/>
              <w:rPr>
                <w:sz w:val="4"/>
                <w:szCs w:val="4"/>
              </w:rPr>
            </w:pPr>
            <w:r>
              <w:rPr>
                <w:sz w:val="4"/>
                <w:szCs w:val="4"/>
              </w:rPr>
            </w:r>
          </w:p>
        </w:tc>
      </w:tr>
      <w:tr>
        <w:trPr/>
        <w:tc>
          <w:tcPr>
            <w:tcW w:w="5068" w:type="dxa"/>
            <w:tcBorders/>
          </w:tcPr>
          <w:p>
            <w:pPr>
              <w:pStyle w:val="TableContents"/>
              <w:bidi w:val="0"/>
              <w:spacing w:before="0" w:after="0"/>
              <w:jc w:val="left"/>
              <w:rPr/>
            </w:pPr>
            <w:r>
              <w:rPr/>
              <w:t> </w:t>
            </w:r>
          </w:p>
          <w:p>
            <w:pPr>
              <w:pStyle w:val="TableContents"/>
              <w:bidi w:val="0"/>
              <w:spacing w:before="0" w:after="0"/>
              <w:jc w:val="left"/>
              <w:rPr/>
            </w:pPr>
            <w:r>
              <w:rPr/>
              <w:t xml:space="preserve">  </w:t>
            </w:r>
            <w:r>
              <w:rPr/>
              <w:drawing>
                <wp:inline distT="0" distB="0" distL="0" distR="0">
                  <wp:extent cx="828675"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28675" cy="44767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r>
              <w:rPr>
                <w:rFonts w:ascii="ARIAL" w:hAnsi="ARIAL"/>
                <w:sz w:val="12"/>
              </w:rPr>
              <w:t>PROXY TABULATOR: P.O. BOX 8016, CARY, NC 27512-9903</w:t>
            </w:r>
          </w:p>
          <w:p>
            <w:pPr>
              <w:pStyle w:val="TableContents"/>
              <w:bidi w:val="0"/>
              <w:spacing w:before="0" w:after="0"/>
              <w:jc w:val="left"/>
              <w:rPr/>
            </w:pPr>
            <w:r>
              <w:rPr/>
              <w:t> </w:t>
            </w:r>
          </w:p>
          <w:p>
            <w:pPr>
              <w:pStyle w:val="TableContents"/>
              <w:bidi w:val="0"/>
              <w:spacing w:before="0" w:after="20"/>
              <w:jc w:val="left"/>
              <w:rPr/>
            </w:pPr>
            <w:r>
              <w:rPr/>
              <w:drawing>
                <wp:inline distT="0" distB="0" distL="0" distR="0">
                  <wp:extent cx="3028950" cy="990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028950" cy="9906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5017" w:type="dxa"/>
            <w:tcBorders/>
          </w:tcPr>
          <w:p>
            <w:pPr>
              <w:pStyle w:val="TableContents"/>
              <w:bidi w:val="0"/>
              <w:spacing w:before="0" w:after="283"/>
              <w:jc w:val="right"/>
              <w:rPr/>
            </w:pPr>
            <w:r>
              <w:rPr/>
              <w:drawing>
                <wp:inline distT="0" distB="0" distL="0" distR="0">
                  <wp:extent cx="3048000" cy="24574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048000" cy="2457450"/>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93"/>
        <w:gridCol w:w="101"/>
        <w:gridCol w:w="60"/>
        <w:gridCol w:w="101"/>
        <w:gridCol w:w="3450"/>
      </w:tblGrid>
      <w:tr>
        <w:trPr/>
        <w:tc>
          <w:tcPr>
            <w:tcW w:w="649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450" w:type="dxa"/>
            <w:tcBorders/>
            <w:vAlign w:val="center"/>
          </w:tcPr>
          <w:p>
            <w:pPr>
              <w:pStyle w:val="TableContents"/>
              <w:bidi w:val="0"/>
              <w:spacing w:before="0" w:after="283"/>
              <w:jc w:val="left"/>
              <w:rPr>
                <w:sz w:val="4"/>
                <w:szCs w:val="4"/>
              </w:rPr>
            </w:pPr>
            <w:r>
              <w:rPr>
                <w:sz w:val="4"/>
                <w:szCs w:val="4"/>
              </w:rPr>
            </w:r>
          </w:p>
        </w:tc>
      </w:tr>
      <w:tr>
        <w:trPr/>
        <w:tc>
          <w:tcPr>
            <w:tcW w:w="6493" w:type="dxa"/>
            <w:vMerge w:val="restart"/>
            <w:tcBorders/>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sz w:val="28"/>
              </w:rPr>
            </w:pPr>
            <w:r>
              <w:rPr>
                <w:rFonts w:ascii="ARIAL" w:hAnsi="ARIAL"/>
                <w:b/>
                <w:sz w:val="28"/>
              </w:rPr>
              <w:t>Fate Therapeutics, Inc.</w:t>
            </w:r>
          </w:p>
          <w:p>
            <w:pPr>
              <w:pStyle w:val="TableContents"/>
              <w:bidi w:val="0"/>
              <w:spacing w:before="0" w:after="0"/>
              <w:jc w:val="left"/>
              <w:rPr/>
            </w:pPr>
            <w:r>
              <w:rPr/>
              <w:t> </w:t>
            </w:r>
          </w:p>
          <w:p>
            <w:pPr>
              <w:pStyle w:val="TableContents"/>
              <w:bidi w:val="0"/>
              <w:spacing w:before="0" w:after="0"/>
              <w:jc w:val="left"/>
              <w:rPr>
                <w:rFonts w:ascii="ARIAL" w:hAnsi="ARIAL"/>
                <w:b/>
                <w:color w:val="747577"/>
                <w:sz w:val="28"/>
              </w:rPr>
            </w:pPr>
            <w:r>
              <w:rPr>
                <w:rFonts w:ascii="ARIAL" w:hAnsi="ARIAL"/>
                <w:b/>
                <w:color w:val="747577"/>
                <w:sz w:val="28"/>
              </w:rPr>
              <w:t>Annual Meeting of Stockholders</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Friday, June 12, 2026 9:30 AM, Pacific Time</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12278 Scripps Summit Drive, San Diego, California, 92131</w:t>
            </w:r>
          </w:p>
          <w:p>
            <w:pPr>
              <w:pStyle w:val="TableContents"/>
              <w:bidi w:val="0"/>
              <w:spacing w:before="0" w:after="0"/>
              <w:jc w:val="left"/>
              <w:rPr/>
            </w:pPr>
            <w:r>
              <w:rPr/>
              <w:t> </w:t>
            </w:r>
          </w:p>
          <w:p>
            <w:pPr>
              <w:pStyle w:val="TableContents"/>
              <w:pBdr>
                <w:bottom w:val="single" w:sz="16" w:space="1" w:color="747577"/>
              </w:pBdr>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For a convenient way to view proxy materials, VOTE, and obtain directions to attend the meeting go to www.proxydocs.com/FATE</w:t>
            </w:r>
          </w:p>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To vote your proxy while visiting this site, you will need the 12 digit control number in the box below.</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w:t>
            </w:r>
          </w:p>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sz w:val="16"/>
              </w:rPr>
              <w:t>Under the United States Securities and Exchange Commission rules, proxy materials do not have to be delivered in paper. Proxy materials can be distributed by making them available on the Internet.</w:t>
            </w:r>
          </w:p>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If you want to receive a paper or e-mail copy of the proxy material, you must request one. There is no charge to you for requesting a copy. In order to receive a paper copy in time for this year’s meeting, you must make this request on or before June 2, 2026.</w:t>
            </w:r>
          </w:p>
        </w:tc>
        <w:tc>
          <w:tcPr>
            <w:tcW w:w="101" w:type="dxa"/>
            <w:tcBorders/>
            <w:vAlign w:val="bottom"/>
          </w:tcPr>
          <w:p>
            <w:pPr>
              <w:pStyle w:val="TableContents"/>
              <w:bidi w:val="0"/>
              <w:spacing w:before="0" w:after="283"/>
              <w:jc w:val="left"/>
              <w:rPr/>
            </w:pPr>
            <w:r>
              <w:rPr/>
              <w:t> </w:t>
            </w:r>
          </w:p>
        </w:tc>
        <w:tc>
          <w:tcPr>
            <w:tcW w:w="60" w:type="dxa"/>
            <w:tcBorders>
              <w:right w:val="dotted" w:sz="12" w:space="0" w:color="CCCCCC"/>
            </w:tcBorders>
            <w:tcMar>
              <w:right w:w="28" w:type="dxa"/>
            </w:tcMar>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3450" w:type="dxa"/>
            <w:tcBorders/>
          </w:tcPr>
          <w:p>
            <w:pPr>
              <w:pStyle w:val="TableContents"/>
              <w:bidi w:val="0"/>
              <w:spacing w:before="0" w:after="0"/>
              <w:jc w:val="left"/>
              <w:rPr/>
            </w:pPr>
            <w:r>
              <w:rPr/>
              <w:t> </w:t>
            </w:r>
          </w:p>
          <w:p>
            <w:pPr>
              <w:pStyle w:val="TableContents"/>
              <w:bidi w:val="0"/>
              <w:spacing w:before="0" w:after="0"/>
              <w:jc w:val="left"/>
              <w:rPr>
                <w:rFonts w:ascii="ARIAL" w:hAnsi="ARIAL"/>
                <w:sz w:val="16"/>
              </w:rPr>
            </w:pPr>
            <w:r>
              <w:rPr>
                <w:rFonts w:ascii="ARIAL" w:hAnsi="ARIAL"/>
                <w:b/>
                <w:sz w:val="16"/>
              </w:rPr>
              <w:t>Meeting Materials:</w:t>
            </w:r>
            <w:r>
              <w:rPr>
                <w:rFonts w:ascii="ARIAL" w:hAnsi="ARIAL"/>
                <w:sz w:val="16"/>
              </w:rPr>
              <w:t xml:space="preserve"> Notice of Meeting and Proxy Statement &amp; Annual Report on Form 10-K</w:t>
            </w:r>
          </w:p>
          <w:p>
            <w:pPr>
              <w:pStyle w:val="TableContents"/>
              <w:bidi w:val="0"/>
              <w:spacing w:before="0" w:after="0"/>
              <w:jc w:val="left"/>
              <w:rPr/>
            </w:pPr>
            <w:r>
              <w:rPr/>
              <w:t> </w:t>
            </w:r>
          </w:p>
          <w:p>
            <w:pPr>
              <w:pStyle w:val="TableContents"/>
              <w:bidi w:val="0"/>
              <w:spacing w:before="0" w:after="0"/>
              <w:jc w:val="left"/>
              <w:rPr>
                <w:rFonts w:ascii="ARIAL" w:hAnsi="ARIAL"/>
                <w:b/>
                <w:color w:val="747577"/>
                <w:sz w:val="18"/>
              </w:rPr>
            </w:pPr>
            <w:r>
              <w:rPr>
                <w:rFonts w:ascii="ARIAL" w:hAnsi="ARIAL"/>
                <w:b/>
                <w:color w:val="747577"/>
                <w:sz w:val="18"/>
              </w:rPr>
              <w:t>Important Notice Regarding the Availability of Proxy Materials for the Stockholders Meeting To Be Held On June 12, 2026 For Stockholders of record as of April 15, 2026</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To order paper materials, use one of the following methods.</w:t>
            </w:r>
          </w:p>
          <w:p>
            <w:pPr>
              <w:pStyle w:val="TableContents"/>
              <w:bidi w:val="0"/>
              <w:spacing w:before="0" w:after="0"/>
              <w:jc w:val="left"/>
              <w:rPr/>
            </w:pPr>
            <w:r>
              <w:rPr/>
              <w:t> </w:t>
            </w:r>
          </w:p>
          <w:p>
            <w:pPr>
              <w:pStyle w:val="TableContents"/>
              <w:bidi w:val="0"/>
              <w:spacing w:before="0" w:after="0"/>
              <w:jc w:val="left"/>
              <w:rPr/>
            </w:pPr>
            <w:r>
              <w:rPr/>
              <w:t xml:space="preserve">   </w:t>
            </w:r>
            <w:r>
              <w:rPr/>
              <w:drawing>
                <wp:inline distT="0" distB="0" distL="0" distR="0">
                  <wp:extent cx="419100" cy="361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19100" cy="3619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747577"/>
                <w:sz w:val="18"/>
              </w:rPr>
            </w:pPr>
            <w:r>
              <w:rPr>
                <w:rFonts w:ascii="ARIAL" w:hAnsi="ARIAL"/>
                <w:b/>
                <w:color w:val="747577"/>
                <w:sz w:val="18"/>
              </w:rPr>
              <w:t>Internet:</w:t>
            </w:r>
          </w:p>
          <w:p>
            <w:pPr>
              <w:pStyle w:val="TableContents"/>
              <w:bidi w:val="0"/>
              <w:spacing w:before="0" w:after="0"/>
              <w:jc w:val="left"/>
              <w:rPr>
                <w:rFonts w:ascii="ARIAL" w:hAnsi="ARIAL"/>
                <w:b/>
                <w:color w:val="F28B1F"/>
                <w:sz w:val="18"/>
              </w:rPr>
            </w:pPr>
            <w:r>
              <w:rPr>
                <w:rFonts w:ascii="ARIAL" w:hAnsi="ARIAL"/>
                <w:b/>
                <w:color w:val="F28B1F"/>
                <w:sz w:val="18"/>
              </w:rPr>
              <w:t>www.investorelections.com/FATE</w:t>
            </w:r>
          </w:p>
          <w:p>
            <w:pPr>
              <w:pStyle w:val="TableContents"/>
              <w:bidi w:val="0"/>
              <w:spacing w:before="0" w:after="0"/>
              <w:jc w:val="left"/>
              <w:rPr/>
            </w:pPr>
            <w:r>
              <w:rPr/>
              <w:t> </w:t>
            </w:r>
          </w:p>
          <w:p>
            <w:pPr>
              <w:pStyle w:val="TableContents"/>
              <w:bidi w:val="0"/>
              <w:spacing w:before="0" w:after="0"/>
              <w:jc w:val="left"/>
              <w:rPr/>
            </w:pPr>
            <w:r>
              <w:rPr/>
              <w:t xml:space="preserve">   </w:t>
            </w:r>
            <w:r>
              <w:rPr/>
              <w:drawing>
                <wp:inline distT="0" distB="0" distL="0" distR="0">
                  <wp:extent cx="304800" cy="428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04800" cy="42862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747577"/>
                <w:sz w:val="18"/>
              </w:rPr>
            </w:pPr>
            <w:r>
              <w:rPr>
                <w:rFonts w:ascii="ARIAL" w:hAnsi="ARIAL"/>
                <w:b/>
                <w:color w:val="747577"/>
                <w:sz w:val="18"/>
              </w:rPr>
              <w:t>Call:</w:t>
            </w:r>
          </w:p>
          <w:p>
            <w:pPr>
              <w:pStyle w:val="TableContents"/>
              <w:bidi w:val="0"/>
              <w:spacing w:before="0" w:after="0"/>
              <w:jc w:val="left"/>
              <w:rPr>
                <w:rFonts w:ascii="ARIAL" w:hAnsi="ARIAL"/>
                <w:b/>
                <w:color w:val="F28B1F"/>
                <w:sz w:val="18"/>
              </w:rPr>
            </w:pPr>
            <w:r>
              <w:rPr>
                <w:rFonts w:ascii="ARIAL" w:hAnsi="ARIAL"/>
                <w:b/>
                <w:color w:val="F28B1F"/>
                <w:sz w:val="18"/>
              </w:rPr>
              <w:t xml:space="preserve">1-866-648-8133 </w:t>
            </w:r>
          </w:p>
          <w:p>
            <w:pPr>
              <w:pStyle w:val="TableContents"/>
              <w:bidi w:val="0"/>
              <w:spacing w:before="0" w:after="0"/>
              <w:jc w:val="left"/>
              <w:rPr/>
            </w:pPr>
            <w:r>
              <w:rPr/>
              <w:t> </w:t>
            </w:r>
          </w:p>
          <w:p>
            <w:pPr>
              <w:pStyle w:val="TableContents"/>
              <w:bidi w:val="0"/>
              <w:spacing w:before="0" w:after="0"/>
              <w:jc w:val="left"/>
              <w:rPr/>
            </w:pPr>
            <w:r>
              <w:rPr/>
              <w:t xml:space="preserve">  </w:t>
            </w:r>
            <w:r>
              <w:rPr/>
              <w:drawing>
                <wp:inline distT="0" distB="0" distL="0" distR="0">
                  <wp:extent cx="457200" cy="4000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57200" cy="4000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color w:val="747577"/>
                <w:sz w:val="18"/>
              </w:rPr>
            </w:pPr>
            <w:r>
              <w:rPr>
                <w:rFonts w:ascii="ARIAL" w:hAnsi="ARIAL"/>
                <w:b/>
                <w:color w:val="747577"/>
                <w:sz w:val="18"/>
              </w:rPr>
              <w:t>Email:</w:t>
            </w:r>
          </w:p>
          <w:p>
            <w:pPr>
              <w:pStyle w:val="TableContents"/>
              <w:bidi w:val="0"/>
              <w:spacing w:before="0" w:after="0"/>
              <w:jc w:val="left"/>
              <w:rPr>
                <w:rFonts w:ascii="ARIAL" w:hAnsi="ARIAL"/>
                <w:b/>
                <w:color w:val="F28B1F"/>
                <w:sz w:val="18"/>
              </w:rPr>
            </w:pPr>
            <w:r>
              <w:rPr>
                <w:rFonts w:ascii="ARIAL" w:hAnsi="ARIAL"/>
                <w:b/>
                <w:color w:val="F28B1F"/>
                <w:sz w:val="18"/>
              </w:rPr>
              <w:t>paper@investorelections.com</w:t>
            </w:r>
          </w:p>
          <w:p>
            <w:pPr>
              <w:pStyle w:val="TableContents"/>
              <w:bidi w:val="0"/>
              <w:spacing w:before="0" w:after="0"/>
              <w:jc w:val="left"/>
              <w:rPr/>
            </w:pPr>
            <w:r>
              <w:rPr/>
              <w:t> </w:t>
            </w:r>
          </w:p>
          <w:p>
            <w:pPr>
              <w:pStyle w:val="TableContents"/>
              <w:bidi w:val="0"/>
              <w:spacing w:before="0" w:after="0"/>
              <w:jc w:val="left"/>
              <w:rPr>
                <w:rFonts w:ascii="ARIAL" w:hAnsi="ARIAL"/>
                <w:sz w:val="12"/>
              </w:rPr>
            </w:pPr>
            <w:r>
              <w:rPr>
                <w:rFonts w:ascii="ARIAL" w:hAnsi="ARIAL"/>
                <w:sz w:val="12"/>
              </w:rPr>
              <w:t>* If requesting material by e-mail, please send a blank e-mail with the 12 digit control number (located below) in the subject line. No other requests, instructions OR other inquiries should be included with your e-mail requesting material.</w:t>
            </w:r>
          </w:p>
          <w:p>
            <w:pPr>
              <w:pStyle w:val="TableContents"/>
              <w:bidi w:val="0"/>
              <w:spacing w:before="0" w:after="20"/>
              <w:jc w:val="left"/>
              <w:rPr/>
            </w:pPr>
            <w:r>
              <w:rPr/>
              <w:t> </w:t>
            </w:r>
          </w:p>
        </w:tc>
      </w:tr>
      <w:tr>
        <w:trPr/>
        <w:tc>
          <w:tcPr>
            <w:tcW w:w="6493" w:type="dxa"/>
            <w:vMerge w:val="continue"/>
            <w:tcBorders/>
          </w:tcPr>
          <w:p>
            <w:pPr>
              <w:pStyle w:val="Normal"/>
              <w:bidi w:val="0"/>
              <w:jc w:val="left"/>
              <w:rPr/>
            </w:pPr>
            <w:r>
              <w:rPr/>
            </w:r>
          </w:p>
        </w:tc>
        <w:tc>
          <w:tcPr>
            <w:tcW w:w="101" w:type="dxa"/>
            <w:tcBorders/>
            <w:vAlign w:val="bottom"/>
          </w:tcPr>
          <w:p>
            <w:pPr>
              <w:pStyle w:val="TableContents"/>
              <w:bidi w:val="0"/>
              <w:spacing w:before="0" w:after="283"/>
              <w:jc w:val="left"/>
              <w:rPr/>
            </w:pPr>
            <w:r>
              <w:rPr/>
              <w:t> </w:t>
            </w:r>
          </w:p>
        </w:tc>
        <w:tc>
          <w:tcPr>
            <w:tcW w:w="60" w:type="dxa"/>
            <w:tcBorders>
              <w:right w:val="dotted" w:sz="12" w:space="0" w:color="CCCCCC"/>
            </w:tcBorders>
            <w:tcMar>
              <w:right w:w="28" w:type="dxa"/>
            </w:tcMar>
          </w:tcPr>
          <w:p>
            <w:pPr>
              <w:pStyle w:val="TableContents"/>
              <w:bidi w:val="0"/>
              <w:spacing w:before="0" w:after="283"/>
              <w:jc w:val="left"/>
              <w:rPr/>
            </w:pPr>
            <w:r>
              <w:rPr/>
              <w:t> </w:t>
            </w:r>
          </w:p>
        </w:tc>
        <w:tc>
          <w:tcPr>
            <w:tcW w:w="101" w:type="dxa"/>
            <w:vMerge w:val="restart"/>
            <w:tcBorders/>
            <w:vAlign w:val="bottom"/>
          </w:tcPr>
          <w:p>
            <w:pPr>
              <w:pStyle w:val="TableContents"/>
              <w:bidi w:val="0"/>
              <w:spacing w:before="0" w:after="283"/>
              <w:jc w:val="left"/>
              <w:rPr/>
            </w:pPr>
            <w:r>
              <w:rPr/>
              <w:t> </w:t>
            </w:r>
          </w:p>
        </w:tc>
        <w:tc>
          <w:tcPr>
            <w:tcW w:w="3450" w:type="dxa"/>
            <w:vMerge w:val="restart"/>
            <w:tcBorders/>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2143125" cy="447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143125" cy="447675"/>
                          </a:xfrm>
                          <a:prstGeom prst="rect">
                            <a:avLst/>
                          </a:prstGeom>
                        </pic:spPr>
                      </pic:pic>
                    </a:graphicData>
                  </a:graphic>
                </wp:inline>
              </w:drawing>
            </w:r>
            <w:r>
              <w:rPr/>
              <w:t xml:space="preserve"> </w:t>
            </w:r>
          </w:p>
        </w:tc>
      </w:tr>
      <w:tr>
        <w:trPr/>
        <w:tc>
          <w:tcPr>
            <w:tcW w:w="6493" w:type="dxa"/>
            <w:vMerge w:val="continue"/>
            <w:tcBorders/>
          </w:tcPr>
          <w:p>
            <w:pPr>
              <w:pStyle w:val="Normal"/>
              <w:bidi w:val="0"/>
              <w:jc w:val="left"/>
              <w:rPr/>
            </w:pPr>
            <w:r>
              <w:rPr/>
            </w:r>
          </w:p>
        </w:tc>
        <w:tc>
          <w:tcPr>
            <w:tcW w:w="10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01" w:type="dxa"/>
            <w:vMerge w:val="continue"/>
            <w:tcBorders/>
            <w:vAlign w:val="bottom"/>
          </w:tcPr>
          <w:p>
            <w:pPr>
              <w:pStyle w:val="Normal"/>
              <w:bidi w:val="0"/>
              <w:jc w:val="left"/>
              <w:rPr/>
            </w:pPr>
            <w:r>
              <w:rPr/>
            </w:r>
          </w:p>
        </w:tc>
        <w:tc>
          <w:tcPr>
            <w:tcW w:w="3450" w:type="dxa"/>
            <w:vMerge w:val="continue"/>
            <w:tcBorders/>
          </w:tcPr>
          <w:p>
            <w:pPr>
              <w:pStyle w:val="Normal"/>
              <w:bidi w:val="0"/>
              <w:jc w:val="left"/>
              <w:rPr/>
            </w:pPr>
            <w:r>
              <w:rPr/>
            </w:r>
          </w:p>
        </w:tc>
      </w:tr>
      <w:tr>
        <w:trPr/>
        <w:tc>
          <w:tcPr>
            <w:tcW w:w="6493" w:type="dxa"/>
            <w:vMerge w:val="continue"/>
            <w:tcBorders/>
          </w:tcPr>
          <w:p>
            <w:pPr>
              <w:pStyle w:val="Normal"/>
              <w:bidi w:val="0"/>
              <w:jc w:val="left"/>
              <w:rPr/>
            </w:pPr>
            <w:r>
              <w:rPr/>
            </w:r>
          </w:p>
        </w:tc>
        <w:tc>
          <w:tcPr>
            <w:tcW w:w="10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450" w:type="dxa"/>
            <w:tcBorders/>
          </w:tcPr>
          <w:p>
            <w:pPr>
              <w:pStyle w:val="TableContents"/>
              <w:bidi w:val="0"/>
              <w:spacing w:before="0" w:after="0"/>
              <w:jc w:val="left"/>
              <w:rPr>
                <w:rFonts w:ascii="ARIAL" w:hAnsi="ARIAL"/>
                <w:sz w:val="14"/>
              </w:rPr>
            </w:pPr>
            <w:r>
              <w:rPr>
                <w:rFonts w:ascii="ARIAL" w:hAnsi="ARIAL"/>
                <w:sz w:val="14"/>
              </w:rPr>
              <w:t>Have the 12 digit control number located in the box</w:t>
            </w:r>
          </w:p>
          <w:p>
            <w:pPr>
              <w:pStyle w:val="TableContents"/>
              <w:bidi w:val="0"/>
              <w:spacing w:before="0" w:after="20"/>
              <w:jc w:val="left"/>
              <w:rPr>
                <w:rFonts w:ascii="ARIAL" w:hAnsi="ARIAL"/>
                <w:sz w:val="14"/>
              </w:rPr>
            </w:pPr>
            <w:r>
              <w:rPr>
                <w:rFonts w:ascii="ARIAL" w:hAnsi="ARIAL"/>
                <w:sz w:val="14"/>
              </w:rPr>
              <w:t>above available when you access the website and follow the instructions.</w:t>
            </w:r>
          </w:p>
        </w:tc>
      </w:tr>
      <w:tr>
        <w:trPr/>
        <w:tc>
          <w:tcPr>
            <w:tcW w:w="6493" w:type="dxa"/>
            <w:tcBorders/>
          </w:tcPr>
          <w:p>
            <w:pPr>
              <w:pStyle w:val="TableContents"/>
              <w:bidi w:val="0"/>
              <w:spacing w:before="0" w:after="283"/>
              <w:jc w:val="center"/>
              <w:rPr>
                <w:b/>
                <w:sz w:val="18"/>
              </w:rPr>
            </w:pPr>
            <w:r>
              <w:rPr>
                <w:b/>
                <w:sz w:val="18"/>
              </w:rPr>
              <w:t>SEE REVERSE FOR FULL AGENDA</w:t>
            </w:r>
          </w:p>
        </w:tc>
        <w:tc>
          <w:tcPr>
            <w:tcW w:w="10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45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right"/>
        <w:rPr>
          <w:rFonts w:ascii="ARIAL" w:hAnsi="ARIAL"/>
          <w:sz w:val="16"/>
        </w:rPr>
      </w:pPr>
      <w:r>
        <w:rPr>
          <w:rFonts w:ascii="ARIAL" w:hAnsi="ARIAL"/>
          <w:sz w:val="16"/>
        </w:rPr>
        <w:t xml:space="preserve">Copyright © 2026 BetaNXT, Inc. or its affiliates. All Rights Reserved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163"/>
        <w:gridCol w:w="203"/>
        <w:gridCol w:w="6839"/>
      </w:tblGrid>
      <w:tr>
        <w:trPr/>
        <w:tc>
          <w:tcPr>
            <w:tcW w:w="3163"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6839" w:type="dxa"/>
            <w:tcBorders/>
            <w:vAlign w:val="center"/>
          </w:tcPr>
          <w:p>
            <w:pPr>
              <w:pStyle w:val="TableContents"/>
              <w:bidi w:val="0"/>
              <w:spacing w:before="0" w:after="283"/>
              <w:jc w:val="left"/>
              <w:rPr>
                <w:sz w:val="4"/>
                <w:szCs w:val="4"/>
              </w:rPr>
            </w:pPr>
            <w:r>
              <w:rPr>
                <w:sz w:val="4"/>
                <w:szCs w:val="4"/>
              </w:rPr>
            </w:r>
          </w:p>
        </w:tc>
      </w:tr>
      <w:tr>
        <w:trPr/>
        <w:tc>
          <w:tcPr>
            <w:tcW w:w="3163" w:type="dxa"/>
            <w:tcBorders/>
          </w:tcPr>
          <w:p>
            <w:pPr>
              <w:pStyle w:val="TableContents"/>
              <w:bidi w:val="0"/>
              <w:spacing w:before="0" w:after="283"/>
              <w:jc w:val="left"/>
              <w:rPr/>
            </w:pPr>
            <w:r>
              <w:rPr/>
              <w:drawing>
                <wp:inline distT="0" distB="0" distL="0" distR="0">
                  <wp:extent cx="828675" cy="447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28675" cy="447675"/>
                          </a:xfrm>
                          <a:prstGeom prst="rect">
                            <a:avLst/>
                          </a:prstGeom>
                        </pic:spPr>
                      </pic:pic>
                    </a:graphicData>
                  </a:graphic>
                </wp:inline>
              </w:drawing>
            </w:r>
            <w:r>
              <w:rPr/>
              <w:t xml:space="preserve"> </w:t>
            </w:r>
          </w:p>
        </w:tc>
        <w:tc>
          <w:tcPr>
            <w:tcW w:w="203" w:type="dxa"/>
            <w:tcBorders/>
            <w:vAlign w:val="bottom"/>
          </w:tcPr>
          <w:p>
            <w:pPr>
              <w:pStyle w:val="TableContents"/>
              <w:bidi w:val="0"/>
              <w:spacing w:before="0" w:after="283"/>
              <w:jc w:val="left"/>
              <w:rPr/>
            </w:pPr>
            <w:r>
              <w:rPr/>
              <w:t>  </w:t>
            </w:r>
          </w:p>
        </w:tc>
        <w:tc>
          <w:tcPr>
            <w:tcW w:w="6839" w:type="dxa"/>
            <w:tcBorders/>
          </w:tcPr>
          <w:p>
            <w:pPr>
              <w:pStyle w:val="TableContents"/>
              <w:bidi w:val="0"/>
              <w:spacing w:before="0" w:after="283"/>
              <w:jc w:val="right"/>
              <w:rPr>
                <w:b/>
                <w:color w:val="747577"/>
              </w:rPr>
            </w:pPr>
            <w:r>
              <w:rPr>
                <w:b/>
                <w:color w:val="747577"/>
              </w:rPr>
              <w:t>Fate Therapeutics, Inc. Annual Meeting of Stockholders</w:t>
            </w:r>
          </w:p>
        </w:tc>
      </w:tr>
    </w:tbl>
    <w:p>
      <w:pPr>
        <w:pStyle w:val="TextBody"/>
        <w:bidi w:val="0"/>
        <w:spacing w:before="200" w:after="0"/>
        <w:jc w:val="left"/>
        <w:rPr>
          <w:rFonts w:ascii="ARIAL" w:hAnsi="ARIAL"/>
          <w:sz w:val="16"/>
        </w:rPr>
      </w:pPr>
      <w:r>
        <w:rPr>
          <w:rFonts w:ascii="ARIAL" w:hAnsi="ARIAL"/>
          <w:b/>
          <w:sz w:val="16"/>
        </w:rPr>
        <w:t>THE BOARD OF DIRECTORS RECOMMENDS A VOTE:</w:t>
      </w:r>
      <w:r>
        <w:rPr>
          <w:rFonts w:ascii="ARIAL" w:hAnsi="ARIAL"/>
          <w:sz w:val="16"/>
        </w:rPr>
        <w:t xml:space="preserve"> </w:t>
      </w:r>
    </w:p>
    <w:p>
      <w:pPr>
        <w:pStyle w:val="TextBody"/>
        <w:bidi w:val="0"/>
        <w:spacing w:before="80" w:after="0"/>
        <w:jc w:val="left"/>
        <w:rPr>
          <w:rFonts w:ascii="ARIAL" w:hAnsi="ARIAL"/>
          <w:sz w:val="16"/>
        </w:rPr>
      </w:pPr>
      <w:r>
        <w:rPr>
          <w:rFonts w:ascii="ARIAL" w:hAnsi="ARIAL"/>
          <w:b/>
          <w:sz w:val="16"/>
        </w:rPr>
        <w:t>FOR</w:t>
      </w:r>
      <w:r>
        <w:rPr>
          <w:rFonts w:ascii="ARIAL" w:hAnsi="ARIAL"/>
          <w:sz w:val="16"/>
        </w:rPr>
        <w:t xml:space="preserve"> ON PROPOSALS 1, 2, 3 AND 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3"/>
        <w:gridCol w:w="122"/>
        <w:gridCol w:w="9760"/>
      </w:tblGrid>
      <w:tr>
        <w:trPr/>
        <w:tc>
          <w:tcPr>
            <w:tcW w:w="32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9760" w:type="dxa"/>
            <w:tcBorders/>
            <w:vAlign w:val="center"/>
          </w:tcPr>
          <w:p>
            <w:pPr>
              <w:pStyle w:val="TableContents"/>
              <w:bidi w:val="0"/>
              <w:spacing w:before="0" w:after="283"/>
              <w:jc w:val="left"/>
              <w:rPr>
                <w:sz w:val="4"/>
                <w:szCs w:val="4"/>
              </w:rPr>
            </w:pPr>
            <w:r>
              <w:rPr>
                <w:sz w:val="4"/>
                <w:szCs w:val="4"/>
              </w:rPr>
            </w:r>
          </w:p>
        </w:tc>
      </w:tr>
      <w:tr>
        <w:trPr/>
        <w:tc>
          <w:tcPr>
            <w:tcW w:w="323" w:type="dxa"/>
            <w:tcBorders/>
            <w:shd w:fill="C7C7C8" w:val="clear"/>
            <w:vAlign w:val="bottom"/>
          </w:tcPr>
          <w:p>
            <w:pPr>
              <w:pStyle w:val="TableContents"/>
              <w:bidi w:val="0"/>
              <w:spacing w:before="0" w:after="283"/>
              <w:jc w:val="left"/>
              <w:rPr/>
            </w:pPr>
            <w:r>
              <w:rPr/>
              <w:t> </w:t>
            </w:r>
          </w:p>
        </w:tc>
        <w:tc>
          <w:tcPr>
            <w:tcW w:w="122" w:type="dxa"/>
            <w:tcBorders/>
            <w:shd w:fill="C7C7C8" w:val="clear"/>
            <w:vAlign w:val="bottom"/>
          </w:tcPr>
          <w:p>
            <w:pPr>
              <w:pStyle w:val="TableContents"/>
              <w:bidi w:val="0"/>
              <w:spacing w:before="0" w:after="283"/>
              <w:jc w:val="left"/>
              <w:rPr/>
            </w:pPr>
            <w:r>
              <w:rPr/>
              <w:t>  </w:t>
            </w:r>
          </w:p>
        </w:tc>
        <w:tc>
          <w:tcPr>
            <w:tcW w:w="9760" w:type="dxa"/>
            <w:tcBorders/>
            <w:shd w:fill="C7C7C8" w:val="clear"/>
            <w:vAlign w:val="bottom"/>
          </w:tcPr>
          <w:p>
            <w:pPr>
              <w:pStyle w:val="TableContents"/>
              <w:bidi w:val="0"/>
              <w:spacing w:before="0" w:after="0"/>
              <w:jc w:val="left"/>
              <w:rPr/>
            </w:pPr>
            <w:r>
              <w:rPr/>
              <w:t> </w:t>
            </w:r>
          </w:p>
          <w:p>
            <w:pPr>
              <w:pStyle w:val="TableContents"/>
              <w:bidi w:val="0"/>
              <w:spacing w:before="0" w:after="0"/>
              <w:jc w:val="left"/>
              <w:rPr>
                <w:rFonts w:ascii="ARIAL" w:hAnsi="ARIAL"/>
                <w:b/>
                <w:sz w:val="12"/>
              </w:rPr>
            </w:pPr>
            <w:r>
              <w:rPr>
                <w:rFonts w:ascii="ARIAL" w:hAnsi="ARIAL"/>
                <w:b/>
                <w:sz w:val="12"/>
              </w:rPr>
              <w:t>PROPOSAL</w:t>
            </w:r>
          </w:p>
          <w:p>
            <w:pPr>
              <w:pStyle w:val="TableContents"/>
              <w:bidi w:val="0"/>
              <w:spacing w:before="0" w:after="20"/>
              <w:jc w:val="left"/>
              <w:rPr/>
            </w:pPr>
            <w:r>
              <w:rPr/>
              <w:t> </w:t>
            </w:r>
          </w:p>
        </w:tc>
      </w:tr>
      <w:tr>
        <w:trPr/>
        <w:tc>
          <w:tcPr>
            <w:tcW w:w="323" w:type="dxa"/>
            <w:tcBorders/>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1.</w:t>
            </w:r>
          </w:p>
        </w:tc>
        <w:tc>
          <w:tcPr>
            <w:tcW w:w="122" w:type="dxa"/>
            <w:tcBorders/>
            <w:vAlign w:val="bottom"/>
          </w:tcPr>
          <w:p>
            <w:pPr>
              <w:pStyle w:val="TableContents"/>
              <w:bidi w:val="0"/>
              <w:spacing w:before="0" w:after="283"/>
              <w:jc w:val="left"/>
              <w:rPr/>
            </w:pPr>
            <w:r>
              <w:rPr/>
              <w:t>  </w:t>
            </w:r>
          </w:p>
        </w:tc>
        <w:tc>
          <w:tcPr>
            <w:tcW w:w="9760" w:type="dxa"/>
            <w:tcBorders/>
          </w:tcPr>
          <w:p>
            <w:pPr>
              <w:pStyle w:val="TableContents"/>
              <w:bidi w:val="0"/>
              <w:spacing w:before="0" w:after="0"/>
              <w:jc w:val="left"/>
              <w:rPr/>
            </w:pPr>
            <w:r>
              <w:rPr/>
              <w:t> </w:t>
            </w:r>
          </w:p>
          <w:p>
            <w:pPr>
              <w:pStyle w:val="TableContents"/>
              <w:bidi w:val="0"/>
              <w:spacing w:before="0" w:after="20"/>
              <w:jc w:val="left"/>
              <w:rPr>
                <w:rFonts w:ascii="ARIAL" w:hAnsi="ARIAL"/>
                <w:sz w:val="16"/>
              </w:rPr>
            </w:pPr>
            <w:r>
              <w:rPr>
                <w:rFonts w:ascii="ARIAL" w:hAnsi="ARIAL"/>
                <w:sz w:val="16"/>
              </w:rPr>
              <w:t>Election of Class I Directors</w:t>
            </w:r>
          </w:p>
        </w:tc>
      </w:tr>
      <w:tr>
        <w:trPr>
          <w:trHeight w:val="240" w:hRule="atLeast"/>
        </w:trPr>
        <w:tc>
          <w:tcPr>
            <w:tcW w:w="323" w:type="dxa"/>
            <w:tcBorders/>
            <w:vAlign w:val="center"/>
          </w:tcPr>
          <w:p>
            <w:pPr>
              <w:pStyle w:val="TableContents"/>
              <w:bidi w:val="0"/>
              <w:spacing w:before="0" w:after="283"/>
              <w:jc w:val="left"/>
              <w:rPr>
                <w:sz w:val="4"/>
                <w:szCs w:val="4"/>
              </w:rPr>
            </w:pPr>
            <w:r>
              <w:rPr>
                <w:sz w:val="4"/>
                <w:szCs w:val="4"/>
              </w:rPr>
            </w:r>
          </w:p>
        </w:tc>
        <w:tc>
          <w:tcPr>
            <w:tcW w:w="9882"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9760" w:type="dxa"/>
            <w:tcBorders/>
          </w:tcPr>
          <w:p>
            <w:pPr>
              <w:pStyle w:val="TableContents"/>
              <w:bidi w:val="0"/>
              <w:spacing w:before="0" w:after="283"/>
              <w:jc w:val="left"/>
              <w:rPr/>
            </w:pPr>
            <w:r>
              <w:rPr/>
              <w:t>1.01 Robert S. Epstein, M.D., M.S.</w:t>
            </w:r>
          </w:p>
        </w:tc>
      </w:tr>
      <w:tr>
        <w:trPr>
          <w:trHeight w:val="120" w:hRule="atLeast"/>
        </w:trPr>
        <w:tc>
          <w:tcPr>
            <w:tcW w:w="323" w:type="dxa"/>
            <w:tcBorders/>
            <w:vAlign w:val="center"/>
          </w:tcPr>
          <w:p>
            <w:pPr>
              <w:pStyle w:val="TableContents"/>
              <w:bidi w:val="0"/>
              <w:spacing w:before="0" w:after="283"/>
              <w:jc w:val="left"/>
              <w:rPr>
                <w:sz w:val="4"/>
                <w:szCs w:val="4"/>
              </w:rPr>
            </w:pPr>
            <w:r>
              <w:rPr>
                <w:sz w:val="4"/>
                <w:szCs w:val="4"/>
              </w:rPr>
            </w:r>
          </w:p>
        </w:tc>
        <w:tc>
          <w:tcPr>
            <w:tcW w:w="9882"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9760" w:type="dxa"/>
            <w:tcBorders/>
          </w:tcPr>
          <w:p>
            <w:pPr>
              <w:pStyle w:val="TableContents"/>
              <w:bidi w:val="0"/>
              <w:spacing w:before="0" w:after="283"/>
              <w:jc w:val="left"/>
              <w:rPr/>
            </w:pPr>
            <w:r>
              <w:rPr/>
              <w:t>1.02 Karin Jooss, Ph.D.</w:t>
            </w:r>
          </w:p>
        </w:tc>
      </w:tr>
      <w:tr>
        <w:trPr>
          <w:trHeight w:val="120" w:hRule="atLeast"/>
        </w:trPr>
        <w:tc>
          <w:tcPr>
            <w:tcW w:w="323" w:type="dxa"/>
            <w:tcBorders/>
            <w:vAlign w:val="center"/>
          </w:tcPr>
          <w:p>
            <w:pPr>
              <w:pStyle w:val="TableContents"/>
              <w:bidi w:val="0"/>
              <w:spacing w:before="0" w:after="283"/>
              <w:jc w:val="left"/>
              <w:rPr>
                <w:sz w:val="4"/>
                <w:szCs w:val="4"/>
              </w:rPr>
            </w:pPr>
            <w:r>
              <w:rPr>
                <w:sz w:val="4"/>
                <w:szCs w:val="4"/>
              </w:rPr>
            </w:r>
          </w:p>
        </w:tc>
        <w:tc>
          <w:tcPr>
            <w:tcW w:w="9882"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9760" w:type="dxa"/>
            <w:tcBorders/>
          </w:tcPr>
          <w:p>
            <w:pPr>
              <w:pStyle w:val="TableContents"/>
              <w:bidi w:val="0"/>
              <w:spacing w:before="0" w:after="283"/>
              <w:jc w:val="left"/>
              <w:rPr/>
            </w:pPr>
            <w:r>
              <w:rPr/>
              <w:t>1.03 Laura J. Hamill</w:t>
            </w:r>
          </w:p>
        </w:tc>
      </w:tr>
      <w:tr>
        <w:trPr>
          <w:trHeight w:val="360" w:hRule="atLeast"/>
        </w:trPr>
        <w:tc>
          <w:tcPr>
            <w:tcW w:w="323" w:type="dxa"/>
            <w:tcBorders/>
            <w:vAlign w:val="center"/>
          </w:tcPr>
          <w:p>
            <w:pPr>
              <w:pStyle w:val="TableContents"/>
              <w:bidi w:val="0"/>
              <w:spacing w:before="0" w:after="283"/>
              <w:jc w:val="left"/>
              <w:rPr>
                <w:sz w:val="4"/>
                <w:szCs w:val="4"/>
              </w:rPr>
            </w:pPr>
            <w:r>
              <w:rPr>
                <w:sz w:val="4"/>
                <w:szCs w:val="4"/>
              </w:rPr>
            </w:r>
          </w:p>
        </w:tc>
        <w:tc>
          <w:tcPr>
            <w:tcW w:w="9882"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283"/>
              <w:jc w:val="left"/>
              <w:rPr/>
            </w:pPr>
            <w:r>
              <w:rPr/>
              <w:t>2.</w:t>
            </w:r>
          </w:p>
        </w:tc>
        <w:tc>
          <w:tcPr>
            <w:tcW w:w="122" w:type="dxa"/>
            <w:tcBorders/>
            <w:vAlign w:val="bottom"/>
          </w:tcPr>
          <w:p>
            <w:pPr>
              <w:pStyle w:val="TableContents"/>
              <w:bidi w:val="0"/>
              <w:spacing w:before="0" w:after="283"/>
              <w:jc w:val="left"/>
              <w:rPr/>
            </w:pPr>
            <w:r>
              <w:rPr/>
              <w:t>  </w:t>
            </w:r>
          </w:p>
        </w:tc>
        <w:tc>
          <w:tcPr>
            <w:tcW w:w="9760" w:type="dxa"/>
            <w:tcBorders/>
          </w:tcPr>
          <w:p>
            <w:pPr>
              <w:pStyle w:val="TableContents"/>
              <w:bidi w:val="0"/>
              <w:spacing w:before="0" w:after="283"/>
              <w:jc w:val="left"/>
              <w:rPr/>
            </w:pPr>
            <w:r>
              <w:rPr/>
              <w:t>To approve the ratification of Ernst &amp; Young LLP as the independent registered public accounting firm of the Company for its fiscal year ending December 31, 2026.</w:t>
            </w:r>
          </w:p>
        </w:tc>
      </w:tr>
      <w:tr>
        <w:trPr>
          <w:trHeight w:val="120" w:hRule="atLeast"/>
        </w:trPr>
        <w:tc>
          <w:tcPr>
            <w:tcW w:w="323" w:type="dxa"/>
            <w:tcBorders/>
            <w:vAlign w:val="center"/>
          </w:tcPr>
          <w:p>
            <w:pPr>
              <w:pStyle w:val="TableContents"/>
              <w:bidi w:val="0"/>
              <w:spacing w:before="0" w:after="283"/>
              <w:jc w:val="left"/>
              <w:rPr>
                <w:sz w:val="4"/>
                <w:szCs w:val="4"/>
              </w:rPr>
            </w:pPr>
            <w:r>
              <w:rPr>
                <w:sz w:val="4"/>
                <w:szCs w:val="4"/>
              </w:rPr>
            </w:r>
          </w:p>
        </w:tc>
        <w:tc>
          <w:tcPr>
            <w:tcW w:w="9882"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283"/>
              <w:jc w:val="left"/>
              <w:rPr/>
            </w:pPr>
            <w:r>
              <w:rPr/>
              <w:t>3.</w:t>
            </w:r>
          </w:p>
        </w:tc>
        <w:tc>
          <w:tcPr>
            <w:tcW w:w="122" w:type="dxa"/>
            <w:tcBorders/>
            <w:vAlign w:val="bottom"/>
          </w:tcPr>
          <w:p>
            <w:pPr>
              <w:pStyle w:val="TableContents"/>
              <w:bidi w:val="0"/>
              <w:spacing w:before="0" w:after="283"/>
              <w:jc w:val="left"/>
              <w:rPr/>
            </w:pPr>
            <w:r>
              <w:rPr/>
              <w:t>  </w:t>
            </w:r>
          </w:p>
        </w:tc>
        <w:tc>
          <w:tcPr>
            <w:tcW w:w="9760" w:type="dxa"/>
            <w:tcBorders/>
          </w:tcPr>
          <w:p>
            <w:pPr>
              <w:pStyle w:val="TableContents"/>
              <w:bidi w:val="0"/>
              <w:spacing w:before="0" w:after="283"/>
              <w:jc w:val="left"/>
              <w:rPr/>
            </w:pPr>
            <w:r>
              <w:rPr/>
              <w:t>To approve, on a non-binding advisory basis, the compensation of the Company’s named executive officers as disclosed in the proxy statement.</w:t>
            </w:r>
          </w:p>
        </w:tc>
      </w:tr>
      <w:tr>
        <w:trPr>
          <w:trHeight w:val="120" w:hRule="atLeast"/>
        </w:trPr>
        <w:tc>
          <w:tcPr>
            <w:tcW w:w="323" w:type="dxa"/>
            <w:tcBorders/>
            <w:vAlign w:val="center"/>
          </w:tcPr>
          <w:p>
            <w:pPr>
              <w:pStyle w:val="TableContents"/>
              <w:bidi w:val="0"/>
              <w:spacing w:before="0" w:after="283"/>
              <w:jc w:val="left"/>
              <w:rPr>
                <w:sz w:val="4"/>
                <w:szCs w:val="4"/>
              </w:rPr>
            </w:pPr>
            <w:r>
              <w:rPr>
                <w:sz w:val="4"/>
                <w:szCs w:val="4"/>
              </w:rPr>
            </w:r>
          </w:p>
        </w:tc>
        <w:tc>
          <w:tcPr>
            <w:tcW w:w="9882"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283"/>
              <w:jc w:val="left"/>
              <w:rPr/>
            </w:pPr>
            <w:r>
              <w:rPr/>
              <w:t>4.</w:t>
            </w:r>
          </w:p>
        </w:tc>
        <w:tc>
          <w:tcPr>
            <w:tcW w:w="122" w:type="dxa"/>
            <w:tcBorders/>
            <w:vAlign w:val="bottom"/>
          </w:tcPr>
          <w:p>
            <w:pPr>
              <w:pStyle w:val="TableContents"/>
              <w:bidi w:val="0"/>
              <w:spacing w:before="0" w:after="283"/>
              <w:jc w:val="left"/>
              <w:rPr/>
            </w:pPr>
            <w:r>
              <w:rPr/>
              <w:t>  </w:t>
            </w:r>
          </w:p>
        </w:tc>
        <w:tc>
          <w:tcPr>
            <w:tcW w:w="9760" w:type="dxa"/>
            <w:tcBorders/>
          </w:tcPr>
          <w:p>
            <w:pPr>
              <w:pStyle w:val="TableContents"/>
              <w:bidi w:val="0"/>
              <w:spacing w:before="0" w:after="283"/>
              <w:jc w:val="left"/>
              <w:rPr/>
            </w:pPr>
            <w:r>
              <w:rPr/>
              <w:t>To approve a proposal to amend and restate the Company’s 2022 Stock Option and Incentive Plan to increase the number of shares of common stock reserved for issuance thereunder.</w:t>
            </w:r>
          </w:p>
        </w:tc>
      </w:tr>
      <w:tr>
        <w:trPr>
          <w:trHeight w:val="120" w:hRule="atLeast"/>
        </w:trPr>
        <w:tc>
          <w:tcPr>
            <w:tcW w:w="323" w:type="dxa"/>
            <w:tcBorders/>
            <w:vAlign w:val="center"/>
          </w:tcPr>
          <w:p>
            <w:pPr>
              <w:pStyle w:val="TableContents"/>
              <w:bidi w:val="0"/>
              <w:spacing w:before="0" w:after="283"/>
              <w:jc w:val="left"/>
              <w:rPr>
                <w:sz w:val="4"/>
                <w:szCs w:val="4"/>
              </w:rPr>
            </w:pPr>
            <w:r>
              <w:rPr>
                <w:sz w:val="4"/>
                <w:szCs w:val="4"/>
              </w:rPr>
            </w:r>
          </w:p>
        </w:tc>
        <w:tc>
          <w:tcPr>
            <w:tcW w:w="9882" w:type="dxa"/>
            <w:gridSpan w:val="2"/>
            <w:tcBorders/>
            <w:vAlign w:val="center"/>
          </w:tcPr>
          <w:p>
            <w:pPr>
              <w:pStyle w:val="TableContents"/>
              <w:bidi w:val="0"/>
              <w:spacing w:before="0" w:after="283"/>
              <w:jc w:val="left"/>
              <w:rPr>
                <w:sz w:val="4"/>
                <w:szCs w:val="4"/>
              </w:rPr>
            </w:pPr>
            <w:r>
              <w:rPr>
                <w:sz w:val="4"/>
                <w:szCs w:val="4"/>
              </w:rPr>
            </w:r>
          </w:p>
        </w:tc>
      </w:tr>
      <w:tr>
        <w:trPr/>
        <w:tc>
          <w:tcPr>
            <w:tcW w:w="323"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9760" w:type="dxa"/>
            <w:tcBorders/>
          </w:tcPr>
          <w:p>
            <w:pPr>
              <w:pStyle w:val="TableContents"/>
              <w:bidi w:val="0"/>
              <w:spacing w:before="0" w:after="283"/>
              <w:jc w:val="left"/>
              <w:rPr/>
            </w:pPr>
            <w:r>
              <w:rPr/>
              <w:t>Note: To transact such other business as may properly come before the meeting or any adjournment or postponement thereof.</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613</Words>
  <Characters>3182</Characters>
  <CharactersWithSpaces>3858</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