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05,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FATE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001-36076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65-1311552</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12278 Scripps Summit Drive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92131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858 875-1800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FATE</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4"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On March 5, 2025, Fate Therapeutics, Inc. (the “Company”) issued a press release announcing its financial results for the quarter and year ended December 31, 2024. A copy of the press release is attached as Exhibit 99.1.</w:t>
      </w:r>
    </w:p>
    <w:p>
      <w:pPr>
        <w:spacing w:after="0" w:line="132"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The information in this Item 2.02 of this Current Report on Form 8-K, including Exhibit 99.1, is being furnished and shall not be deemed “filed” for the purposes of Section 18 of the Securities Exchange Act of 1934, as amended (“Exchange Act”) or otherwise subject to the liability of that section, nor shall such information be deemed incorporated by reference in any filing under the Exchange Act or the Securities Act of 1933, as amended, regardless of the general incorporation language of such filing, except as shall be expressly set forth by specific reference in such filing.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70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9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Press release dated March 5, 2025</w:t>
            </w:r>
          </w:p>
        </w:tc>
        <w:tc>
          <w:tcPr>
            <w:tcW w:w="20" w:type="dxa"/>
            <w:vAlign w:val="bottom"/>
            <w:tcBorders>
              <w:bottom w:val="single" w:sz="8" w:color="0000EE"/>
            </w:tcBorders>
          </w:tcPr>
          <w:p>
            <w:pPr>
              <w:spacing w:after="0"/>
              <w:rPr>
                <w:sz w:val="14"/>
                <w:szCs w:val="14"/>
                <w:color w:val="auto"/>
              </w:rPr>
            </w:pPr>
          </w:p>
        </w:tc>
        <w:tc>
          <w:tcPr>
            <w:tcW w:w="7700" w:type="dxa"/>
            <w:vAlign w:val="bottom"/>
          </w:tcPr>
          <w:p>
            <w:pPr>
              <w:spacing w:after="0"/>
              <w:rPr>
                <w:sz w:val="14"/>
                <w:szCs w:val="14"/>
                <w:color w:val="auto"/>
              </w:rPr>
            </w:pPr>
          </w:p>
        </w:tc>
      </w:tr>
      <w:tr>
        <w:trPr>
          <w:trHeight w:val="237"/>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FATE THERAPEUTICS, INC.</w:t>
      </w:r>
    </w:p>
    <w:p>
      <w:pPr>
        <w:spacing w:after="0" w:line="378"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Bahram Valamehr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Bahram Valamehr, Ph.D., MBA</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131445</wp:posOffset>
            </wp:positionV>
            <wp:extent cx="1200150" cy="659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015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Fate Therapeutcs Reports Fourth Quarter and Full Year 2024 Financial Results and Business Updates</w:t>
      </w:r>
    </w:p>
    <w:p>
      <w:pPr>
        <w:spacing w:after="0" w:line="126" w:lineRule="exact"/>
        <w:rPr>
          <w:sz w:val="20"/>
          <w:szCs w:val="20"/>
          <w:color w:val="auto"/>
        </w:rPr>
      </w:pPr>
    </w:p>
    <w:p>
      <w:pPr>
        <w:jc w:val="center"/>
        <w:ind w:right="40"/>
        <w:spacing w:after="0" w:line="235" w:lineRule="auto"/>
        <w:rPr>
          <w:sz w:val="20"/>
          <w:szCs w:val="20"/>
          <w:color w:val="auto"/>
        </w:rPr>
      </w:pPr>
      <w:r>
        <w:rPr>
          <w:rFonts w:ascii="Calibri" w:cs="Calibri" w:eastAsia="Calibri" w:hAnsi="Calibri"/>
          <w:sz w:val="22"/>
          <w:szCs w:val="22"/>
          <w:i w:val="1"/>
          <w:iCs w:val="1"/>
          <w:color w:val="auto"/>
        </w:rPr>
        <w:t>Phase 1 Dose Expansion Initated for FT819 Of-the-Shelf CAR T-cell Product Candidate with Fludarabine-free Conditoning in Moderate-to-Severe SLE</w:t>
      </w:r>
    </w:p>
    <w:p>
      <w:pPr>
        <w:spacing w:after="0" w:line="122" w:lineRule="exact"/>
        <w:rPr>
          <w:sz w:val="20"/>
          <w:szCs w:val="20"/>
          <w:color w:val="auto"/>
        </w:rPr>
      </w:pPr>
    </w:p>
    <w:p>
      <w:pPr>
        <w:jc w:val="center"/>
        <w:ind w:right="40"/>
        <w:spacing w:after="0" w:line="235" w:lineRule="auto"/>
        <w:rPr>
          <w:sz w:val="20"/>
          <w:szCs w:val="20"/>
          <w:color w:val="auto"/>
        </w:rPr>
      </w:pPr>
      <w:r>
        <w:rPr>
          <w:rFonts w:ascii="Calibri" w:cs="Calibri" w:eastAsia="Calibri" w:hAnsi="Calibri"/>
          <w:sz w:val="22"/>
          <w:szCs w:val="22"/>
          <w:i w:val="1"/>
          <w:iCs w:val="1"/>
          <w:color w:val="auto"/>
        </w:rPr>
        <w:t>Completed Type D Meetng with FDA to Enable FT819 Of-the-Shelf CAR T-cell Dose Expansion in Additonal B Cell-mediated Autoimmune Diseases</w:t>
      </w:r>
    </w:p>
    <w:p>
      <w:pPr>
        <w:spacing w:after="0" w:line="122" w:lineRule="exact"/>
        <w:rPr>
          <w:sz w:val="20"/>
          <w:szCs w:val="20"/>
          <w:color w:val="auto"/>
        </w:rPr>
      </w:pPr>
    </w:p>
    <w:p>
      <w:pPr>
        <w:jc w:val="center"/>
        <w:ind w:right="40"/>
        <w:spacing w:after="0" w:line="235" w:lineRule="auto"/>
        <w:rPr>
          <w:sz w:val="20"/>
          <w:szCs w:val="20"/>
          <w:color w:val="auto"/>
        </w:rPr>
      </w:pPr>
      <w:r>
        <w:rPr>
          <w:rFonts w:ascii="Calibri" w:cs="Calibri" w:eastAsia="Calibri" w:hAnsi="Calibri"/>
          <w:sz w:val="22"/>
          <w:szCs w:val="22"/>
          <w:i w:val="1"/>
          <w:iCs w:val="1"/>
          <w:color w:val="auto"/>
        </w:rPr>
        <w:t>First FT819 Of-the-Shelf CAR T-cell Patent Treated without Conditoning Chemotherapy as Add-on to Maintenance Therapy in SLE</w:t>
      </w:r>
    </w:p>
    <w:p>
      <w:pPr>
        <w:spacing w:after="0" w:line="112" w:lineRule="exact"/>
        <w:rPr>
          <w:sz w:val="20"/>
          <w:szCs w:val="20"/>
          <w:color w:val="auto"/>
        </w:rPr>
      </w:pPr>
    </w:p>
    <w:p>
      <w:pPr>
        <w:jc w:val="center"/>
        <w:spacing w:after="0"/>
        <w:rPr>
          <w:sz w:val="20"/>
          <w:szCs w:val="20"/>
          <w:color w:val="auto"/>
        </w:rPr>
      </w:pPr>
      <w:r>
        <w:rPr>
          <w:rFonts w:ascii="Calibri" w:cs="Calibri" w:eastAsia="Calibri" w:hAnsi="Calibri"/>
          <w:sz w:val="22"/>
          <w:szCs w:val="22"/>
          <w:i w:val="1"/>
          <w:iCs w:val="1"/>
          <w:color w:val="auto"/>
        </w:rPr>
        <w:t>$307 Million in Cash, Cash Equivalents and Investments with Projected Operatng Runway through YE26</w:t>
      </w:r>
    </w:p>
    <w:p>
      <w:pPr>
        <w:spacing w:after="0" w:line="246" w:lineRule="exact"/>
        <w:rPr>
          <w:sz w:val="20"/>
          <w:szCs w:val="20"/>
          <w:color w:val="auto"/>
        </w:rPr>
      </w:pPr>
    </w:p>
    <w:p>
      <w:pPr>
        <w:ind w:right="40"/>
        <w:spacing w:after="0" w:line="236" w:lineRule="auto"/>
        <w:rPr>
          <w:sz w:val="20"/>
          <w:szCs w:val="20"/>
          <w:color w:val="auto"/>
        </w:rPr>
      </w:pPr>
      <w:r>
        <w:rPr>
          <w:rFonts w:ascii="Calibri" w:cs="Calibri" w:eastAsia="Calibri" w:hAnsi="Calibri"/>
          <w:sz w:val="20"/>
          <w:szCs w:val="20"/>
          <w:color w:val="auto"/>
        </w:rPr>
        <w:t>San Diego, March 5, 2025 -- Fate Therapeutcs, Inc. (NASDAQ: FATE), a clinical-stage biopharmaceutcal company dedicated to bringing a pipeline of induced pluripotent stem cell (iPSC)-derived of-the-shelf cellular immunotherapies to patents, today reported business highlights and fnancial results for the fourth quarter and full year ended December 31, 2024.</w:t>
      </w:r>
    </w:p>
    <w:p>
      <w:pPr>
        <w:spacing w:after="0" w:line="252" w:lineRule="exact"/>
        <w:rPr>
          <w:sz w:val="20"/>
          <w:szCs w:val="20"/>
          <w:color w:val="auto"/>
        </w:rPr>
      </w:pPr>
    </w:p>
    <w:p>
      <w:pPr>
        <w:ind w:right="20"/>
        <w:spacing w:after="0"/>
        <w:rPr>
          <w:sz w:val="20"/>
          <w:szCs w:val="20"/>
          <w:color w:val="auto"/>
        </w:rPr>
      </w:pPr>
      <w:r>
        <w:rPr>
          <w:rFonts w:ascii="Calibri" w:cs="Calibri" w:eastAsia="Calibri" w:hAnsi="Calibri"/>
          <w:sz w:val="20"/>
          <w:szCs w:val="20"/>
          <w:color w:val="auto"/>
        </w:rPr>
        <w:t>“We begin 2025 with resolve and focus to advance our lead clinical programs in autoimmunity and oncology,” said Bob Valamehr, Ph.D. MBA, President and Chief Executve Ofcer of Fate Therapeutcs. “The team contnues to make great progress in our pursuit of achieving therapeutc diferentaton for patents with B cell-mediated autoimmune diseases, and we look forward to providing clinical and regulatory updates as we advance our FT819 of-the-shelf CAR T-cell product candidate in SLE. We remain focused on driving patent enrollment and engaging with the FDA to further discuss novel development pathways for CAR T-cell therapy in autoimmune disease, including the use of fudarabine-free conditoning as well as add-on to maintenance therapy without conditoning. We also plan to explore FT819 clinical trial expansion in additonal autoimmune diseases. In additon, our FT825 of-the-shelf CAR T-cell program for advanced solid tumors is advancing into higher-dose cohorts as monotherapy and in combinaton with monoclonal antbody therapy under our collaboraton with Ono Pharmaceutcal. We look forward to sharing clinical data from these two high-priority programs throughout the year.”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FT819 iPSC-derived 1XX CAR T-cell Program</w:t>
      </w:r>
    </w:p>
    <w:p>
      <w:pPr>
        <w:spacing w:after="0" w:line="130" w:lineRule="exact"/>
        <w:rPr>
          <w:sz w:val="20"/>
          <w:szCs w:val="20"/>
          <w:color w:val="auto"/>
        </w:rPr>
      </w:pPr>
    </w:p>
    <w:p>
      <w:pPr>
        <w:ind w:left="1020" w:hanging="503"/>
        <w:spacing w:after="0" w:line="237" w:lineRule="auto"/>
        <w:tabs>
          <w:tab w:leader="none" w:pos="102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Phase 1 Dose Expansion Initated for SLE using Flu-free Conditoning Regimen. </w:t>
      </w:r>
      <w:r>
        <w:rPr>
          <w:rFonts w:ascii="Calibri" w:cs="Calibri" w:eastAsia="Calibri" w:hAnsi="Calibri"/>
          <w:sz w:val="20"/>
          <w:szCs w:val="20"/>
          <w:color w:val="auto"/>
        </w:rPr>
        <w:t>Based on clinical data from the frst three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patents treated with FT819 in its ongoing mult-center, Phase 1 clinical trial for moderate-to-severe systemic lupus erythematosus (SLE) (NCT06308978), the Company has initated dose expansion in up to 10 patents at 360 million cells. The dose expansion stage is designed to evaluate the safety and efcacy of a fudarabine (fu)-free conditoning regimen, consistng of either bendamustne alone or cyclophosphamide alone, followed by a single dose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ind w:left="1020"/>
        <w:spacing w:after="0" w:line="236" w:lineRule="auto"/>
        <w:rPr>
          <w:sz w:val="20"/>
          <w:szCs w:val="20"/>
          <w:color w:val="auto"/>
        </w:rPr>
      </w:pPr>
      <w:r>
        <w:rPr>
          <w:rFonts w:ascii="Calibri" w:cs="Calibri" w:eastAsia="Calibri" w:hAnsi="Calibri"/>
          <w:sz w:val="20"/>
          <w:szCs w:val="20"/>
          <w:color w:val="auto"/>
        </w:rPr>
        <w:t>FT819. The Company is also assessing the safety, pharmacokinetcs, and ant-B cell actvity of FT819 at 900 million cells in dose escalaton. FT819 is the Company’s of-the-shelf CD8αβ+ T-cell product candidate that incorporates a CD19-targeted chimeric antgen receptor (CAR) with a novel 1XX costmulatory domain into the T-cell receptor alpha constant (TRAC) locus.</w:t>
      </w:r>
    </w:p>
    <w:p>
      <w:pPr>
        <w:spacing w:after="0" w:line="130" w:lineRule="exact"/>
        <w:rPr>
          <w:sz w:val="20"/>
          <w:szCs w:val="20"/>
          <w:color w:val="auto"/>
        </w:rPr>
      </w:pPr>
    </w:p>
    <w:p>
      <w:pPr>
        <w:ind w:left="1020" w:right="80" w:hanging="503"/>
        <w:spacing w:after="0" w:line="237" w:lineRule="auto"/>
        <w:tabs>
          <w:tab w:leader="none" w:pos="1020"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Clinical Data from First Three SLE Patents Presented at ASH. </w:t>
      </w:r>
      <w:r>
        <w:rPr>
          <w:rFonts w:ascii="Calibri" w:cs="Calibri" w:eastAsia="Calibri" w:hAnsi="Calibri"/>
          <w:sz w:val="20"/>
          <w:szCs w:val="20"/>
          <w:color w:val="auto"/>
        </w:rPr>
        <w:t>In December 2024, the Company highlighted clinical and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translatonal data from the frst three patents treated with FT819 for SLE at the American Society of Hematology (ASH) Annual Meetng. Each patent presented with actve lupus nephrits (LN) despite having been treated with multple standard-of-care therapies and received fu-free conditoning followed by a single dose of FT819 at 360 million cells. As of a data cutof date of December 4, 2024, there were no dose-limitng toxicites (DLTs), and no events of any grade of cytokine release syndrome (CRS), immune efector-cell associated neurotoxicity syndrome (ICANS), or graf-versus-host disease (GvHD). All three patents showed rapid, deep, and sustained eliminaton of CD19+ B cells in the periphery during the frst month of treatment. The frst and only patent eligible for disease assessment at six-month follow-up as of the data cutof date achieved DORIS (Defniton Of Remission In SLE) clinical remission and was free of all immunosuppressive therapy.</w:t>
      </w:r>
    </w:p>
    <w:p>
      <w:pPr>
        <w:spacing w:after="0" w:line="138" w:lineRule="exact"/>
        <w:rPr>
          <w:rFonts w:ascii="Times New Roman" w:cs="Times New Roman" w:eastAsia="Times New Roman" w:hAnsi="Times New Roman"/>
          <w:sz w:val="20"/>
          <w:szCs w:val="20"/>
          <w:color w:val="auto"/>
        </w:rPr>
      </w:pPr>
    </w:p>
    <w:p>
      <w:pPr>
        <w:ind w:left="1020" w:right="160" w:hanging="503"/>
        <w:spacing w:after="0" w:line="237" w:lineRule="auto"/>
        <w:tabs>
          <w:tab w:leader="none" w:pos="1020"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First Patent Treated with FT819 as Add-on to Maintenance Therapy. </w:t>
      </w:r>
      <w:r>
        <w:rPr>
          <w:rFonts w:ascii="Calibri" w:cs="Calibri" w:eastAsia="Calibri" w:hAnsi="Calibri"/>
          <w:sz w:val="20"/>
          <w:szCs w:val="20"/>
          <w:color w:val="auto"/>
        </w:rPr>
        <w:t>The Company amended the clinical protocol of its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FT819 Phase 1 study to include a new treatment arm to assess the safety, pharmacokinetcs, and ant-B cell actvity of a single dose of FT819 as an add-on to maintenance therapy without conditoning chemotherapy in patents with SLE. The frst patent in the new arm was on a stable dose of oral mycophenolate mofetl (MMF) and was treated with a single dose of FT819 at 360 million cells without administraton of any conditoning chemotherapy. There were no DLTs and no events of CRS, ICANS, or GvHD. The patent remains on-study.</w:t>
      </w:r>
    </w:p>
    <w:p>
      <w:pPr>
        <w:spacing w:after="0" w:line="133" w:lineRule="exact"/>
        <w:rPr>
          <w:rFonts w:ascii="Times New Roman" w:cs="Times New Roman" w:eastAsia="Times New Roman" w:hAnsi="Times New Roman"/>
          <w:sz w:val="20"/>
          <w:szCs w:val="20"/>
          <w:color w:val="auto"/>
        </w:rPr>
      </w:pPr>
    </w:p>
    <w:p>
      <w:pPr>
        <w:ind w:left="1020" w:right="120" w:hanging="503"/>
        <w:spacing w:after="0" w:line="238" w:lineRule="auto"/>
        <w:tabs>
          <w:tab w:leader="none" w:pos="1020"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Completed Type D Meetng with FDA for Inclusion of Additonal Diseases in FT819 Phase 1 Study. </w:t>
      </w:r>
      <w:r>
        <w:rPr>
          <w:rFonts w:ascii="Calibri" w:cs="Calibri" w:eastAsia="Calibri" w:hAnsi="Calibri"/>
          <w:sz w:val="20"/>
          <w:szCs w:val="20"/>
          <w:color w:val="auto"/>
        </w:rPr>
        <w:t>In December 2024,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Company reached an agreement with the U.S. Food and Drug Administraton (FDA) to allow for the clinical investgaton of additonal B cell-mediated autoimmune diseases under our current Phase 1 clinical trial of FT819. As a follow-up to the meetng, the Company has submited an amended clinical protocol to the FDA that enables the conduct of independent dose-expansion cohorts for SLE as well as ant-neutrophilic cytoplasmic antbody-associated vasculits (AAV), idiopathic infammatory myosits (IIM), and systemic sclerosis (SSc). The Company plans to initate dose-expansion cohorts in one or more of AAV, IIM, and SSc in 2025. Additonally, the FDA agreed to allow for investgaton of a mult-dose treatment cycle as well as for re-treatment upon disease progression, making the treatment dosing paradigm more aligned with traditonal biological therapies. The FDA also permited the expansion of study eligibility criteria, including the inclusion of patents between the ages of 12 and 17.</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FT825 / ONO-8250 iPSC-derived CAR T-cell Program</w:t>
      </w:r>
    </w:p>
    <w:p>
      <w:pPr>
        <w:spacing w:after="0" w:line="130" w:lineRule="exact"/>
        <w:rPr>
          <w:sz w:val="20"/>
          <w:szCs w:val="20"/>
          <w:color w:val="auto"/>
        </w:rPr>
      </w:pPr>
    </w:p>
    <w:p>
      <w:pPr>
        <w:ind w:left="1020" w:right="120" w:hanging="503"/>
        <w:spacing w:after="0" w:line="237" w:lineRule="auto"/>
        <w:tabs>
          <w:tab w:leader="none" w:pos="1020" w:val="left"/>
        </w:tabs>
        <w:numPr>
          <w:ilvl w:val="0"/>
          <w:numId w:val="4"/>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First Patent Treated with FT825 / ONO-8250 in Combinaton with Monoclonal Antbody Therapy. </w:t>
      </w:r>
      <w:r>
        <w:rPr>
          <w:rFonts w:ascii="Calibri" w:cs="Calibri" w:eastAsia="Calibri" w:hAnsi="Calibri"/>
          <w:sz w:val="20"/>
          <w:szCs w:val="20"/>
          <w:color w:val="auto"/>
        </w:rPr>
        <w:t>Under its collaboraton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with Ono Pharmaceutcal Co., Ltd. (Ono), the Company is conductng a mult-center, Phase 1 study to assess the safety, pharmacokinetcs, and actvity of FT825 / ONO-8250, a multplexed-engineered CAR T-cell product candidate targetng human epidermal growth factor receptor 2 (HER2), in patents with advanced solid tumors (NCT06241456). Enrollment is currently ongoing at the third dose level of 900 million cells as monotherapy and at the second dose level of 300 million cells in combinaton with epidermal growth factor receptor (EGFR)-targeted monoclonal antbody therapy.</w:t>
      </w:r>
    </w:p>
    <w:p>
      <w:pPr>
        <w:spacing w:after="0" w:line="133" w:lineRule="exact"/>
        <w:rPr>
          <w:rFonts w:ascii="Times New Roman" w:cs="Times New Roman" w:eastAsia="Times New Roman" w:hAnsi="Times New Roman"/>
          <w:sz w:val="20"/>
          <w:szCs w:val="20"/>
          <w:color w:val="auto"/>
        </w:rPr>
      </w:pPr>
    </w:p>
    <w:p>
      <w:pPr>
        <w:ind w:left="1020" w:right="180" w:hanging="503"/>
        <w:spacing w:after="0" w:line="234" w:lineRule="auto"/>
        <w:tabs>
          <w:tab w:leader="none" w:pos="1020" w:val="left"/>
        </w:tabs>
        <w:numPr>
          <w:ilvl w:val="0"/>
          <w:numId w:val="4"/>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Inital Phase 1 Clinical Data Presented at 2024 SITC. </w:t>
      </w:r>
      <w:r>
        <w:rPr>
          <w:rFonts w:ascii="Calibri" w:cs="Calibri" w:eastAsia="Calibri" w:hAnsi="Calibri"/>
          <w:sz w:val="20"/>
          <w:szCs w:val="20"/>
          <w:color w:val="auto"/>
        </w:rPr>
        <w:t>At the 2024 Society of Immunotherapy of Cancer (SITC) in November,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Company presented inital clinical data from three heavily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5" w:name="page6"/>
    <w:bookmarkEnd w:id="5"/>
    <w:p>
      <w:pPr>
        <w:ind w:left="1020"/>
        <w:spacing w:after="0" w:line="237" w:lineRule="auto"/>
        <w:rPr>
          <w:sz w:val="20"/>
          <w:szCs w:val="20"/>
          <w:color w:val="auto"/>
        </w:rPr>
      </w:pPr>
      <w:r>
        <w:rPr>
          <w:rFonts w:ascii="Calibri" w:cs="Calibri" w:eastAsia="Calibri" w:hAnsi="Calibri"/>
          <w:sz w:val="20"/>
          <w:szCs w:val="20"/>
          <w:color w:val="auto"/>
        </w:rPr>
        <w:t>pre-treated patents, all of whom were previously treated with at least fve prior lines of therapy including HER2-targeted therapy. Each patent was administered conditoning chemotherapy and a single dose of FT825 / ONO-8250 as monotherapy at the frst dose level of 100 million cells. As of a data cutof date of October 25, 2024, FT825 / ONO-8250 demonstrated a favorable safety profle with no DLTs and no events of any grade of CRS, ICANS, or GvHD. In additon, at Day 8 following treatment, peak CAR T-cell expansion was observed and phenotyping of FT825 / ONO-8250 sourced from the patents’ peripheral blood was indicatve of an actvated state (as evidenced by high levels of Granzyme B expression and maintenance of CAR expression) with no evidence of exhauston (as evidenced by low levels of PD-1 and TIM3 expression).</w:t>
      </w:r>
    </w:p>
    <w:p>
      <w:pPr>
        <w:spacing w:after="0" w:line="24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FT522 iPSC-derived CAR NK Cell Program</w:t>
      </w:r>
    </w:p>
    <w:p>
      <w:pPr>
        <w:spacing w:after="0" w:line="130" w:lineRule="exact"/>
        <w:rPr>
          <w:sz w:val="20"/>
          <w:szCs w:val="20"/>
          <w:color w:val="auto"/>
        </w:rPr>
      </w:pPr>
    </w:p>
    <w:p>
      <w:pPr>
        <w:ind w:left="1020" w:right="40" w:hanging="503"/>
        <w:spacing w:after="0" w:line="237" w:lineRule="auto"/>
        <w:tabs>
          <w:tab w:leader="none" w:pos="1020" w:val="left"/>
        </w:tabs>
        <w:numPr>
          <w:ilvl w:val="0"/>
          <w:numId w:val="5"/>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Inital Translatonal Data of FT522 without Conditoning Chemotherapy Presented at ACR Convergence. </w:t>
      </w:r>
      <w:r>
        <w:rPr>
          <w:rFonts w:ascii="Calibri" w:cs="Calibri" w:eastAsia="Calibri" w:hAnsi="Calibri"/>
          <w:sz w:val="20"/>
          <w:szCs w:val="20"/>
          <w:color w:val="auto"/>
        </w:rPr>
        <w:t>FT522 is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Company’s of-the-shelf, CD19-targeted CAR NK cell product candidate and frst product candidate to incorporate Alloimmune Defense Receptor (ADR) technology, which is designed to reduce or eliminate the need for administraton of conditoning chemotherapy to patents receiving cell therapies. In November 2024, the Company presented inital translatonal data from its ongoing mult-center, Phase 1 clinical trial of FT522 in patents with relapsed / refractory B-cell lymphoma (BCL) (NCT05950334). The presentaton illustrated that live FT522 cells with ant-B cell actvity were detected in the patents’ peripheral blood through Day 15, demonstratng the potental of FT522 to persist and functon in the presence of an unmatched, fully-intact immune system. The Company intends to assess any further clinical development of FT522 in relapsed / refractory BCL upon completon of dose escalaton at the second dose level of 900 million cells.</w:t>
      </w:r>
    </w:p>
    <w:p>
      <w:pPr>
        <w:spacing w:after="0" w:line="138" w:lineRule="exact"/>
        <w:rPr>
          <w:rFonts w:ascii="Times New Roman" w:cs="Times New Roman" w:eastAsia="Times New Roman" w:hAnsi="Times New Roman"/>
          <w:sz w:val="20"/>
          <w:szCs w:val="20"/>
          <w:color w:val="auto"/>
        </w:rPr>
      </w:pPr>
    </w:p>
    <w:p>
      <w:pPr>
        <w:ind w:left="1020" w:right="60" w:hanging="503"/>
        <w:spacing w:after="0" w:line="237" w:lineRule="auto"/>
        <w:tabs>
          <w:tab w:leader="none" w:pos="1020" w:val="left"/>
        </w:tabs>
        <w:numPr>
          <w:ilvl w:val="0"/>
          <w:numId w:val="5"/>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Unique Clinical Development Opportunites for FT522 in Autoimmunity under Evaluaton. </w:t>
      </w:r>
      <w:r>
        <w:rPr>
          <w:rFonts w:ascii="Calibri" w:cs="Calibri" w:eastAsia="Calibri" w:hAnsi="Calibri"/>
          <w:sz w:val="20"/>
          <w:szCs w:val="20"/>
          <w:color w:val="auto"/>
        </w:rPr>
        <w:t>The FDA has allowed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Company’s Investgatonal New Drug (IND) applicaton to assess the safety, pharmacokinetcs, and actvity of FT522 across a basket of B cell-mediated autoimmune diseases. The Phase 1 clinical protocol allows for treatment of patents with up to four weekly doses of FT522, without administraton of conditoning chemotherapy, as an add-on to rituximab inducton therapy (Regimen A) and as an add-on to maintenance therapy in combinaton with rituximab (Regimen B). The Company is currently evaluatng opportunites and tmelines for the clinical development of FT522 in autoimmunity.</w:t>
      </w:r>
    </w:p>
    <w:p>
      <w:pPr>
        <w:spacing w:after="0" w:line="24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Fourth Quarter 2024 Financial Results</w:t>
      </w:r>
    </w:p>
    <w:p>
      <w:pPr>
        <w:spacing w:after="0" w:line="120"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Cash &amp; Investment Positon: </w:t>
      </w:r>
      <w:r>
        <w:rPr>
          <w:rFonts w:ascii="Calibri" w:cs="Calibri" w:eastAsia="Calibri" w:hAnsi="Calibri"/>
          <w:sz w:val="20"/>
          <w:szCs w:val="20"/>
          <w:color w:val="auto"/>
        </w:rPr>
        <w:t>Cash, cash equivalents, and investments as of December 31, 2024 were $306.7 million.</w:t>
      </w:r>
    </w:p>
    <w:p>
      <w:pPr>
        <w:spacing w:after="0" w:line="130" w:lineRule="exact"/>
        <w:rPr>
          <w:rFonts w:ascii="Times New Roman" w:cs="Times New Roman" w:eastAsia="Times New Roman" w:hAnsi="Times New Roman"/>
          <w:sz w:val="20"/>
          <w:szCs w:val="20"/>
          <w:color w:val="auto"/>
        </w:rPr>
      </w:pPr>
    </w:p>
    <w:p>
      <w:pPr>
        <w:ind w:left="1020" w:right="100" w:hanging="503"/>
        <w:spacing w:after="0" w:line="236" w:lineRule="auto"/>
        <w:tabs>
          <w:tab w:leader="none" w:pos="1020" w:val="left"/>
        </w:tabs>
        <w:numPr>
          <w:ilvl w:val="0"/>
          <w:numId w:val="6"/>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Total Revenue: </w:t>
      </w:r>
      <w:r>
        <w:rPr>
          <w:rFonts w:ascii="Calibri" w:cs="Calibri" w:eastAsia="Calibri" w:hAnsi="Calibri"/>
          <w:sz w:val="20"/>
          <w:szCs w:val="20"/>
          <w:color w:val="auto"/>
        </w:rPr>
        <w:t>Revenue was $1.9 million for the fourth quarter of 2024, which was derived from the conduct of preclinical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development actvites for a second collaboraton candidate targetng an undisclosed solid tumor antgen under the Company’s collaboraton with Ono Pharmaceutcal.</w:t>
      </w:r>
    </w:p>
    <w:p>
      <w:pPr>
        <w:spacing w:after="0" w:line="130" w:lineRule="exact"/>
        <w:rPr>
          <w:rFonts w:ascii="Times New Roman" w:cs="Times New Roman" w:eastAsia="Times New Roman" w:hAnsi="Times New Roman"/>
          <w:sz w:val="20"/>
          <w:szCs w:val="20"/>
          <w:color w:val="auto"/>
        </w:rPr>
      </w:pPr>
    </w:p>
    <w:p>
      <w:pPr>
        <w:ind w:left="1020" w:right="120" w:hanging="503"/>
        <w:spacing w:after="0" w:line="236" w:lineRule="auto"/>
        <w:tabs>
          <w:tab w:leader="none" w:pos="1020" w:val="left"/>
        </w:tabs>
        <w:numPr>
          <w:ilvl w:val="0"/>
          <w:numId w:val="6"/>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Total Operatng Expenses: </w:t>
      </w:r>
      <w:r>
        <w:rPr>
          <w:rFonts w:ascii="Calibri" w:cs="Calibri" w:eastAsia="Calibri" w:hAnsi="Calibri"/>
          <w:sz w:val="20"/>
          <w:szCs w:val="20"/>
          <w:color w:val="auto"/>
        </w:rPr>
        <w:t>Total operatng expenses were $63.6 million for the fourth quarter of 2024, including research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and development expenses of $33.6 million and general and administratve expenses of $15.3 million. Such amount included $9.1 million of non-cash stock-based compensaton expense and a one-tme non-cash asset impairment charge of $14.7 million related to equipment and right-of-use assets.</w:t>
      </w:r>
    </w:p>
    <w:p>
      <w:pPr>
        <w:spacing w:after="0" w:line="133" w:lineRule="exact"/>
        <w:rPr>
          <w:rFonts w:ascii="Times New Roman" w:cs="Times New Roman" w:eastAsia="Times New Roman" w:hAnsi="Times New Roman"/>
          <w:sz w:val="20"/>
          <w:szCs w:val="20"/>
          <w:color w:val="auto"/>
        </w:rPr>
      </w:pPr>
    </w:p>
    <w:p>
      <w:pPr>
        <w:ind w:left="1020" w:right="300" w:hanging="503"/>
        <w:spacing w:after="0" w:line="236" w:lineRule="auto"/>
        <w:tabs>
          <w:tab w:leader="none" w:pos="1020" w:val="left"/>
        </w:tabs>
        <w:numPr>
          <w:ilvl w:val="0"/>
          <w:numId w:val="6"/>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Shares Outstanding: </w:t>
      </w:r>
      <w:r>
        <w:rPr>
          <w:rFonts w:ascii="Calibri" w:cs="Calibri" w:eastAsia="Calibri" w:hAnsi="Calibri"/>
          <w:sz w:val="20"/>
          <w:szCs w:val="20"/>
          <w:color w:val="auto"/>
        </w:rPr>
        <w:t>As of December 31, 2024, common shares outstanding were 113.9 million, pre-funded warrants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outstanding were 3.9 million, and preferred shares outstanding were 2.8 million. Each preferred share is convertble into fve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6" w:name="page7"/>
    <w:bookmarkEnd w:id="6"/>
    <w:p>
      <w:pPr>
        <w:spacing w:after="0"/>
        <w:rPr>
          <w:sz w:val="20"/>
          <w:szCs w:val="20"/>
          <w:color w:val="auto"/>
        </w:rPr>
      </w:pPr>
      <w:r>
        <w:rPr>
          <w:rFonts w:ascii="Calibri" w:cs="Calibri" w:eastAsia="Calibri" w:hAnsi="Calibri"/>
          <w:sz w:val="20"/>
          <w:szCs w:val="20"/>
          <w:b w:val="1"/>
          <w:bCs w:val="1"/>
          <w:color w:val="auto"/>
        </w:rPr>
        <w:t>About Fate Therapeutcs’ iPSC Product Platorm</w:t>
      </w:r>
    </w:p>
    <w:p>
      <w:pPr>
        <w:spacing w:after="0" w:line="9" w:lineRule="exact"/>
        <w:rPr>
          <w:sz w:val="20"/>
          <w:szCs w:val="20"/>
          <w:color w:val="auto"/>
        </w:rPr>
      </w:pPr>
    </w:p>
    <w:p>
      <w:pPr>
        <w:ind w:right="20"/>
        <w:spacing w:after="0"/>
        <w:rPr>
          <w:sz w:val="20"/>
          <w:szCs w:val="20"/>
          <w:color w:val="auto"/>
        </w:rPr>
      </w:pPr>
      <w:r>
        <w:rPr>
          <w:rFonts w:ascii="Calibri" w:cs="Calibri" w:eastAsia="Calibri" w:hAnsi="Calibri"/>
          <w:sz w:val="20"/>
          <w:szCs w:val="20"/>
          <w:color w:val="auto"/>
        </w:rPr>
        <w:t>Human induced pluripotent stem cells (iPSCs) possess the unique dual propertes of unlimited self-renewal and diferentaton potental into all cell types of the body. The Company’s proprietary iPSC product platorm combines multplexed-engineering of human iPSCs with single-cell selecton to create clonal master iPSC lines. Analogous to master cell lines used to mass produce biopharmaceutcal drug products such as monoclonal antbodies, the Company utlizes its clonal master iPSC lines as a startng cell source to manufacture engineered cell products which are well-defned and uniform in compositon, can be stored in inventory for of-the-shelf availability, can be administered in combinaton with other therapies, and can potentally reach a broad patent populaton. As a result, the Company’s platorm is uniquely designed to overcome numerous limitatons associated with patent- and donor-sourced cell therapies. Fate Therapeutcs’ iPSC product platorm is supported by an intellectual property portolio of over 500 issued patents and 500 pending patent applicatons.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Fate Therapeutcs, Inc.</w:t>
      </w:r>
    </w:p>
    <w:p>
      <w:pPr>
        <w:spacing w:after="0" w:line="9" w:lineRule="exact"/>
        <w:rPr>
          <w:sz w:val="20"/>
          <w:szCs w:val="20"/>
          <w:color w:val="auto"/>
        </w:rPr>
      </w:pPr>
    </w:p>
    <w:p>
      <w:pPr>
        <w:ind w:right="40"/>
        <w:spacing w:after="0" w:line="234" w:lineRule="auto"/>
        <w:rPr>
          <w:sz w:val="20"/>
          <w:szCs w:val="20"/>
          <w:color w:val="auto"/>
        </w:rPr>
      </w:pPr>
      <w:r>
        <w:rPr>
          <w:rFonts w:ascii="Calibri" w:cs="Calibri" w:eastAsia="Calibri" w:hAnsi="Calibri"/>
          <w:sz w:val="20"/>
          <w:szCs w:val="20"/>
          <w:color w:val="auto"/>
        </w:rPr>
        <w:t>Fate Therapeutcs is a clinical-stage biopharmaceutcal company dedicated to bringing a frst-in-class pipeline of induced pluripotent stem cell (iPSC)-derived cellular immunotherapies to patents. Using its proprietary iPSC product platorm, the Company has established</w:t>
      </w:r>
    </w:p>
    <w:p>
      <w:pPr>
        <w:spacing w:after="0" w:line="10" w:lineRule="exact"/>
        <w:rPr>
          <w:sz w:val="20"/>
          <w:szCs w:val="20"/>
          <w:color w:val="auto"/>
        </w:rPr>
      </w:pPr>
    </w:p>
    <w:p>
      <w:pPr>
        <w:ind w:right="160" w:firstLine="8"/>
        <w:spacing w:after="0" w:line="237" w:lineRule="auto"/>
        <w:tabs>
          <w:tab w:leader="none" w:pos="143" w:val="left"/>
        </w:tabs>
        <w:numPr>
          <w:ilvl w:val="0"/>
          <w:numId w:val="7"/>
        </w:numPr>
        <w:rPr>
          <w:rFonts w:ascii="Calibri" w:cs="Calibri" w:eastAsia="Calibri" w:hAnsi="Calibri"/>
          <w:sz w:val="20"/>
          <w:szCs w:val="20"/>
          <w:color w:val="auto"/>
        </w:rPr>
      </w:pPr>
      <w:r>
        <w:rPr>
          <w:rFonts w:ascii="Calibri" w:cs="Calibri" w:eastAsia="Calibri" w:hAnsi="Calibri"/>
          <w:sz w:val="20"/>
          <w:szCs w:val="20"/>
          <w:color w:val="auto"/>
        </w:rPr>
        <w:t xml:space="preserve">leadership positon in creatng multplexed-engineered master iPSC lines and in the manufacture and clinical development of of-the-shelf, iPSC-derived cell products. The Company’s pipeline includes iPSC-derived T-cell and natural killer (NK) cell product candidates, which are selectvely designed, incorporate novel synthetc controls of cell functon, and are intended to deliver multple therapeutc mechanisms to patents. Fate Therapeutcs is headquartered in San Diego, CA. For more informaton, please visit </w:t>
      </w:r>
      <w:r>
        <w:rPr>
          <w:rFonts w:ascii="Calibri" w:cs="Calibri" w:eastAsia="Calibri" w:hAnsi="Calibri"/>
          <w:sz w:val="20"/>
          <w:szCs w:val="20"/>
          <w:u w:val="single" w:color="auto"/>
          <w:color w:val="0000FF"/>
        </w:rPr>
        <w:t>www.fatetherapeutcs.com</w:t>
      </w:r>
      <w:r>
        <w:rPr>
          <w:rFonts w:ascii="Calibri" w:cs="Calibri" w:eastAsia="Calibri" w:hAnsi="Calibri"/>
          <w:sz w:val="20"/>
          <w:szCs w:val="20"/>
          <w:color w:val="000000"/>
        </w:rPr>
        <w:t>.</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Forward-Looking Statements</w:t>
      </w:r>
    </w:p>
    <w:p>
      <w:pPr>
        <w:spacing w:after="0" w:line="9" w:lineRule="exact"/>
        <w:rPr>
          <w:sz w:val="20"/>
          <w:szCs w:val="20"/>
          <w:color w:val="auto"/>
        </w:rPr>
      </w:pPr>
    </w:p>
    <w:p>
      <w:pPr>
        <w:spacing w:after="0" w:line="238" w:lineRule="auto"/>
        <w:rPr>
          <w:sz w:val="20"/>
          <w:szCs w:val="20"/>
          <w:color w:val="auto"/>
        </w:rPr>
      </w:pPr>
      <w:r>
        <w:rPr>
          <w:rFonts w:ascii="Calibri" w:cs="Calibri" w:eastAsia="Calibri" w:hAnsi="Calibri"/>
          <w:sz w:val="20"/>
          <w:szCs w:val="20"/>
          <w:color w:val="auto"/>
        </w:rPr>
        <w:t>This release contains "forward-looking statements" within the meaning of the Private Securites Litgaton Reform Act of 1995 including statements regarding the Company’s results of operatons, fnancial conditon, antcipated operatng expenses and cash runway, and sufciency of its cash and cash equivalents to fund its operatons, as well as statements regarding the advancement of and plans related to the Company's product candidates, clinical studies and preclinical research and development programs, the Company’s progress, plans and tmelines for the clinical investgaton of its product candidates, including the Company’s plans to complete IND-enabling studies and to submit IND applicatons for its product candidates, the initaton and contnuaton of enrollment in the Company’s clinical trials, the initaton of additonal clinical trials, including in new indicatons, and additonal dose cohorts in ongoing clinical trials of the Company’s product candidates, the availability of data from the Company’s clinical trials and the Company’s plans to provide updates on its clinical trials, the therapeutc and market potental of the Company’s research and development programs and product candidates, the Company’s clinical and product development strategy, and the Company’s expectatons regarding progress and tmelines, and the objectves, plans and goals of its collaboraton with Ono. These and any other forward-looking statements in this release are based on management's current expectatons of future events and are subject to a number of risks and uncertaintes that could cause actual results to difer materially and adversely from those set forth in or implied by such forward-looking statements. These risks and uncertaintes include, but are not limited to, the risk that the Company’s research and development programs and product candidates, including those product candidates in 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739775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8" w:right="359" w:bottom="1440" w:gutter="0" w:footer="0" w:header="0"/>
        </w:sectPr>
      </w:pPr>
    </w:p>
    <w:bookmarkStart w:id="7" w:name="page8"/>
    <w:bookmarkEnd w:id="7"/>
    <w:p>
      <w:pPr>
        <w:spacing w:after="0"/>
        <w:rPr>
          <w:sz w:val="20"/>
          <w:szCs w:val="20"/>
          <w:color w:val="auto"/>
        </w:rPr>
      </w:pPr>
      <w:r>
        <w:rPr>
          <w:rFonts w:ascii="Calibri" w:cs="Calibri" w:eastAsia="Calibri" w:hAnsi="Calibri"/>
          <w:sz w:val="20"/>
          <w:szCs w:val="20"/>
          <w:color w:val="auto"/>
        </w:rPr>
        <w:t>investgaton, may not demonstrate the requisite safety, efcacy, or other atributes to warrant further development or to achieve</w:t>
      </w:r>
    </w:p>
    <w:p>
      <w:pPr>
        <w:spacing w:after="0" w:line="238" w:lineRule="auto"/>
        <w:rPr>
          <w:sz w:val="20"/>
          <w:szCs w:val="20"/>
          <w:color w:val="auto"/>
        </w:rPr>
      </w:pPr>
      <w:r>
        <w:rPr>
          <w:rFonts w:ascii="Calibri" w:cs="Calibri" w:eastAsia="Calibri" w:hAnsi="Calibri"/>
          <w:sz w:val="20"/>
          <w:szCs w:val="20"/>
          <w:color w:val="auto"/>
        </w:rPr>
        <w:t>regulatory approval, the risk that results observed in prior studies of the Company’s product candidates, including preclinical studies and</w:t>
      </w:r>
    </w:p>
    <w:p>
      <w:pPr>
        <w:spacing w:after="0"/>
        <w:rPr>
          <w:sz w:val="20"/>
          <w:szCs w:val="20"/>
          <w:color w:val="auto"/>
        </w:rPr>
      </w:pPr>
      <w:r>
        <w:rPr>
          <w:rFonts w:ascii="Calibri" w:cs="Calibri" w:eastAsia="Calibri" w:hAnsi="Calibri"/>
          <w:sz w:val="20"/>
          <w:szCs w:val="20"/>
          <w:color w:val="auto"/>
        </w:rPr>
        <w:t>clinical trials, will not be observed in ongoing or future studies involving these product candidates, the risk of a delay or difcultes in the</w:t>
      </w:r>
    </w:p>
    <w:p>
      <w:pPr>
        <w:spacing w:after="0" w:line="238" w:lineRule="auto"/>
        <w:rPr>
          <w:sz w:val="20"/>
          <w:szCs w:val="20"/>
          <w:color w:val="auto"/>
        </w:rPr>
      </w:pPr>
      <w:r>
        <w:rPr>
          <w:rFonts w:ascii="Calibri" w:cs="Calibri" w:eastAsia="Calibri" w:hAnsi="Calibri"/>
          <w:sz w:val="20"/>
          <w:szCs w:val="20"/>
          <w:color w:val="auto"/>
        </w:rPr>
        <w:t>manufacturing of the Company’s product candidates or in the initaton and conduct of, or enrollment of patents in, any clinical trials,</w:t>
      </w:r>
    </w:p>
    <w:p>
      <w:pPr>
        <w:spacing w:after="0"/>
        <w:rPr>
          <w:sz w:val="20"/>
          <w:szCs w:val="20"/>
          <w:color w:val="auto"/>
        </w:rPr>
      </w:pPr>
      <w:r>
        <w:rPr>
          <w:rFonts w:ascii="Calibri" w:cs="Calibri" w:eastAsia="Calibri" w:hAnsi="Calibri"/>
          <w:sz w:val="20"/>
          <w:szCs w:val="20"/>
          <w:color w:val="auto"/>
        </w:rPr>
        <w:t>the risk that the Company may cease or delay preclinical or clinical development of any of its product candidates for a variety of reasons</w:t>
      </w:r>
    </w:p>
    <w:p>
      <w:pPr>
        <w:spacing w:after="0" w:line="238" w:lineRule="auto"/>
        <w:rPr>
          <w:sz w:val="20"/>
          <w:szCs w:val="20"/>
          <w:color w:val="auto"/>
        </w:rPr>
      </w:pPr>
      <w:r>
        <w:rPr>
          <w:rFonts w:ascii="Calibri" w:cs="Calibri" w:eastAsia="Calibri" w:hAnsi="Calibri"/>
          <w:sz w:val="20"/>
          <w:szCs w:val="20"/>
          <w:color w:val="auto"/>
        </w:rPr>
        <w:t>(including requirements that may be imposed by regulatory authorites on the initaton or conduct of clinical trials, changes in the</w:t>
      </w:r>
    </w:p>
    <w:p>
      <w:pPr>
        <w:spacing w:after="0"/>
        <w:rPr>
          <w:sz w:val="20"/>
          <w:szCs w:val="20"/>
          <w:color w:val="auto"/>
        </w:rPr>
      </w:pPr>
      <w:r>
        <w:rPr>
          <w:rFonts w:ascii="Calibri" w:cs="Calibri" w:eastAsia="Calibri" w:hAnsi="Calibri"/>
          <w:sz w:val="20"/>
          <w:szCs w:val="20"/>
          <w:color w:val="auto"/>
        </w:rPr>
        <w:t>therapeutc, regulatory, or compettve landscape for which the Company’s product candidates are being developed, the amount and</w:t>
      </w:r>
    </w:p>
    <w:p>
      <w:pPr>
        <w:spacing w:after="0" w:line="238" w:lineRule="auto"/>
        <w:rPr>
          <w:sz w:val="20"/>
          <w:szCs w:val="20"/>
          <w:color w:val="auto"/>
        </w:rPr>
      </w:pPr>
      <w:r>
        <w:rPr>
          <w:rFonts w:ascii="Calibri" w:cs="Calibri" w:eastAsia="Calibri" w:hAnsi="Calibri"/>
          <w:sz w:val="20"/>
          <w:szCs w:val="20"/>
          <w:color w:val="auto"/>
        </w:rPr>
        <w:t>type of data to be generated or otherwise to support regulatory approval, difcultes or delays in patent enrollment and contnuaton in</w:t>
      </w:r>
    </w:p>
    <w:p>
      <w:pPr>
        <w:spacing w:after="0"/>
        <w:rPr>
          <w:sz w:val="20"/>
          <w:szCs w:val="20"/>
          <w:color w:val="auto"/>
        </w:rPr>
      </w:pPr>
      <w:r>
        <w:rPr>
          <w:rFonts w:ascii="Calibri" w:cs="Calibri" w:eastAsia="Calibri" w:hAnsi="Calibri"/>
          <w:sz w:val="20"/>
          <w:szCs w:val="20"/>
          <w:color w:val="auto"/>
        </w:rPr>
        <w:t>the Company’s ongoing and planned clinical trials, difcultes in manufacturing or supplying the Company’s product candidates for</w:t>
      </w:r>
    </w:p>
    <w:p>
      <w:pPr>
        <w:spacing w:after="0" w:line="237" w:lineRule="auto"/>
        <w:rPr>
          <w:sz w:val="20"/>
          <w:szCs w:val="20"/>
          <w:color w:val="auto"/>
        </w:rPr>
      </w:pPr>
      <w:r>
        <w:rPr>
          <w:rFonts w:ascii="Calibri" w:cs="Calibri" w:eastAsia="Calibri" w:hAnsi="Calibri"/>
          <w:sz w:val="20"/>
          <w:szCs w:val="20"/>
          <w:color w:val="auto"/>
        </w:rPr>
        <w:t>clinical testng, failure to demonstrate that a product candidate has the requisite safety, efcacy, or other atributes to warrant further</w:t>
      </w:r>
    </w:p>
    <w:p>
      <w:pPr>
        <w:spacing w:after="0"/>
        <w:rPr>
          <w:sz w:val="20"/>
          <w:szCs w:val="20"/>
          <w:color w:val="auto"/>
        </w:rPr>
      </w:pPr>
      <w:r>
        <w:rPr>
          <w:rFonts w:ascii="Calibri" w:cs="Calibri" w:eastAsia="Calibri" w:hAnsi="Calibri"/>
          <w:sz w:val="20"/>
          <w:szCs w:val="20"/>
          <w:color w:val="auto"/>
        </w:rPr>
        <w:t>development, and any adverse events or other negatve results that may be observed during preclinical or clinical development), the</w:t>
      </w:r>
    </w:p>
    <w:p>
      <w:pPr>
        <w:spacing w:after="0" w:line="238" w:lineRule="auto"/>
        <w:rPr>
          <w:sz w:val="20"/>
          <w:szCs w:val="20"/>
          <w:color w:val="auto"/>
        </w:rPr>
      </w:pPr>
      <w:r>
        <w:rPr>
          <w:rFonts w:ascii="Calibri" w:cs="Calibri" w:eastAsia="Calibri" w:hAnsi="Calibri"/>
          <w:sz w:val="20"/>
          <w:szCs w:val="20"/>
          <w:color w:val="auto"/>
        </w:rPr>
        <w:t>risk that its product candidates may not produce therapeutc benefts or may cause other unantcipated adverse efects, the risk that the</w:t>
      </w:r>
    </w:p>
    <w:p>
      <w:pPr>
        <w:spacing w:after="0"/>
        <w:rPr>
          <w:sz w:val="20"/>
          <w:szCs w:val="20"/>
          <w:color w:val="auto"/>
        </w:rPr>
      </w:pPr>
      <w:r>
        <w:rPr>
          <w:rFonts w:ascii="Calibri" w:cs="Calibri" w:eastAsia="Calibri" w:hAnsi="Calibri"/>
          <w:sz w:val="20"/>
          <w:szCs w:val="20"/>
          <w:color w:val="auto"/>
        </w:rPr>
        <w:t>Company may not comply with its obligatons under and otherwise maintain its collaboraton agreement with Ono, the risk that</w:t>
      </w:r>
    </w:p>
    <w:p>
      <w:pPr>
        <w:spacing w:after="0" w:line="238" w:lineRule="auto"/>
        <w:rPr>
          <w:sz w:val="20"/>
          <w:szCs w:val="20"/>
          <w:color w:val="auto"/>
        </w:rPr>
      </w:pPr>
      <w:r>
        <w:rPr>
          <w:rFonts w:ascii="Calibri" w:cs="Calibri" w:eastAsia="Calibri" w:hAnsi="Calibri"/>
          <w:sz w:val="20"/>
          <w:szCs w:val="20"/>
          <w:color w:val="auto"/>
        </w:rPr>
        <w:t>research funding and milestone payments received by the Company under its collaboraton or from CIRM may be less than expected,</w:t>
      </w:r>
    </w:p>
    <w:p>
      <w:pPr>
        <w:spacing w:after="0"/>
        <w:rPr>
          <w:sz w:val="20"/>
          <w:szCs w:val="20"/>
          <w:color w:val="auto"/>
        </w:rPr>
      </w:pPr>
      <w:r>
        <w:rPr>
          <w:rFonts w:ascii="Calibri" w:cs="Calibri" w:eastAsia="Calibri" w:hAnsi="Calibri"/>
          <w:sz w:val="20"/>
          <w:szCs w:val="20"/>
          <w:color w:val="auto"/>
        </w:rPr>
        <w:t>and the risk that the Company may incur operatng expenses in amounts greater than antcipated. For a discussion of other risks and</w:t>
      </w:r>
    </w:p>
    <w:p>
      <w:pPr>
        <w:spacing w:after="0" w:line="238" w:lineRule="auto"/>
        <w:rPr>
          <w:sz w:val="20"/>
          <w:szCs w:val="20"/>
          <w:color w:val="auto"/>
        </w:rPr>
      </w:pPr>
      <w:r>
        <w:rPr>
          <w:rFonts w:ascii="Calibri" w:cs="Calibri" w:eastAsia="Calibri" w:hAnsi="Calibri"/>
          <w:sz w:val="20"/>
          <w:szCs w:val="20"/>
          <w:color w:val="auto"/>
        </w:rPr>
        <w:t>uncertaintes, and other important factors, any of which could cause the Company’s actual results to difer from those contained in the</w:t>
      </w:r>
    </w:p>
    <w:p>
      <w:pPr>
        <w:spacing w:after="0"/>
        <w:rPr>
          <w:sz w:val="20"/>
          <w:szCs w:val="20"/>
          <w:color w:val="auto"/>
        </w:rPr>
      </w:pPr>
      <w:r>
        <w:rPr>
          <w:rFonts w:ascii="Calibri" w:cs="Calibri" w:eastAsia="Calibri" w:hAnsi="Calibri"/>
          <w:sz w:val="20"/>
          <w:szCs w:val="20"/>
          <w:color w:val="auto"/>
        </w:rPr>
        <w:t>forward-looking statements, see the risks and uncertaintes detailed in the Company’s periodic flings with the Securites and Exchange</w:t>
      </w:r>
    </w:p>
    <w:p>
      <w:pPr>
        <w:spacing w:after="0" w:line="238" w:lineRule="auto"/>
        <w:rPr>
          <w:sz w:val="20"/>
          <w:szCs w:val="20"/>
          <w:color w:val="auto"/>
        </w:rPr>
      </w:pPr>
      <w:r>
        <w:rPr>
          <w:rFonts w:ascii="Calibri" w:cs="Calibri" w:eastAsia="Calibri" w:hAnsi="Calibri"/>
          <w:sz w:val="20"/>
          <w:szCs w:val="20"/>
          <w:color w:val="auto"/>
        </w:rPr>
        <w:t>Commission, including but not limited to the Company’s most recently fled periodic report, and from tme to tme in the Company’s</w:t>
      </w:r>
    </w:p>
    <w:p>
      <w:pPr>
        <w:spacing w:after="0" w:line="238" w:lineRule="auto"/>
        <w:rPr>
          <w:sz w:val="20"/>
          <w:szCs w:val="20"/>
          <w:color w:val="auto"/>
        </w:rPr>
      </w:pPr>
      <w:r>
        <w:rPr>
          <w:rFonts w:ascii="Calibri" w:cs="Calibri" w:eastAsia="Calibri" w:hAnsi="Calibri"/>
          <w:sz w:val="20"/>
          <w:szCs w:val="20"/>
          <w:color w:val="auto"/>
        </w:rPr>
        <w:t>press releases and other investor communicatons. Fate Therapeutcs is providing the informaton in this release as of this date and does</w:t>
      </w:r>
    </w:p>
    <w:p>
      <w:pPr>
        <w:spacing w:after="0"/>
        <w:rPr>
          <w:sz w:val="20"/>
          <w:szCs w:val="20"/>
          <w:color w:val="auto"/>
        </w:rPr>
      </w:pPr>
      <w:r>
        <w:rPr>
          <w:rFonts w:ascii="Calibri" w:cs="Calibri" w:eastAsia="Calibri" w:hAnsi="Calibri"/>
          <w:sz w:val="20"/>
          <w:szCs w:val="20"/>
          <w:color w:val="auto"/>
        </w:rPr>
        <w:t>not undertake any obligaton to update any forward-looking statements contained in this release as a result of new informaton, future</w:t>
      </w:r>
    </w:p>
    <w:p>
      <w:pPr>
        <w:spacing w:after="0" w:line="238" w:lineRule="auto"/>
        <w:rPr>
          <w:sz w:val="20"/>
          <w:szCs w:val="20"/>
          <w:color w:val="auto"/>
        </w:rPr>
      </w:pPr>
      <w:r>
        <w:rPr>
          <w:rFonts w:ascii="Calibri" w:cs="Calibri" w:eastAsia="Calibri" w:hAnsi="Calibri"/>
          <w:sz w:val="20"/>
          <w:szCs w:val="20"/>
          <w:color w:val="auto"/>
        </w:rPr>
        <w:t>events or otherwise.</w:t>
      </w:r>
    </w:p>
    <w:p>
      <w:pPr>
        <w:spacing w:after="0"/>
        <w:rPr>
          <w:sz w:val="20"/>
          <w:szCs w:val="20"/>
          <w:color w:val="auto"/>
        </w:rPr>
      </w:pPr>
      <w:r>
        <w:rPr>
          <w:rFonts w:ascii="Calibri" w:cs="Calibri" w:eastAsia="Calibri" w:hAnsi="Calibri"/>
          <w:sz w:val="20"/>
          <w:szCs w:val="20"/>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1165225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8" w:name="page9"/>
    <w:bookmarkEnd w:id="8"/>
    <w:p>
      <w:pPr>
        <w:jc w:val="center"/>
        <w:ind w:left="340" w:right="2400"/>
        <w:spacing w:after="0"/>
        <w:rPr>
          <w:sz w:val="20"/>
          <w:szCs w:val="20"/>
          <w:color w:val="auto"/>
        </w:rPr>
      </w:pPr>
      <w:r>
        <w:rPr>
          <w:rFonts w:ascii="Calibri" w:cs="Calibri" w:eastAsia="Calibri" w:hAnsi="Calibri"/>
          <w:sz w:val="20"/>
          <w:szCs w:val="20"/>
          <w:b w:val="1"/>
          <w:bCs w:val="1"/>
          <w:color w:val="auto"/>
        </w:rPr>
        <w:t>Condensed Consolidated Statements of Operatons and Comprehensive Loss (in thousands, except share and per share data) (unaudited)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gridSpan w:val="5"/>
          </w:tcPr>
          <w:p>
            <w:pPr>
              <w:jc w:val="right"/>
              <w:ind w:right="800"/>
              <w:spacing w:after="0"/>
              <w:rPr>
                <w:sz w:val="20"/>
                <w:szCs w:val="20"/>
                <w:color w:val="auto"/>
              </w:rPr>
            </w:pPr>
            <w:r>
              <w:rPr>
                <w:rFonts w:ascii="Calibri" w:cs="Calibri" w:eastAsia="Calibri" w:hAnsi="Calibri"/>
                <w:sz w:val="18"/>
                <w:szCs w:val="18"/>
                <w:b w:val="1"/>
                <w:bCs w:val="1"/>
                <w:color w:val="auto"/>
              </w:rPr>
              <w:t>Three Months Ended</w:t>
            </w:r>
          </w:p>
        </w:tc>
        <w:tc>
          <w:tcPr>
            <w:tcW w:w="220" w:type="dxa"/>
            <w:vAlign w:val="bottom"/>
          </w:tcPr>
          <w:p>
            <w:pPr>
              <w:spacing w:after="0"/>
              <w:rPr>
                <w:sz w:val="19"/>
                <w:szCs w:val="19"/>
                <w:color w:val="auto"/>
              </w:rPr>
            </w:pPr>
          </w:p>
        </w:tc>
        <w:tc>
          <w:tcPr>
            <w:tcW w:w="1640" w:type="dxa"/>
            <w:vAlign w:val="bottom"/>
            <w:gridSpan w:val="3"/>
          </w:tcPr>
          <w:p>
            <w:pPr>
              <w:jc w:val="right"/>
              <w:ind w:right="10"/>
              <w:spacing w:after="0"/>
              <w:rPr>
                <w:sz w:val="20"/>
                <w:szCs w:val="20"/>
                <w:color w:val="auto"/>
              </w:rPr>
            </w:pPr>
            <w:r>
              <w:rPr>
                <w:rFonts w:ascii="Calibri" w:cs="Calibri" w:eastAsia="Calibri" w:hAnsi="Calibri"/>
                <w:sz w:val="18"/>
                <w:szCs w:val="18"/>
                <w:b w:val="1"/>
                <w:bCs w:val="1"/>
                <w:color w:val="auto"/>
              </w:rPr>
              <w:t>Year Ended</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Calibri" w:cs="Calibri" w:eastAsia="Calibri" w:hAnsi="Calibri"/>
                <w:sz w:val="18"/>
                <w:szCs w:val="18"/>
                <w:b w:val="1"/>
                <w:bCs w:val="1"/>
                <w:color w:val="auto"/>
              </w:rPr>
              <w:t>December 31,</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Calibri" w:cs="Calibri" w:eastAsia="Calibri" w:hAnsi="Calibri"/>
                <w:sz w:val="18"/>
                <w:szCs w:val="18"/>
                <w:b w:val="1"/>
                <w:bCs w:val="1"/>
                <w:color w:val="auto"/>
              </w:rPr>
              <w:t>December 31,</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55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line="215" w:lineRule="exact"/>
              <w:rPr>
                <w:sz w:val="20"/>
                <w:szCs w:val="20"/>
                <w:color w:val="auto"/>
              </w:rPr>
            </w:pPr>
            <w:r>
              <w:rPr>
                <w:rFonts w:ascii="Calibri" w:cs="Calibri" w:eastAsia="Calibri" w:hAnsi="Calibri"/>
                <w:sz w:val="18"/>
                <w:szCs w:val="18"/>
                <w:b w:val="1"/>
                <w:bCs w:val="1"/>
                <w:color w:val="auto"/>
              </w:rPr>
              <w:t>2024</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line="215" w:lineRule="exact"/>
              <w:rPr>
                <w:sz w:val="20"/>
                <w:szCs w:val="20"/>
                <w:color w:val="auto"/>
              </w:rPr>
            </w:pPr>
            <w:r>
              <w:rPr>
                <w:rFonts w:ascii="Calibri" w:cs="Calibri" w:eastAsia="Calibri" w:hAnsi="Calibri"/>
                <w:sz w:val="18"/>
                <w:szCs w:val="18"/>
                <w:b w:val="1"/>
                <w:bCs w:val="1"/>
                <w:color w:val="auto"/>
                <w:w w:val="98"/>
              </w:rPr>
              <w:t>2023</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line="215" w:lineRule="exact"/>
              <w:rPr>
                <w:sz w:val="20"/>
                <w:szCs w:val="20"/>
                <w:color w:val="auto"/>
              </w:rPr>
            </w:pPr>
            <w:r>
              <w:rPr>
                <w:rFonts w:ascii="Calibri" w:cs="Calibri" w:eastAsia="Calibri" w:hAnsi="Calibri"/>
                <w:sz w:val="18"/>
                <w:szCs w:val="18"/>
                <w:b w:val="1"/>
                <w:bCs w:val="1"/>
                <w:color w:val="auto"/>
              </w:rPr>
              <w:t>2024</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line="215" w:lineRule="exact"/>
              <w:rPr>
                <w:sz w:val="20"/>
                <w:szCs w:val="20"/>
                <w:color w:val="auto"/>
              </w:rPr>
            </w:pPr>
            <w:r>
              <w:rPr>
                <w:rFonts w:ascii="Calibri" w:cs="Calibri" w:eastAsia="Calibri" w:hAnsi="Calibri"/>
                <w:sz w:val="18"/>
                <w:szCs w:val="18"/>
                <w:b w:val="1"/>
                <w:bCs w:val="1"/>
                <w:color w:val="auto"/>
                <w:w w:val="98"/>
              </w:rPr>
              <w:t>2023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Collaboraton revenue</w:t>
            </w:r>
          </w:p>
        </w:tc>
        <w:tc>
          <w:tcPr>
            <w:tcW w:w="220" w:type="dxa"/>
            <w:vAlign w:val="bottom"/>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0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1,860</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1,676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13,631</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line="215" w:lineRule="exact"/>
              <w:rPr>
                <w:sz w:val="20"/>
                <w:szCs w:val="20"/>
                <w:color w:val="auto"/>
              </w:rPr>
            </w:pPr>
            <w:r>
              <w:rPr>
                <w:rFonts w:ascii="Calibri" w:cs="Calibri" w:eastAsia="Calibri" w:hAnsi="Calibri"/>
                <w:sz w:val="18"/>
                <w:szCs w:val="18"/>
                <w:color w:val="auto"/>
                <w:w w:val="87"/>
              </w:rPr>
              <w:t>$</w:t>
            </w:r>
          </w:p>
        </w:tc>
        <w:tc>
          <w:tcPr>
            <w:tcW w:w="8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63,533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line="215" w:lineRule="exact"/>
              <w:rPr>
                <w:sz w:val="20"/>
                <w:szCs w:val="20"/>
                <w:color w:val="auto"/>
              </w:rPr>
            </w:pPr>
            <w:r>
              <w:rPr>
                <w:rFonts w:ascii="Calibri" w:cs="Calibri" w:eastAsia="Calibri" w:hAnsi="Calibri"/>
                <w:sz w:val="18"/>
                <w:szCs w:val="18"/>
                <w:color w:val="auto"/>
              </w:rPr>
              <w:t>Operatng expenses: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Research and development</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33,609</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31,816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135,001</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172,596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120"/>
              <w:spacing w:after="0" w:line="215" w:lineRule="exact"/>
              <w:rPr>
                <w:sz w:val="20"/>
                <w:szCs w:val="20"/>
                <w:color w:val="auto"/>
              </w:rPr>
            </w:pPr>
            <w:r>
              <w:rPr>
                <w:rFonts w:ascii="Calibri" w:cs="Calibri" w:eastAsia="Calibri" w:hAnsi="Calibri"/>
                <w:sz w:val="18"/>
                <w:szCs w:val="18"/>
                <w:color w:val="auto"/>
              </w:rPr>
              <w:t>General and administratve</w:t>
            </w:r>
          </w:p>
        </w:tc>
        <w:tc>
          <w:tcPr>
            <w:tcW w:w="22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15,262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17,935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74,169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81,448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Impairment loss</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14,737</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14,737</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540" w:type="dxa"/>
            <w:vAlign w:val="bottom"/>
            <w:tcBorders>
              <w:top w:val="single" w:sz="8" w:color="CFF0FC"/>
            </w:tcBorders>
          </w:tcPr>
          <w:p>
            <w:pPr>
              <w:ind w:left="20"/>
              <w:spacing w:after="0" w:line="209" w:lineRule="exact"/>
              <w:rPr>
                <w:sz w:val="20"/>
                <w:szCs w:val="20"/>
                <w:color w:val="auto"/>
              </w:rPr>
            </w:pPr>
            <w:r>
              <w:rPr>
                <w:rFonts w:ascii="Calibri" w:cs="Calibri" w:eastAsia="Calibri" w:hAnsi="Calibri"/>
                <w:sz w:val="18"/>
                <w:szCs w:val="18"/>
                <w:color w:val="auto"/>
              </w:rPr>
              <w:t>Total operatng expenses</w:t>
            </w: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63,608</w:t>
            </w:r>
          </w:p>
        </w:tc>
        <w:tc>
          <w:tcPr>
            <w:tcW w:w="22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49,751</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223,907</w:t>
            </w:r>
          </w:p>
        </w:tc>
        <w:tc>
          <w:tcPr>
            <w:tcW w:w="22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254,044</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54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Loss from operatons</w:t>
            </w:r>
          </w:p>
        </w:tc>
        <w:tc>
          <w:tcPr>
            <w:tcW w:w="2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line="209" w:lineRule="exact"/>
              <w:rPr>
                <w:sz w:val="20"/>
                <w:szCs w:val="20"/>
                <w:color w:val="auto"/>
              </w:rPr>
            </w:pPr>
            <w:r>
              <w:rPr>
                <w:rFonts w:ascii="Calibri" w:cs="Calibri" w:eastAsia="Calibri" w:hAnsi="Calibri"/>
                <w:sz w:val="18"/>
                <w:szCs w:val="18"/>
                <w:color w:val="auto"/>
              </w:rPr>
              <w:t>(61,748 )</w:t>
            </w:r>
          </w:p>
        </w:tc>
        <w:tc>
          <w:tcPr>
            <w:tcW w:w="4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60"/>
              <w:spacing w:after="0" w:line="209" w:lineRule="exact"/>
              <w:rPr>
                <w:sz w:val="20"/>
                <w:szCs w:val="20"/>
                <w:color w:val="auto"/>
              </w:rPr>
            </w:pPr>
            <w:r>
              <w:rPr>
                <w:rFonts w:ascii="Calibri" w:cs="Calibri" w:eastAsia="Calibri" w:hAnsi="Calibri"/>
                <w:sz w:val="18"/>
                <w:szCs w:val="18"/>
                <w:color w:val="auto"/>
              </w:rPr>
              <w:t>(48,075 )</w:t>
            </w:r>
          </w:p>
        </w:tc>
        <w:tc>
          <w:tcPr>
            <w:tcW w:w="2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line="209" w:lineRule="exact"/>
              <w:rPr>
                <w:sz w:val="20"/>
                <w:szCs w:val="20"/>
                <w:color w:val="auto"/>
              </w:rPr>
            </w:pPr>
            <w:r>
              <w:rPr>
                <w:rFonts w:ascii="Calibri" w:cs="Calibri" w:eastAsia="Calibri" w:hAnsi="Calibri"/>
                <w:sz w:val="18"/>
                <w:szCs w:val="18"/>
                <w:color w:val="auto"/>
              </w:rPr>
              <w:t>(210,276 )</w:t>
            </w:r>
          </w:p>
        </w:tc>
        <w:tc>
          <w:tcPr>
            <w:tcW w:w="4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60"/>
              <w:spacing w:after="0" w:line="209" w:lineRule="exact"/>
              <w:rPr>
                <w:sz w:val="20"/>
                <w:szCs w:val="20"/>
                <w:color w:val="auto"/>
              </w:rPr>
            </w:pPr>
            <w:r>
              <w:rPr>
                <w:rFonts w:ascii="Calibri" w:cs="Calibri" w:eastAsia="Calibri" w:hAnsi="Calibri"/>
                <w:sz w:val="18"/>
                <w:szCs w:val="18"/>
                <w:color w:val="auto"/>
              </w:rPr>
              <w:t>(190,511 )</w:t>
            </w:r>
          </w:p>
        </w:tc>
        <w:tc>
          <w:tcPr>
            <w:tcW w:w="0" w:type="dxa"/>
            <w:vAlign w:val="bottom"/>
          </w:tcPr>
          <w:p>
            <w:pPr>
              <w:spacing w:after="0"/>
              <w:rPr>
                <w:sz w:val="1"/>
                <w:szCs w:val="1"/>
                <w:color w:val="auto"/>
              </w:rPr>
            </w:pPr>
          </w:p>
        </w:tc>
      </w:tr>
      <w:tr>
        <w:trPr>
          <w:trHeight w:val="215"/>
        </w:trPr>
        <w:tc>
          <w:tcPr>
            <w:tcW w:w="5540" w:type="dxa"/>
            <w:vAlign w:val="bottom"/>
            <w:tcBorders>
              <w:top w:val="single" w:sz="8" w:color="CFF0FC"/>
            </w:tcBorders>
          </w:tcPr>
          <w:p>
            <w:pPr>
              <w:ind w:left="120"/>
              <w:spacing w:after="0" w:line="215" w:lineRule="exact"/>
              <w:rPr>
                <w:sz w:val="20"/>
                <w:szCs w:val="20"/>
                <w:color w:val="auto"/>
              </w:rPr>
            </w:pPr>
            <w:r>
              <w:rPr>
                <w:rFonts w:ascii="Calibri" w:cs="Calibri" w:eastAsia="Calibri" w:hAnsi="Calibri"/>
                <w:sz w:val="18"/>
                <w:szCs w:val="18"/>
                <w:color w:val="auto"/>
              </w:rPr>
              <w:t>Other income (expense):</w:t>
            </w: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Interest income</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3,874</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4,414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17,288</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17,186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120"/>
              <w:spacing w:after="0" w:line="215" w:lineRule="exact"/>
              <w:rPr>
                <w:sz w:val="20"/>
                <w:szCs w:val="20"/>
                <w:color w:val="auto"/>
              </w:rPr>
            </w:pPr>
            <w:r>
              <w:rPr>
                <w:rFonts w:ascii="Calibri" w:cs="Calibri" w:eastAsia="Calibri" w:hAnsi="Calibri"/>
                <w:sz w:val="18"/>
                <w:szCs w:val="18"/>
                <w:color w:val="auto"/>
              </w:rPr>
              <w:t>Change in fair value of stock price appreciaton milestones</w:t>
            </w:r>
          </w:p>
        </w:tc>
        <w:tc>
          <w:tcPr>
            <w:tcW w:w="22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670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(645 )</w:t>
            </w:r>
          </w:p>
        </w:tc>
        <w:tc>
          <w:tcPr>
            <w:tcW w:w="22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819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2,515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bottom w:val="single" w:sz="8" w:color="CFF0FC"/>
            </w:tcBorders>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Other income</w:t>
            </w: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5,051</w:t>
            </w:r>
          </w:p>
        </w:tc>
        <w:tc>
          <w:tcPr>
            <w:tcW w:w="2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184</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5,907</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9,882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tcPr>
          <w:p>
            <w:pPr>
              <w:ind w:left="20"/>
              <w:spacing w:after="0" w:line="209" w:lineRule="exact"/>
              <w:rPr>
                <w:sz w:val="20"/>
                <w:szCs w:val="20"/>
                <w:color w:val="auto"/>
              </w:rPr>
            </w:pPr>
            <w:r>
              <w:rPr>
                <w:rFonts w:ascii="Calibri" w:cs="Calibri" w:eastAsia="Calibri" w:hAnsi="Calibri"/>
                <w:sz w:val="18"/>
                <w:szCs w:val="18"/>
                <w:color w:val="auto"/>
              </w:rPr>
              <w:t>Total other income (expense), net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9,595</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3,953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24,014</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29,583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54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Net loss</w:t>
            </w:r>
          </w:p>
        </w:tc>
        <w:tc>
          <w:tcPr>
            <w:tcW w:w="220" w:type="dxa"/>
            <w:vAlign w:val="bottom"/>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1220" w:type="dxa"/>
            <w:vAlign w:val="bottom"/>
            <w:gridSpan w:val="2"/>
            <w:shd w:val="clear" w:color="auto" w:fill="CFF0FC"/>
          </w:tcPr>
          <w:p>
            <w:pPr>
              <w:jc w:val="right"/>
              <w:ind w:right="160"/>
              <w:spacing w:after="0" w:line="209" w:lineRule="exact"/>
              <w:rPr>
                <w:sz w:val="20"/>
                <w:szCs w:val="20"/>
                <w:color w:val="auto"/>
              </w:rPr>
            </w:pPr>
            <w:r>
              <w:rPr>
                <w:rFonts w:ascii="Calibri" w:cs="Calibri" w:eastAsia="Calibri" w:hAnsi="Calibri"/>
                <w:sz w:val="18"/>
                <w:szCs w:val="18"/>
                <w:color w:val="auto"/>
              </w:rPr>
              <w:t>(52,153 )</w:t>
            </w:r>
          </w:p>
        </w:tc>
        <w:tc>
          <w:tcPr>
            <w:tcW w:w="400" w:type="dxa"/>
            <w:vAlign w:val="bottom"/>
            <w:shd w:val="clear" w:color="auto" w:fill="CFF0FC"/>
          </w:tcPr>
          <w:p>
            <w:pPr>
              <w:jc w:val="right"/>
              <w:ind w:right="210"/>
              <w:spacing w:after="0" w:line="209" w:lineRule="exact"/>
              <w:rPr>
                <w:sz w:val="20"/>
                <w:szCs w:val="20"/>
                <w:color w:val="auto"/>
              </w:rPr>
            </w:pPr>
            <w:r>
              <w:rPr>
                <w:rFonts w:ascii="Calibri" w:cs="Calibri" w:eastAsia="Calibri" w:hAnsi="Calibri"/>
                <w:sz w:val="18"/>
                <w:szCs w:val="18"/>
                <w:color w:val="auto"/>
                <w:w w:val="87"/>
              </w:rPr>
              <w:t>$</w:t>
            </w:r>
          </w:p>
        </w:tc>
        <w:tc>
          <w:tcPr>
            <w:tcW w:w="1060" w:type="dxa"/>
            <w:vAlign w:val="bottom"/>
            <w:gridSpan w:val="2"/>
            <w:shd w:val="clear" w:color="auto" w:fill="CFF0FC"/>
          </w:tcPr>
          <w:p>
            <w:pPr>
              <w:jc w:val="right"/>
              <w:ind w:right="160"/>
              <w:spacing w:after="0" w:line="209" w:lineRule="exact"/>
              <w:rPr>
                <w:sz w:val="20"/>
                <w:szCs w:val="20"/>
                <w:color w:val="auto"/>
              </w:rPr>
            </w:pPr>
            <w:r>
              <w:rPr>
                <w:rFonts w:ascii="Calibri" w:cs="Calibri" w:eastAsia="Calibri" w:hAnsi="Calibri"/>
                <w:sz w:val="18"/>
                <w:szCs w:val="18"/>
                <w:color w:val="auto"/>
              </w:rPr>
              <w:t>(44,122 )</w:t>
            </w:r>
          </w:p>
        </w:tc>
        <w:tc>
          <w:tcPr>
            <w:tcW w:w="220" w:type="dxa"/>
            <w:vAlign w:val="bottom"/>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rPr>
              <w:t>$</w:t>
            </w:r>
          </w:p>
        </w:tc>
        <w:tc>
          <w:tcPr>
            <w:tcW w:w="1220" w:type="dxa"/>
            <w:vAlign w:val="bottom"/>
            <w:gridSpan w:val="2"/>
            <w:shd w:val="clear" w:color="auto" w:fill="CFF0FC"/>
          </w:tcPr>
          <w:p>
            <w:pPr>
              <w:jc w:val="right"/>
              <w:ind w:right="160"/>
              <w:spacing w:after="0" w:line="209" w:lineRule="exact"/>
              <w:rPr>
                <w:sz w:val="20"/>
                <w:szCs w:val="20"/>
                <w:color w:val="auto"/>
              </w:rPr>
            </w:pPr>
            <w:r>
              <w:rPr>
                <w:rFonts w:ascii="Calibri" w:cs="Calibri" w:eastAsia="Calibri" w:hAnsi="Calibri"/>
                <w:sz w:val="18"/>
                <w:szCs w:val="18"/>
                <w:color w:val="auto"/>
              </w:rPr>
              <w:t>(186,262 )</w:t>
            </w:r>
          </w:p>
        </w:tc>
        <w:tc>
          <w:tcPr>
            <w:tcW w:w="420" w:type="dxa"/>
            <w:vAlign w:val="bottom"/>
            <w:shd w:val="clear" w:color="auto" w:fill="CFF0FC"/>
          </w:tcPr>
          <w:p>
            <w:pPr>
              <w:jc w:val="right"/>
              <w:ind w:right="230"/>
              <w:spacing w:after="0" w:line="209" w:lineRule="exact"/>
              <w:rPr>
                <w:sz w:val="20"/>
                <w:szCs w:val="20"/>
                <w:color w:val="auto"/>
              </w:rPr>
            </w:pPr>
            <w:r>
              <w:rPr>
                <w:rFonts w:ascii="Calibri" w:cs="Calibri" w:eastAsia="Calibri" w:hAnsi="Calibri"/>
                <w:sz w:val="18"/>
                <w:szCs w:val="18"/>
                <w:color w:val="auto"/>
                <w:w w:val="87"/>
              </w:rPr>
              <w:t>$</w:t>
            </w:r>
          </w:p>
        </w:tc>
        <w:tc>
          <w:tcPr>
            <w:tcW w:w="940" w:type="dxa"/>
            <w:vAlign w:val="bottom"/>
            <w:gridSpan w:val="2"/>
            <w:shd w:val="clear" w:color="auto" w:fill="CFF0FC"/>
          </w:tcPr>
          <w:p>
            <w:pPr>
              <w:jc w:val="right"/>
              <w:ind w:right="60"/>
              <w:spacing w:after="0" w:line="209" w:lineRule="exact"/>
              <w:rPr>
                <w:sz w:val="20"/>
                <w:szCs w:val="20"/>
                <w:color w:val="auto"/>
              </w:rPr>
            </w:pPr>
            <w:r>
              <w:rPr>
                <w:rFonts w:ascii="Calibri" w:cs="Calibri" w:eastAsia="Calibri" w:hAnsi="Calibri"/>
                <w:sz w:val="18"/>
                <w:szCs w:val="18"/>
                <w:color w:val="auto"/>
              </w:rPr>
              <w:t>(160,928 )</w:t>
            </w:r>
          </w:p>
        </w:tc>
        <w:tc>
          <w:tcPr>
            <w:tcW w:w="0" w:type="dxa"/>
            <w:vAlign w:val="bottom"/>
          </w:tcPr>
          <w:p>
            <w:pPr>
              <w:spacing w:after="0"/>
              <w:rPr>
                <w:sz w:val="1"/>
                <w:szCs w:val="1"/>
                <w:color w:val="auto"/>
              </w:rPr>
            </w:pPr>
          </w:p>
        </w:tc>
      </w:tr>
      <w:tr>
        <w:trPr>
          <w:trHeight w:val="215"/>
        </w:trPr>
        <w:tc>
          <w:tcPr>
            <w:tcW w:w="5540" w:type="dxa"/>
            <w:vAlign w:val="bottom"/>
            <w:tcBorders>
              <w:top w:val="single" w:sz="8" w:color="CFF0FC"/>
            </w:tcBorders>
          </w:tcPr>
          <w:p>
            <w:pPr>
              <w:ind w:left="20"/>
              <w:spacing w:after="0" w:line="215" w:lineRule="exact"/>
              <w:rPr>
                <w:sz w:val="20"/>
                <w:szCs w:val="20"/>
                <w:color w:val="auto"/>
              </w:rPr>
            </w:pPr>
            <w:r>
              <w:rPr>
                <w:rFonts w:ascii="Calibri" w:cs="Calibri" w:eastAsia="Calibri" w:hAnsi="Calibri"/>
                <w:sz w:val="18"/>
                <w:szCs w:val="18"/>
                <w:color w:val="auto"/>
              </w:rPr>
              <w:t>Other comprehensive gain (loss):</w:t>
            </w: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Unrealized gain (loss) on available-for-sale securites, net</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(567 )</w:t>
            </w:r>
          </w:p>
        </w:tc>
        <w:tc>
          <w:tcPr>
            <w:tcW w:w="4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514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253</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1,869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tcPr>
          <w:p>
            <w:pPr>
              <w:ind w:left="20"/>
              <w:spacing w:after="0" w:line="209" w:lineRule="exact"/>
              <w:rPr>
                <w:sz w:val="20"/>
                <w:szCs w:val="20"/>
                <w:color w:val="auto"/>
              </w:rPr>
            </w:pPr>
            <w:r>
              <w:rPr>
                <w:rFonts w:ascii="Calibri" w:cs="Calibri" w:eastAsia="Calibri" w:hAnsi="Calibri"/>
                <w:sz w:val="18"/>
                <w:szCs w:val="18"/>
                <w:color w:val="auto"/>
              </w:rPr>
              <w:t>Comprehensive loss</w:t>
            </w:r>
          </w:p>
        </w:tc>
        <w:tc>
          <w:tcPr>
            <w:tcW w:w="220" w:type="dxa"/>
            <w:vAlign w:val="bottom"/>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1220" w:type="dxa"/>
            <w:vAlign w:val="bottom"/>
            <w:gridSpan w:val="2"/>
          </w:tcPr>
          <w:p>
            <w:pPr>
              <w:jc w:val="right"/>
              <w:ind w:right="160"/>
              <w:spacing w:after="0" w:line="209" w:lineRule="exact"/>
              <w:rPr>
                <w:sz w:val="20"/>
                <w:szCs w:val="20"/>
                <w:color w:val="auto"/>
              </w:rPr>
            </w:pPr>
            <w:r>
              <w:rPr>
                <w:rFonts w:ascii="Calibri" w:cs="Calibri" w:eastAsia="Calibri" w:hAnsi="Calibri"/>
                <w:sz w:val="18"/>
                <w:szCs w:val="18"/>
                <w:color w:val="auto"/>
              </w:rPr>
              <w:t>(52,720 )</w:t>
            </w:r>
          </w:p>
        </w:tc>
        <w:tc>
          <w:tcPr>
            <w:tcW w:w="400" w:type="dxa"/>
            <w:vAlign w:val="bottom"/>
          </w:tcPr>
          <w:p>
            <w:pPr>
              <w:jc w:val="right"/>
              <w:ind w:right="210"/>
              <w:spacing w:after="0" w:line="209" w:lineRule="exact"/>
              <w:rPr>
                <w:sz w:val="20"/>
                <w:szCs w:val="20"/>
                <w:color w:val="auto"/>
              </w:rPr>
            </w:pPr>
            <w:r>
              <w:rPr>
                <w:rFonts w:ascii="Calibri" w:cs="Calibri" w:eastAsia="Calibri" w:hAnsi="Calibri"/>
                <w:sz w:val="18"/>
                <w:szCs w:val="18"/>
                <w:color w:val="auto"/>
                <w:w w:val="87"/>
              </w:rPr>
              <w:t>$</w:t>
            </w:r>
          </w:p>
        </w:tc>
        <w:tc>
          <w:tcPr>
            <w:tcW w:w="1060" w:type="dxa"/>
            <w:vAlign w:val="bottom"/>
            <w:gridSpan w:val="2"/>
          </w:tcPr>
          <w:p>
            <w:pPr>
              <w:jc w:val="right"/>
              <w:ind w:right="160"/>
              <w:spacing w:after="0" w:line="209" w:lineRule="exact"/>
              <w:rPr>
                <w:sz w:val="20"/>
                <w:szCs w:val="20"/>
                <w:color w:val="auto"/>
              </w:rPr>
            </w:pPr>
            <w:r>
              <w:rPr>
                <w:rFonts w:ascii="Calibri" w:cs="Calibri" w:eastAsia="Calibri" w:hAnsi="Calibri"/>
                <w:sz w:val="18"/>
                <w:szCs w:val="18"/>
                <w:color w:val="auto"/>
              </w:rPr>
              <w:t>(43,608 )</w:t>
            </w:r>
          </w:p>
        </w:tc>
        <w:tc>
          <w:tcPr>
            <w:tcW w:w="220" w:type="dxa"/>
            <w:vAlign w:val="bottom"/>
          </w:tcPr>
          <w:p>
            <w:pPr>
              <w:jc w:val="right"/>
              <w:ind w:right="10"/>
              <w:spacing w:after="0" w:line="209" w:lineRule="exact"/>
              <w:rPr>
                <w:sz w:val="20"/>
                <w:szCs w:val="20"/>
                <w:color w:val="auto"/>
              </w:rPr>
            </w:pPr>
            <w:r>
              <w:rPr>
                <w:rFonts w:ascii="Calibri" w:cs="Calibri" w:eastAsia="Calibri" w:hAnsi="Calibri"/>
                <w:sz w:val="18"/>
                <w:szCs w:val="18"/>
                <w:color w:val="auto"/>
              </w:rPr>
              <w:t>$</w:t>
            </w:r>
          </w:p>
        </w:tc>
        <w:tc>
          <w:tcPr>
            <w:tcW w:w="1220" w:type="dxa"/>
            <w:vAlign w:val="bottom"/>
            <w:gridSpan w:val="2"/>
          </w:tcPr>
          <w:p>
            <w:pPr>
              <w:jc w:val="right"/>
              <w:ind w:right="160"/>
              <w:spacing w:after="0" w:line="209" w:lineRule="exact"/>
              <w:rPr>
                <w:sz w:val="20"/>
                <w:szCs w:val="20"/>
                <w:color w:val="auto"/>
              </w:rPr>
            </w:pPr>
            <w:r>
              <w:rPr>
                <w:rFonts w:ascii="Calibri" w:cs="Calibri" w:eastAsia="Calibri" w:hAnsi="Calibri"/>
                <w:sz w:val="18"/>
                <w:szCs w:val="18"/>
                <w:color w:val="auto"/>
              </w:rPr>
              <w:t>(186,009 )</w:t>
            </w:r>
          </w:p>
        </w:tc>
        <w:tc>
          <w:tcPr>
            <w:tcW w:w="420" w:type="dxa"/>
            <w:vAlign w:val="bottom"/>
          </w:tcPr>
          <w:p>
            <w:pPr>
              <w:jc w:val="right"/>
              <w:ind w:right="230"/>
              <w:spacing w:after="0" w:line="209" w:lineRule="exact"/>
              <w:rPr>
                <w:sz w:val="20"/>
                <w:szCs w:val="20"/>
                <w:color w:val="auto"/>
              </w:rPr>
            </w:pPr>
            <w:r>
              <w:rPr>
                <w:rFonts w:ascii="Calibri" w:cs="Calibri" w:eastAsia="Calibri" w:hAnsi="Calibri"/>
                <w:sz w:val="18"/>
                <w:szCs w:val="18"/>
                <w:color w:val="auto"/>
                <w:w w:val="87"/>
              </w:rPr>
              <w:t>$</w:t>
            </w:r>
          </w:p>
        </w:tc>
        <w:tc>
          <w:tcPr>
            <w:tcW w:w="940" w:type="dxa"/>
            <w:vAlign w:val="bottom"/>
            <w:gridSpan w:val="2"/>
          </w:tcPr>
          <w:p>
            <w:pPr>
              <w:jc w:val="right"/>
              <w:ind w:right="60"/>
              <w:spacing w:after="0" w:line="209" w:lineRule="exact"/>
              <w:rPr>
                <w:sz w:val="20"/>
                <w:szCs w:val="20"/>
                <w:color w:val="auto"/>
              </w:rPr>
            </w:pPr>
            <w:r>
              <w:rPr>
                <w:rFonts w:ascii="Calibri" w:cs="Calibri" w:eastAsia="Calibri" w:hAnsi="Calibri"/>
                <w:sz w:val="18"/>
                <w:szCs w:val="18"/>
                <w:color w:val="auto"/>
              </w:rPr>
              <w:t>(159,059 )</w:t>
            </w:r>
          </w:p>
        </w:tc>
        <w:tc>
          <w:tcPr>
            <w:tcW w:w="0" w:type="dxa"/>
            <w:vAlign w:val="bottom"/>
          </w:tcPr>
          <w:p>
            <w:pPr>
              <w:spacing w:after="0"/>
              <w:rPr>
                <w:sz w:val="1"/>
                <w:szCs w:val="1"/>
                <w:color w:val="auto"/>
              </w:rPr>
            </w:pPr>
          </w:p>
        </w:tc>
      </w:tr>
      <w:tr>
        <w:trPr>
          <w:trHeight w:val="41"/>
        </w:trPr>
        <w:tc>
          <w:tcPr>
            <w:tcW w:w="554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554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loss per common share, basic and diluted</w:t>
            </w:r>
          </w:p>
        </w:tc>
        <w:tc>
          <w:tcPr>
            <w:tcW w:w="220" w:type="dxa"/>
            <w:vAlign w:val="bottom"/>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22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(0.44 )</w:t>
            </w:r>
          </w:p>
        </w:tc>
        <w:tc>
          <w:tcPr>
            <w:tcW w:w="400" w:type="dxa"/>
            <w:vAlign w:val="bottom"/>
            <w:shd w:val="clear" w:color="auto" w:fill="CFF0FC"/>
          </w:tcPr>
          <w:p>
            <w:pPr>
              <w:jc w:val="right"/>
              <w:ind w:right="210"/>
              <w:spacing w:after="0" w:line="215" w:lineRule="exact"/>
              <w:rPr>
                <w:sz w:val="20"/>
                <w:szCs w:val="20"/>
                <w:color w:val="auto"/>
              </w:rPr>
            </w:pPr>
            <w:r>
              <w:rPr>
                <w:rFonts w:ascii="Calibri" w:cs="Calibri" w:eastAsia="Calibri" w:hAnsi="Calibri"/>
                <w:sz w:val="18"/>
                <w:szCs w:val="18"/>
                <w:color w:val="auto"/>
                <w:w w:val="87"/>
              </w:rPr>
              <w:t>$</w:t>
            </w:r>
          </w:p>
        </w:tc>
        <w:tc>
          <w:tcPr>
            <w:tcW w:w="106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(0.45 )</w:t>
            </w:r>
          </w:p>
        </w:tc>
        <w:tc>
          <w:tcPr>
            <w:tcW w:w="220" w:type="dxa"/>
            <w:vAlign w:val="bottom"/>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(1.64 )</w:t>
            </w:r>
          </w:p>
        </w:tc>
        <w:tc>
          <w:tcPr>
            <w:tcW w:w="420" w:type="dxa"/>
            <w:vAlign w:val="bottom"/>
            <w:shd w:val="clear" w:color="auto" w:fill="CFF0FC"/>
          </w:tcPr>
          <w:p>
            <w:pPr>
              <w:jc w:val="right"/>
              <w:ind w:right="23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(1.64 )</w:t>
            </w:r>
          </w:p>
        </w:tc>
        <w:tc>
          <w:tcPr>
            <w:tcW w:w="0" w:type="dxa"/>
            <w:vAlign w:val="bottom"/>
          </w:tcPr>
          <w:p>
            <w:pPr>
              <w:spacing w:after="0"/>
              <w:rPr>
                <w:sz w:val="1"/>
                <w:szCs w:val="1"/>
                <w:color w:val="auto"/>
              </w:rPr>
            </w:pPr>
          </w:p>
        </w:tc>
      </w:tr>
      <w:tr>
        <w:trPr>
          <w:trHeight w:val="175"/>
        </w:trPr>
        <w:tc>
          <w:tcPr>
            <w:tcW w:w="5540" w:type="dxa"/>
            <w:vAlign w:val="bottom"/>
            <w:tcBorders>
              <w:top w:val="single" w:sz="8" w:color="CFF0FC"/>
            </w:tcBorders>
          </w:tcPr>
          <w:p>
            <w:pPr>
              <w:ind w:left="20"/>
              <w:spacing w:after="0" w:line="174" w:lineRule="exact"/>
              <w:rPr>
                <w:sz w:val="20"/>
                <w:szCs w:val="20"/>
                <w:color w:val="auto"/>
              </w:rPr>
            </w:pPr>
            <w:r>
              <w:rPr>
                <w:rFonts w:ascii="Calibri" w:cs="Calibri" w:eastAsia="Calibri" w:hAnsi="Calibri"/>
                <w:sz w:val="18"/>
                <w:szCs w:val="18"/>
                <w:color w:val="auto"/>
              </w:rPr>
              <w:t>Weighted–average common shares used to</w:t>
            </w: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8"/>
                <w:szCs w:val="18"/>
                <w:color w:val="auto"/>
              </w:rPr>
              <w:t>117,794,424</w:t>
            </w:r>
          </w:p>
        </w:tc>
        <w:tc>
          <w:tcPr>
            <w:tcW w:w="220" w:type="dxa"/>
            <w:vAlign w:val="bottom"/>
            <w:tcBorders>
              <w:top w:val="single" w:sz="8" w:color="CFF0FC"/>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8"/>
                <w:szCs w:val="18"/>
                <w:color w:val="auto"/>
                <w:w w:val="97"/>
              </w:rPr>
              <w:t>98,613,726</w:t>
            </w:r>
          </w:p>
        </w:tc>
        <w:tc>
          <w:tcPr>
            <w:tcW w:w="24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8"/>
                <w:szCs w:val="18"/>
                <w:color w:val="auto"/>
              </w:rPr>
              <w:t>113,685,177</w:t>
            </w:r>
          </w:p>
        </w:tc>
        <w:tc>
          <w:tcPr>
            <w:tcW w:w="220" w:type="dxa"/>
            <w:vAlign w:val="bottom"/>
            <w:tcBorders>
              <w:top w:val="single" w:sz="8" w:color="CFF0FC"/>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8"/>
                <w:szCs w:val="18"/>
                <w:color w:val="auto"/>
                <w:w w:val="95"/>
              </w:rPr>
              <w:t>98,411,162</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540" w:type="dxa"/>
            <w:vAlign w:val="bottom"/>
          </w:tcPr>
          <w:p>
            <w:pPr>
              <w:ind w:left="140"/>
              <w:spacing w:after="0" w:line="198" w:lineRule="exact"/>
              <w:rPr>
                <w:sz w:val="20"/>
                <w:szCs w:val="20"/>
                <w:color w:val="auto"/>
              </w:rPr>
            </w:pPr>
            <w:r>
              <w:rPr>
                <w:rFonts w:ascii="Calibri" w:cs="Calibri" w:eastAsia="Calibri" w:hAnsi="Calibri"/>
                <w:sz w:val="18"/>
                <w:szCs w:val="18"/>
                <w:color w:val="auto"/>
              </w:rPr>
              <w:t>compute basic and diluted net loss per share</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4"/>
        </w:trPr>
        <w:tc>
          <w:tcPr>
            <w:tcW w:w="5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-3102610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-3102610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-3102610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-3102610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-2811145</wp:posOffset>
            </wp:positionV>
            <wp:extent cx="6858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-2811145</wp:posOffset>
            </wp:positionV>
            <wp:extent cx="6858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-2811145</wp:posOffset>
            </wp:positionV>
            <wp:extent cx="6858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-2811145</wp:posOffset>
            </wp:positionV>
            <wp:extent cx="7747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2540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-2236470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-2236470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-2236470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-2236470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-1945005</wp:posOffset>
            </wp:positionV>
            <wp:extent cx="6858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-1945005</wp:posOffset>
            </wp:positionV>
            <wp:extent cx="6858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-1945005</wp:posOffset>
            </wp:positionV>
            <wp:extent cx="6858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-1945005</wp:posOffset>
            </wp:positionV>
            <wp:extent cx="7747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2540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-1645285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-1645285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-1645285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-1645285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-1336675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-1319530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-1336675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-1319530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-1336675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-1319530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-1336675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-1319530</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9" w:name="page10"/>
    <w:bookmarkEnd w:id="9"/>
    <w:p>
      <w:pPr>
        <w:jc w:val="center"/>
        <w:spacing w:after="0"/>
        <w:rPr>
          <w:sz w:val="20"/>
          <w:szCs w:val="20"/>
          <w:color w:val="auto"/>
        </w:rPr>
      </w:pPr>
      <w:r>
        <w:rPr>
          <w:rFonts w:ascii="Calibri" w:cs="Calibri" w:eastAsia="Calibri" w:hAnsi="Calibri"/>
          <w:sz w:val="20"/>
          <w:szCs w:val="20"/>
          <w:b w:val="1"/>
          <w:bCs w:val="1"/>
          <w:color w:val="auto"/>
        </w:rPr>
        <w:t>Condensed Consolidated Balance Sheets</w:t>
      </w:r>
    </w:p>
    <w:p>
      <w:pPr>
        <w:jc w:val="center"/>
        <w:spacing w:after="0" w:line="238" w:lineRule="auto"/>
        <w:rPr>
          <w:sz w:val="20"/>
          <w:szCs w:val="20"/>
          <w:color w:val="auto"/>
        </w:rPr>
      </w:pPr>
      <w:r>
        <w:rPr>
          <w:rFonts w:ascii="Calibri" w:cs="Calibri" w:eastAsia="Calibri" w:hAnsi="Calibri"/>
          <w:sz w:val="20"/>
          <w:szCs w:val="20"/>
          <w:b w:val="1"/>
          <w:bCs w:val="1"/>
          <w:color w:val="auto"/>
        </w:rPr>
        <w:t>(in thousands)</w:t>
      </w:r>
    </w:p>
    <w:p>
      <w:pPr>
        <w:jc w:val="center"/>
        <w:spacing w:after="0"/>
        <w:rPr>
          <w:sz w:val="20"/>
          <w:szCs w:val="20"/>
          <w:color w:val="auto"/>
        </w:rPr>
      </w:pPr>
      <w:r>
        <w:rPr>
          <w:rFonts w:ascii="Calibri" w:cs="Calibri" w:eastAsia="Calibri" w:hAnsi="Calibri"/>
          <w:sz w:val="20"/>
          <w:szCs w:val="20"/>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ind w:right="290"/>
              <w:spacing w:after="0"/>
              <w:rPr>
                <w:sz w:val="20"/>
                <w:szCs w:val="20"/>
                <w:color w:val="auto"/>
              </w:rPr>
            </w:pPr>
            <w:r>
              <w:rPr>
                <w:rFonts w:ascii="Calibri" w:cs="Calibri" w:eastAsia="Calibri" w:hAnsi="Calibri"/>
                <w:sz w:val="18"/>
                <w:szCs w:val="18"/>
                <w:b w:val="1"/>
                <w:bCs w:val="1"/>
                <w:color w:val="auto"/>
              </w:rPr>
              <w:t>December 31,</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ind w:left="120"/>
              <w:spacing w:after="0"/>
              <w:rPr>
                <w:sz w:val="20"/>
                <w:szCs w:val="20"/>
                <w:color w:val="auto"/>
              </w:rPr>
            </w:pPr>
            <w:r>
              <w:rPr>
                <w:rFonts w:ascii="Calibri" w:cs="Calibri" w:eastAsia="Calibri" w:hAnsi="Calibri"/>
                <w:sz w:val="18"/>
                <w:szCs w:val="18"/>
                <w:b w:val="1"/>
                <w:bCs w:val="1"/>
                <w:color w:val="auto"/>
              </w:rPr>
              <w:t>December 31,</w:t>
            </w:r>
          </w:p>
        </w:tc>
      </w:tr>
      <w:tr>
        <w:trPr>
          <w:trHeight w:val="229"/>
        </w:trPr>
        <w:tc>
          <w:tcPr>
            <w:tcW w:w="7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ind w:right="610"/>
              <w:spacing w:after="0"/>
              <w:rPr>
                <w:sz w:val="20"/>
                <w:szCs w:val="20"/>
                <w:color w:val="auto"/>
              </w:rPr>
            </w:pPr>
            <w:r>
              <w:rPr>
                <w:rFonts w:ascii="Calibri" w:cs="Calibri" w:eastAsia="Calibri" w:hAnsi="Calibri"/>
                <w:sz w:val="18"/>
                <w:szCs w:val="18"/>
                <w:b w:val="1"/>
                <w:bCs w:val="1"/>
                <w:color w:val="auto"/>
              </w:rPr>
              <w:t>2024</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ind w:right="610"/>
              <w:spacing w:after="0"/>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9"/>
                <w:szCs w:val="19"/>
                <w:color w:val="auto"/>
              </w:rPr>
            </w:pPr>
          </w:p>
        </w:tc>
      </w:tr>
      <w:tr>
        <w:trPr>
          <w:trHeight w:val="44"/>
        </w:trPr>
        <w:tc>
          <w:tcPr>
            <w:tcW w:w="7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43"/>
        </w:trPr>
        <w:tc>
          <w:tcPr>
            <w:tcW w:w="7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714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14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assets:</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140" w:type="dxa"/>
            <w:vAlign w:val="bottom"/>
            <w:shd w:val="clear" w:color="auto" w:fill="CFF0FC"/>
          </w:tcPr>
          <w:p>
            <w:pPr>
              <w:ind w:left="140"/>
              <w:spacing w:after="0" w:line="216" w:lineRule="exact"/>
              <w:rPr>
                <w:sz w:val="20"/>
                <w:szCs w:val="20"/>
                <w:color w:val="auto"/>
              </w:rPr>
            </w:pPr>
            <w:r>
              <w:rPr>
                <w:rFonts w:ascii="Calibri" w:cs="Calibri" w:eastAsia="Calibri" w:hAnsi="Calibri"/>
                <w:sz w:val="18"/>
                <w:szCs w:val="18"/>
                <w:color w:val="auto"/>
              </w:rPr>
              <w:t>Cash and cash equivalents</w:t>
            </w:r>
          </w:p>
        </w:tc>
        <w:tc>
          <w:tcPr>
            <w:tcW w:w="260" w:type="dxa"/>
            <w:vAlign w:val="bottom"/>
            <w:shd w:val="clear" w:color="auto" w:fill="CFF0FC"/>
          </w:tcPr>
          <w:p>
            <w:pPr>
              <w:jc w:val="right"/>
              <w:ind w:right="50"/>
              <w:spacing w:after="0" w:line="216" w:lineRule="exact"/>
              <w:rPr>
                <w:sz w:val="20"/>
                <w:szCs w:val="20"/>
                <w:color w:val="auto"/>
              </w:rPr>
            </w:pPr>
            <w:r>
              <w:rPr>
                <w:rFonts w:ascii="Calibri" w:cs="Calibri" w:eastAsia="Calibri" w:hAnsi="Calibri"/>
                <w:sz w:val="18"/>
                <w:szCs w:val="18"/>
                <w:color w:val="auto"/>
              </w:rPr>
              <w:t>$</w:t>
            </w:r>
          </w:p>
        </w:tc>
        <w:tc>
          <w:tcPr>
            <w:tcW w:w="15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36,056</w:t>
            </w:r>
          </w:p>
        </w:tc>
        <w:tc>
          <w:tcPr>
            <w:tcW w:w="700" w:type="dxa"/>
            <w:vAlign w:val="bottom"/>
            <w:gridSpan w:val="2"/>
            <w:shd w:val="clear" w:color="auto" w:fill="CFF0FC"/>
          </w:tcPr>
          <w:p>
            <w:pPr>
              <w:jc w:val="right"/>
              <w:ind w:right="50"/>
              <w:spacing w:after="0" w:line="216" w:lineRule="exact"/>
              <w:rPr>
                <w:sz w:val="20"/>
                <w:szCs w:val="20"/>
                <w:color w:val="auto"/>
              </w:rPr>
            </w:pPr>
            <w:r>
              <w:rPr>
                <w:rFonts w:ascii="Calibri" w:cs="Calibri" w:eastAsia="Calibri" w:hAnsi="Calibri"/>
                <w:sz w:val="18"/>
                <w:szCs w:val="18"/>
                <w:color w:val="auto"/>
              </w:rPr>
              <w:t>$</w:t>
            </w:r>
          </w:p>
        </w:tc>
        <w:tc>
          <w:tcPr>
            <w:tcW w:w="15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41,870</w:t>
            </w:r>
          </w:p>
        </w:tc>
        <w:tc>
          <w:tcPr>
            <w:tcW w:w="100" w:type="dxa"/>
            <w:vAlign w:val="bottom"/>
            <w:shd w:val="clear" w:color="auto" w:fill="CFF0FC"/>
          </w:tcPr>
          <w:p>
            <w:pPr>
              <w:spacing w:after="0"/>
              <w:rPr>
                <w:sz w:val="18"/>
                <w:szCs w:val="18"/>
                <w:color w:val="auto"/>
              </w:rPr>
            </w:pPr>
          </w:p>
        </w:tc>
      </w:tr>
      <w:tr>
        <w:trPr>
          <w:trHeight w:val="215"/>
        </w:trPr>
        <w:tc>
          <w:tcPr>
            <w:tcW w:w="7140" w:type="dxa"/>
            <w:vAlign w:val="bottom"/>
          </w:tcPr>
          <w:p>
            <w:pPr>
              <w:ind w:left="140"/>
              <w:spacing w:after="0" w:line="215" w:lineRule="exact"/>
              <w:rPr>
                <w:sz w:val="20"/>
                <w:szCs w:val="20"/>
                <w:color w:val="auto"/>
              </w:rPr>
            </w:pPr>
            <w:r>
              <w:rPr>
                <w:rFonts w:ascii="Calibri" w:cs="Calibri" w:eastAsia="Calibri" w:hAnsi="Calibri"/>
                <w:sz w:val="18"/>
                <w:szCs w:val="18"/>
                <w:color w:val="auto"/>
              </w:rPr>
              <w:t>Accounts receivable</w:t>
            </w:r>
          </w:p>
        </w:tc>
        <w:tc>
          <w:tcPr>
            <w:tcW w:w="260" w:type="dxa"/>
            <w:vAlign w:val="bottom"/>
          </w:tcPr>
          <w:p>
            <w:pPr>
              <w:spacing w:after="0"/>
              <w:rPr>
                <w:sz w:val="18"/>
                <w:szCs w:val="18"/>
                <w:color w:val="auto"/>
              </w:rPr>
            </w:pP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color w:val="auto"/>
              </w:rPr>
              <w:t>3,539</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color w:val="auto"/>
              </w:rPr>
              <w:t>1,826</w:t>
            </w:r>
          </w:p>
        </w:tc>
        <w:tc>
          <w:tcPr>
            <w:tcW w:w="100" w:type="dxa"/>
            <w:vAlign w:val="bottom"/>
          </w:tcPr>
          <w:p>
            <w:pPr>
              <w:spacing w:after="0"/>
              <w:rPr>
                <w:sz w:val="18"/>
                <w:szCs w:val="18"/>
                <w:color w:val="auto"/>
              </w:rPr>
            </w:pPr>
          </w:p>
        </w:tc>
      </w:tr>
      <w:tr>
        <w:trPr>
          <w:trHeight w:val="217"/>
        </w:trPr>
        <w:tc>
          <w:tcPr>
            <w:tcW w:w="7140" w:type="dxa"/>
            <w:vAlign w:val="bottom"/>
            <w:shd w:val="clear" w:color="auto" w:fill="CFF0FC"/>
          </w:tcPr>
          <w:p>
            <w:pPr>
              <w:ind w:left="140"/>
              <w:spacing w:after="0" w:line="216" w:lineRule="exact"/>
              <w:rPr>
                <w:sz w:val="20"/>
                <w:szCs w:val="20"/>
                <w:color w:val="auto"/>
              </w:rPr>
            </w:pPr>
            <w:r>
              <w:rPr>
                <w:rFonts w:ascii="Calibri" w:cs="Calibri" w:eastAsia="Calibri" w:hAnsi="Calibri"/>
                <w:sz w:val="18"/>
                <w:szCs w:val="18"/>
                <w:color w:val="auto"/>
              </w:rPr>
              <w:t>Short-term investments</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243,012</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273,305</w:t>
            </w:r>
          </w:p>
        </w:tc>
        <w:tc>
          <w:tcPr>
            <w:tcW w:w="100" w:type="dxa"/>
            <w:vAlign w:val="bottom"/>
            <w:shd w:val="clear" w:color="auto" w:fill="CFF0FC"/>
          </w:tcPr>
          <w:p>
            <w:pPr>
              <w:spacing w:after="0"/>
              <w:rPr>
                <w:sz w:val="18"/>
                <w:szCs w:val="18"/>
                <w:color w:val="auto"/>
              </w:rPr>
            </w:pPr>
          </w:p>
        </w:tc>
      </w:tr>
      <w:tr>
        <w:trPr>
          <w:trHeight w:val="215"/>
        </w:trPr>
        <w:tc>
          <w:tcPr>
            <w:tcW w:w="7140" w:type="dxa"/>
            <w:vAlign w:val="bottom"/>
          </w:tcPr>
          <w:p>
            <w:pPr>
              <w:ind w:left="140"/>
              <w:spacing w:after="0" w:line="215" w:lineRule="exact"/>
              <w:rPr>
                <w:sz w:val="20"/>
                <w:szCs w:val="20"/>
                <w:color w:val="auto"/>
              </w:rPr>
            </w:pPr>
            <w:r>
              <w:rPr>
                <w:rFonts w:ascii="Calibri" w:cs="Calibri" w:eastAsia="Calibri" w:hAnsi="Calibri"/>
                <w:sz w:val="18"/>
                <w:szCs w:val="18"/>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9,302</w:t>
            </w:r>
          </w:p>
        </w:tc>
        <w:tc>
          <w:tcPr>
            <w:tcW w:w="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14,539</w:t>
            </w:r>
          </w:p>
        </w:tc>
        <w:tc>
          <w:tcPr>
            <w:tcW w:w="100" w:type="dxa"/>
            <w:vAlign w:val="bottom"/>
          </w:tcPr>
          <w:p>
            <w:pPr>
              <w:spacing w:after="0"/>
              <w:rPr>
                <w:sz w:val="18"/>
                <w:szCs w:val="18"/>
                <w:color w:val="auto"/>
              </w:rPr>
            </w:pPr>
          </w:p>
        </w:tc>
      </w:tr>
      <w:tr>
        <w:trPr>
          <w:trHeight w:val="231"/>
        </w:trPr>
        <w:tc>
          <w:tcPr>
            <w:tcW w:w="714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Total current assets</w:t>
            </w:r>
          </w:p>
        </w:tc>
        <w:tc>
          <w:tcPr>
            <w:tcW w:w="26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291,909</w:t>
            </w:r>
          </w:p>
        </w:tc>
        <w:tc>
          <w:tcPr>
            <w:tcW w:w="4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331,540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5"/>
        </w:trPr>
        <w:tc>
          <w:tcPr>
            <w:tcW w:w="7140" w:type="dxa"/>
            <w:vAlign w:val="bottom"/>
          </w:tcPr>
          <w:p>
            <w:pPr>
              <w:ind w:left="20"/>
              <w:spacing w:after="0" w:line="215" w:lineRule="exact"/>
              <w:rPr>
                <w:sz w:val="20"/>
                <w:szCs w:val="20"/>
                <w:color w:val="auto"/>
              </w:rPr>
            </w:pPr>
            <w:r>
              <w:rPr>
                <w:rFonts w:ascii="Calibri" w:cs="Calibri" w:eastAsia="Calibri" w:hAnsi="Calibri"/>
                <w:sz w:val="18"/>
                <w:szCs w:val="18"/>
                <w:color w:val="auto"/>
              </w:rPr>
              <w:t>Long-term investments</w:t>
            </w:r>
          </w:p>
        </w:tc>
        <w:tc>
          <w:tcPr>
            <w:tcW w:w="260" w:type="dxa"/>
            <w:vAlign w:val="bottom"/>
          </w:tcPr>
          <w:p>
            <w:pPr>
              <w:spacing w:after="0"/>
              <w:rPr>
                <w:sz w:val="18"/>
                <w:szCs w:val="18"/>
                <w:color w:val="auto"/>
              </w:rPr>
            </w:pP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color w:val="auto"/>
              </w:rPr>
              <w:t>27,657</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color w:val="auto"/>
              </w:rPr>
              <w:t>980</w:t>
            </w:r>
          </w:p>
        </w:tc>
        <w:tc>
          <w:tcPr>
            <w:tcW w:w="100" w:type="dxa"/>
            <w:vAlign w:val="bottom"/>
          </w:tcPr>
          <w:p>
            <w:pPr>
              <w:spacing w:after="0"/>
              <w:rPr>
                <w:sz w:val="18"/>
                <w:szCs w:val="18"/>
                <w:color w:val="auto"/>
              </w:rPr>
            </w:pPr>
          </w:p>
        </w:tc>
      </w:tr>
      <w:tr>
        <w:trPr>
          <w:trHeight w:val="217"/>
        </w:trPr>
        <w:tc>
          <w:tcPr>
            <w:tcW w:w="71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Operatng lease right-of-use asset</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46,508</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61,675</w:t>
            </w:r>
          </w:p>
        </w:tc>
        <w:tc>
          <w:tcPr>
            <w:tcW w:w="100" w:type="dxa"/>
            <w:vAlign w:val="bottom"/>
            <w:shd w:val="clear" w:color="auto" w:fill="CFF0FC"/>
          </w:tcPr>
          <w:p>
            <w:pPr>
              <w:spacing w:after="0"/>
              <w:rPr>
                <w:sz w:val="18"/>
                <w:szCs w:val="18"/>
                <w:color w:val="auto"/>
              </w:rPr>
            </w:pPr>
          </w:p>
        </w:tc>
      </w:tr>
      <w:tr>
        <w:trPr>
          <w:trHeight w:val="215"/>
        </w:trPr>
        <w:tc>
          <w:tcPr>
            <w:tcW w:w="7140" w:type="dxa"/>
            <w:vAlign w:val="bottom"/>
          </w:tcPr>
          <w:p>
            <w:pPr>
              <w:ind w:left="20"/>
              <w:spacing w:after="0" w:line="215" w:lineRule="exact"/>
              <w:rPr>
                <w:sz w:val="20"/>
                <w:szCs w:val="20"/>
                <w:color w:val="auto"/>
              </w:rPr>
            </w:pPr>
            <w:r>
              <w:rPr>
                <w:rFonts w:ascii="Calibri" w:cs="Calibri" w:eastAsia="Calibri" w:hAnsi="Calibri"/>
                <w:sz w:val="18"/>
                <w:szCs w:val="18"/>
                <w:color w:val="auto"/>
              </w:rPr>
              <w:t>Other long-term assets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74,620</w:t>
            </w:r>
          </w:p>
        </w:tc>
        <w:tc>
          <w:tcPr>
            <w:tcW w:w="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112,022</w:t>
            </w:r>
          </w:p>
        </w:tc>
        <w:tc>
          <w:tcPr>
            <w:tcW w:w="100" w:type="dxa"/>
            <w:vAlign w:val="bottom"/>
          </w:tcPr>
          <w:p>
            <w:pPr>
              <w:spacing w:after="0"/>
              <w:rPr>
                <w:sz w:val="18"/>
                <w:szCs w:val="18"/>
                <w:color w:val="auto"/>
              </w:rPr>
            </w:pPr>
          </w:p>
        </w:tc>
      </w:tr>
      <w:tr>
        <w:trPr>
          <w:trHeight w:val="249"/>
        </w:trPr>
        <w:tc>
          <w:tcPr>
            <w:tcW w:w="714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Total assets</w:t>
            </w:r>
          </w:p>
        </w:tc>
        <w:tc>
          <w:tcPr>
            <w:tcW w:w="260" w:type="dxa"/>
            <w:vAlign w:val="bottom"/>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rPr>
              <w:t>$</w:t>
            </w:r>
          </w:p>
        </w:tc>
        <w:tc>
          <w:tcPr>
            <w:tcW w:w="15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440,694</w:t>
            </w:r>
          </w:p>
        </w:tc>
        <w:tc>
          <w:tcPr>
            <w:tcW w:w="700" w:type="dxa"/>
            <w:vAlign w:val="bottom"/>
            <w:gridSpan w:val="2"/>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rPr>
              <w:t>$</w:t>
            </w:r>
          </w:p>
        </w:tc>
        <w:tc>
          <w:tcPr>
            <w:tcW w:w="15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506,217</w:t>
            </w:r>
          </w:p>
        </w:tc>
        <w:tc>
          <w:tcPr>
            <w:tcW w:w="100" w:type="dxa"/>
            <w:vAlign w:val="bottom"/>
            <w:shd w:val="clear" w:color="auto" w:fill="CFF0FC"/>
          </w:tcPr>
          <w:p>
            <w:pPr>
              <w:spacing w:after="0"/>
              <w:rPr>
                <w:sz w:val="21"/>
                <w:szCs w:val="21"/>
                <w:color w:val="auto"/>
              </w:rPr>
            </w:pPr>
          </w:p>
        </w:tc>
      </w:tr>
      <w:tr>
        <w:trPr>
          <w:trHeight w:val="197"/>
        </w:trPr>
        <w:tc>
          <w:tcPr>
            <w:tcW w:w="7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4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14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Liabilites and stockholders’ equity</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14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liabilites:</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140" w:type="dxa"/>
            <w:vAlign w:val="bottom"/>
            <w:shd w:val="clear" w:color="auto" w:fill="CFF0FC"/>
          </w:tcPr>
          <w:p>
            <w:pPr>
              <w:ind w:left="140"/>
              <w:spacing w:after="0" w:line="216" w:lineRule="exact"/>
              <w:rPr>
                <w:sz w:val="20"/>
                <w:szCs w:val="20"/>
                <w:color w:val="auto"/>
              </w:rPr>
            </w:pPr>
            <w:r>
              <w:rPr>
                <w:rFonts w:ascii="Calibri" w:cs="Calibri" w:eastAsia="Calibri" w:hAnsi="Calibri"/>
                <w:sz w:val="18"/>
                <w:szCs w:val="18"/>
                <w:color w:val="auto"/>
              </w:rPr>
              <w:t>Accounts payable and accrued expenses</w:t>
            </w:r>
          </w:p>
        </w:tc>
        <w:tc>
          <w:tcPr>
            <w:tcW w:w="260" w:type="dxa"/>
            <w:vAlign w:val="bottom"/>
            <w:shd w:val="clear" w:color="auto" w:fill="CFF0FC"/>
          </w:tcPr>
          <w:p>
            <w:pPr>
              <w:jc w:val="right"/>
              <w:ind w:right="50"/>
              <w:spacing w:after="0" w:line="216" w:lineRule="exact"/>
              <w:rPr>
                <w:sz w:val="20"/>
                <w:szCs w:val="20"/>
                <w:color w:val="auto"/>
              </w:rPr>
            </w:pPr>
            <w:r>
              <w:rPr>
                <w:rFonts w:ascii="Calibri" w:cs="Calibri" w:eastAsia="Calibri" w:hAnsi="Calibri"/>
                <w:sz w:val="18"/>
                <w:szCs w:val="18"/>
                <w:color w:val="auto"/>
              </w:rPr>
              <w:t>$</w:t>
            </w:r>
          </w:p>
        </w:tc>
        <w:tc>
          <w:tcPr>
            <w:tcW w:w="15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30,713</w:t>
            </w:r>
          </w:p>
        </w:tc>
        <w:tc>
          <w:tcPr>
            <w:tcW w:w="700" w:type="dxa"/>
            <w:vAlign w:val="bottom"/>
            <w:gridSpan w:val="2"/>
            <w:shd w:val="clear" w:color="auto" w:fill="CFF0FC"/>
          </w:tcPr>
          <w:p>
            <w:pPr>
              <w:jc w:val="right"/>
              <w:ind w:right="50"/>
              <w:spacing w:after="0" w:line="216" w:lineRule="exact"/>
              <w:rPr>
                <w:sz w:val="20"/>
                <w:szCs w:val="20"/>
                <w:color w:val="auto"/>
              </w:rPr>
            </w:pPr>
            <w:r>
              <w:rPr>
                <w:rFonts w:ascii="Calibri" w:cs="Calibri" w:eastAsia="Calibri" w:hAnsi="Calibri"/>
                <w:sz w:val="18"/>
                <w:szCs w:val="18"/>
                <w:color w:val="auto"/>
              </w:rPr>
              <w:t>$</w:t>
            </w:r>
          </w:p>
        </w:tc>
        <w:tc>
          <w:tcPr>
            <w:tcW w:w="15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32,233</w:t>
            </w:r>
          </w:p>
        </w:tc>
        <w:tc>
          <w:tcPr>
            <w:tcW w:w="100" w:type="dxa"/>
            <w:vAlign w:val="bottom"/>
            <w:shd w:val="clear" w:color="auto" w:fill="CFF0FC"/>
          </w:tcPr>
          <w:p>
            <w:pPr>
              <w:spacing w:after="0"/>
              <w:rPr>
                <w:sz w:val="18"/>
                <w:szCs w:val="18"/>
                <w:color w:val="auto"/>
              </w:rPr>
            </w:pPr>
          </w:p>
        </w:tc>
      </w:tr>
      <w:tr>
        <w:trPr>
          <w:trHeight w:val="215"/>
        </w:trPr>
        <w:tc>
          <w:tcPr>
            <w:tcW w:w="7140" w:type="dxa"/>
            <w:vAlign w:val="bottom"/>
          </w:tcPr>
          <w:p>
            <w:pPr>
              <w:ind w:left="140"/>
              <w:spacing w:after="0" w:line="215" w:lineRule="exact"/>
              <w:rPr>
                <w:sz w:val="20"/>
                <w:szCs w:val="20"/>
                <w:color w:val="auto"/>
              </w:rPr>
            </w:pPr>
            <w:r>
              <w:rPr>
                <w:rFonts w:ascii="Calibri" w:cs="Calibri" w:eastAsia="Calibri" w:hAnsi="Calibri"/>
                <w:sz w:val="18"/>
                <w:szCs w:val="18"/>
                <w:color w:val="auto"/>
              </w:rPr>
              <w:t>Deferred revenue</w:t>
            </w:r>
          </w:p>
        </w:tc>
        <w:tc>
          <w:tcPr>
            <w:tcW w:w="260" w:type="dxa"/>
            <w:vAlign w:val="bottom"/>
          </w:tcPr>
          <w:p>
            <w:pPr>
              <w:spacing w:after="0"/>
              <w:rPr>
                <w:sz w:val="18"/>
                <w:szCs w:val="18"/>
                <w:color w:val="auto"/>
              </w:rPr>
            </w:pP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color w:val="auto"/>
              </w:rPr>
              <w:t>393</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color w:val="auto"/>
              </w:rPr>
              <w:t>685</w:t>
            </w:r>
          </w:p>
        </w:tc>
        <w:tc>
          <w:tcPr>
            <w:tcW w:w="100" w:type="dxa"/>
            <w:vAlign w:val="bottom"/>
          </w:tcPr>
          <w:p>
            <w:pPr>
              <w:spacing w:after="0"/>
              <w:rPr>
                <w:sz w:val="18"/>
                <w:szCs w:val="18"/>
                <w:color w:val="auto"/>
              </w:rPr>
            </w:pPr>
          </w:p>
        </w:tc>
      </w:tr>
      <w:tr>
        <w:trPr>
          <w:trHeight w:val="216"/>
        </w:trPr>
        <w:tc>
          <w:tcPr>
            <w:tcW w:w="714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Operatng lease liability, current porton</w:t>
            </w:r>
          </w:p>
        </w:tc>
        <w:tc>
          <w:tcPr>
            <w:tcW w:w="2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7,416</w:t>
            </w:r>
          </w:p>
        </w:tc>
        <w:tc>
          <w:tcPr>
            <w:tcW w:w="4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6,176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31"/>
        </w:trPr>
        <w:tc>
          <w:tcPr>
            <w:tcW w:w="7140" w:type="dxa"/>
            <w:vAlign w:val="bottom"/>
          </w:tcPr>
          <w:p>
            <w:pPr>
              <w:ind w:left="20"/>
              <w:spacing w:after="0" w:line="209" w:lineRule="exact"/>
              <w:rPr>
                <w:sz w:val="20"/>
                <w:szCs w:val="20"/>
                <w:color w:val="auto"/>
              </w:rPr>
            </w:pPr>
            <w:r>
              <w:rPr>
                <w:rFonts w:ascii="Calibri" w:cs="Calibri" w:eastAsia="Calibri" w:hAnsi="Calibri"/>
                <w:sz w:val="18"/>
                <w:szCs w:val="18"/>
                <w:color w:val="auto"/>
              </w:rPr>
              <w:t>Total current liabilites</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38,522</w:t>
            </w: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39,094</w:t>
            </w:r>
          </w:p>
        </w:tc>
        <w:tc>
          <w:tcPr>
            <w:tcW w:w="100" w:type="dxa"/>
            <w:vAlign w:val="bottom"/>
          </w:tcPr>
          <w:p>
            <w:pPr>
              <w:spacing w:after="0"/>
              <w:rPr>
                <w:sz w:val="20"/>
                <w:szCs w:val="20"/>
                <w:color w:val="auto"/>
              </w:rPr>
            </w:pPr>
          </w:p>
        </w:tc>
      </w:tr>
      <w:tr>
        <w:trPr>
          <w:trHeight w:val="216"/>
        </w:trPr>
        <w:tc>
          <w:tcPr>
            <w:tcW w:w="714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CIRM award liability</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5,070</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7140" w:type="dxa"/>
            <w:vAlign w:val="bottom"/>
          </w:tcPr>
          <w:p>
            <w:pPr>
              <w:ind w:left="20"/>
              <w:spacing w:after="0" w:line="215" w:lineRule="exact"/>
              <w:rPr>
                <w:sz w:val="20"/>
                <w:szCs w:val="20"/>
                <w:color w:val="auto"/>
              </w:rPr>
            </w:pPr>
            <w:r>
              <w:rPr>
                <w:rFonts w:ascii="Calibri" w:cs="Calibri" w:eastAsia="Calibri" w:hAnsi="Calibri"/>
                <w:sz w:val="18"/>
                <w:szCs w:val="18"/>
                <w:color w:val="auto"/>
              </w:rPr>
              <w:t>Operatng lease liability, net of current porton</w:t>
            </w:r>
          </w:p>
        </w:tc>
        <w:tc>
          <w:tcPr>
            <w:tcW w:w="260" w:type="dxa"/>
            <w:vAlign w:val="bottom"/>
          </w:tcPr>
          <w:p>
            <w:pPr>
              <w:spacing w:after="0"/>
              <w:rPr>
                <w:sz w:val="18"/>
                <w:szCs w:val="18"/>
                <w:color w:val="auto"/>
              </w:rPr>
            </w:pP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color w:val="auto"/>
              </w:rPr>
              <w:t>77,849</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color w:val="auto"/>
              </w:rPr>
              <w:t>97,360</w:t>
            </w:r>
          </w:p>
        </w:tc>
        <w:tc>
          <w:tcPr>
            <w:tcW w:w="100" w:type="dxa"/>
            <w:vAlign w:val="bottom"/>
          </w:tcPr>
          <w:p>
            <w:pPr>
              <w:spacing w:after="0"/>
              <w:rPr>
                <w:sz w:val="18"/>
                <w:szCs w:val="18"/>
                <w:color w:val="auto"/>
              </w:rPr>
            </w:pPr>
          </w:p>
        </w:tc>
      </w:tr>
      <w:tr>
        <w:trPr>
          <w:trHeight w:val="217"/>
        </w:trPr>
        <w:tc>
          <w:tcPr>
            <w:tcW w:w="71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Stock price appreciaton milestones</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527</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1,346</w:t>
            </w:r>
          </w:p>
        </w:tc>
        <w:tc>
          <w:tcPr>
            <w:tcW w:w="100" w:type="dxa"/>
            <w:vAlign w:val="bottom"/>
            <w:shd w:val="clear" w:color="auto" w:fill="CFF0FC"/>
          </w:tcPr>
          <w:p>
            <w:pPr>
              <w:spacing w:after="0"/>
              <w:rPr>
                <w:sz w:val="18"/>
                <w:szCs w:val="18"/>
                <w:color w:val="auto"/>
              </w:rPr>
            </w:pPr>
          </w:p>
        </w:tc>
      </w:tr>
      <w:tr>
        <w:trPr>
          <w:trHeight w:val="215"/>
        </w:trPr>
        <w:tc>
          <w:tcPr>
            <w:tcW w:w="7140" w:type="dxa"/>
            <w:vAlign w:val="bottom"/>
          </w:tcPr>
          <w:p>
            <w:pPr>
              <w:ind w:left="20"/>
              <w:spacing w:after="0" w:line="215" w:lineRule="exact"/>
              <w:rPr>
                <w:sz w:val="20"/>
                <w:szCs w:val="20"/>
                <w:color w:val="auto"/>
              </w:rPr>
            </w:pPr>
            <w:r>
              <w:rPr>
                <w:rFonts w:ascii="Calibri" w:cs="Calibri" w:eastAsia="Calibri" w:hAnsi="Calibri"/>
                <w:sz w:val="18"/>
                <w:szCs w:val="18"/>
                <w:color w:val="auto"/>
              </w:rPr>
              <w:t>Stockholders’ equity</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318,726</w:t>
            </w:r>
          </w:p>
        </w:tc>
        <w:tc>
          <w:tcPr>
            <w:tcW w:w="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368,417</w:t>
            </w:r>
          </w:p>
        </w:tc>
        <w:tc>
          <w:tcPr>
            <w:tcW w:w="100" w:type="dxa"/>
            <w:vAlign w:val="bottom"/>
          </w:tcPr>
          <w:p>
            <w:pPr>
              <w:spacing w:after="0"/>
              <w:rPr>
                <w:sz w:val="18"/>
                <w:szCs w:val="18"/>
                <w:color w:val="auto"/>
              </w:rPr>
            </w:pPr>
          </w:p>
        </w:tc>
      </w:tr>
      <w:tr>
        <w:trPr>
          <w:trHeight w:val="250"/>
        </w:trPr>
        <w:tc>
          <w:tcPr>
            <w:tcW w:w="714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Total liabilites and stockholders’ equity</w:t>
            </w:r>
          </w:p>
        </w:tc>
        <w:tc>
          <w:tcPr>
            <w:tcW w:w="260" w:type="dxa"/>
            <w:vAlign w:val="bottom"/>
            <w:tcBorders>
              <w:bottom w:val="single" w:sz="8" w:color="auto"/>
            </w:tcBorders>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rPr>
              <w:t>$</w:t>
            </w:r>
          </w:p>
        </w:tc>
        <w:tc>
          <w:tcPr>
            <w:tcW w:w="15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440,694</w:t>
            </w:r>
          </w:p>
        </w:tc>
        <w:tc>
          <w:tcPr>
            <w:tcW w:w="4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15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506,217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-2322195</wp:posOffset>
            </wp:positionV>
            <wp:extent cx="6858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-1739265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-1722120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-890905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Contact:</w:t>
      </w:r>
    </w:p>
    <w:p>
      <w:pPr>
        <w:spacing w:after="0" w:line="238" w:lineRule="auto"/>
        <w:rPr>
          <w:sz w:val="20"/>
          <w:szCs w:val="20"/>
          <w:color w:val="auto"/>
        </w:rPr>
      </w:pPr>
      <w:r>
        <w:rPr>
          <w:rFonts w:ascii="Calibri" w:cs="Calibri" w:eastAsia="Calibri" w:hAnsi="Calibri"/>
          <w:sz w:val="20"/>
          <w:szCs w:val="20"/>
          <w:color w:val="auto"/>
        </w:rPr>
        <w:t>Christna Tartaglia</w:t>
      </w:r>
    </w:p>
    <w:p>
      <w:pPr>
        <w:spacing w:after="0"/>
        <w:rPr>
          <w:sz w:val="20"/>
          <w:szCs w:val="20"/>
          <w:color w:val="auto"/>
        </w:rPr>
      </w:pPr>
      <w:r>
        <w:rPr>
          <w:rFonts w:ascii="Calibri" w:cs="Calibri" w:eastAsia="Calibri" w:hAnsi="Calibri"/>
          <w:sz w:val="20"/>
          <w:szCs w:val="20"/>
          <w:color w:val="auto"/>
        </w:rPr>
        <w:t>Precision AQ</w:t>
      </w:r>
    </w:p>
    <w:p>
      <w:pPr>
        <w:spacing w:after="0" w:line="238" w:lineRule="auto"/>
        <w:rPr>
          <w:sz w:val="20"/>
          <w:szCs w:val="20"/>
          <w:color w:val="auto"/>
        </w:rPr>
      </w:pPr>
      <w:r>
        <w:rPr>
          <w:rFonts w:ascii="Calibri" w:cs="Calibri" w:eastAsia="Calibri" w:hAnsi="Calibri"/>
          <w:sz w:val="20"/>
          <w:szCs w:val="20"/>
          <w:color w:val="auto"/>
        </w:rPr>
        <w:t>212.362.1200</w:t>
      </w:r>
    </w:p>
    <w:p>
      <w:pPr>
        <w:spacing w:after="0"/>
        <w:rPr>
          <w:sz w:val="20"/>
          <w:szCs w:val="20"/>
          <w:color w:val="auto"/>
        </w:rPr>
      </w:pPr>
      <w:r>
        <w:rPr>
          <w:rFonts w:ascii="Calibri" w:cs="Calibri" w:eastAsia="Calibri" w:hAnsi="Calibri"/>
          <w:sz w:val="20"/>
          <w:szCs w:val="20"/>
          <w:color w:val="auto"/>
        </w:rPr>
        <w:t>christna.tartaglia@precisionaq.com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2025-03-05T15:08:31Z</dcterms:created>
  <dcterms:modified xsi:type="dcterms:W3CDTF">2025-03-05T15:08:31Z</dcterms:modified>
</cp:coreProperties>
</file>