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920" w:right="1800" w:hanging="3910"/>
        <w:spacing w:after="0" w:line="285" w:lineRule="auto"/>
        <w:tabs>
          <w:tab w:leader="none" w:pos="63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2" w:lineRule="exact"/>
        <w:rPr>
          <w:sz w:val="24"/>
          <w:szCs w:val="24"/>
          <w:color w:val="auto"/>
        </w:rPr>
      </w:pPr>
    </w:p>
    <w:p>
      <w:pPr>
        <w:ind w:left="640" w:hanging="630"/>
        <w:spacing w:after="0"/>
        <w:tabs>
          <w:tab w:leader="none" w:pos="6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tabs>
          <w:tab w:leader="none" w:pos="700" w:val="left"/>
          <w:tab w:leader="none" w:pos="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FATE THERAPEUTICS,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3620" w:type="dxa"/>
            <w:vAlign w:val="bottom"/>
          </w:tcPr>
          <w:p>
            <w:pPr>
              <w:jc w:val="center"/>
              <w:ind w:left="185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Pr>
          <w:p>
            <w:pPr>
              <w:jc w:val="right"/>
              <w:ind w:right="2291"/>
              <w:spacing w:after="0"/>
              <w:rPr>
                <w:sz w:val="20"/>
                <w:szCs w:val="20"/>
                <w:color w:val="auto"/>
              </w:rPr>
            </w:pPr>
            <w:r>
              <w:rPr>
                <w:rFonts w:ascii="Times New Roman" w:cs="Times New Roman" w:eastAsia="Times New Roman" w:hAnsi="Times New Roman"/>
                <w:sz w:val="16"/>
                <w:szCs w:val="16"/>
                <w:b w:val="1"/>
                <w:bCs w:val="1"/>
                <w:color w:val="auto"/>
              </w:rPr>
              <w:t>65-1311552</w:t>
            </w:r>
          </w:p>
        </w:tc>
        <w:tc>
          <w:tcPr>
            <w:tcW w:w="0" w:type="dxa"/>
            <w:vAlign w:val="bottom"/>
          </w:tcPr>
          <w:p>
            <w:pPr>
              <w:spacing w:after="0"/>
              <w:rPr>
                <w:sz w:val="1"/>
                <w:szCs w:val="1"/>
                <w:color w:val="auto"/>
              </w:rPr>
            </w:pPr>
          </w:p>
        </w:tc>
      </w:tr>
      <w:tr>
        <w:trPr>
          <w:trHeight w:val="135"/>
        </w:trPr>
        <w:tc>
          <w:tcPr>
            <w:tcW w:w="3620" w:type="dxa"/>
            <w:vAlign w:val="bottom"/>
          </w:tcPr>
          <w:p>
            <w:pPr>
              <w:jc w:val="center"/>
              <w:ind w:left="18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40" w:type="dxa"/>
            <w:vAlign w:val="bottom"/>
          </w:tcPr>
          <w:p>
            <w:pPr>
              <w:jc w:val="center"/>
              <w:ind w:right="219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620" w:type="dxa"/>
            <w:vAlign w:val="bottom"/>
          </w:tcPr>
          <w:p>
            <w:pPr>
              <w:jc w:val="center"/>
              <w:ind w:left="183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Pr>
          <w:p>
            <w:pPr>
              <w:jc w:val="center"/>
              <w:ind w:right="219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9"/>
        </w:trPr>
        <w:tc>
          <w:tcPr>
            <w:tcW w:w="6980" w:type="dxa"/>
            <w:vAlign w:val="bottom"/>
            <w:gridSpan w:val="5"/>
          </w:tcPr>
          <w:p>
            <w:pPr>
              <w:jc w:val="center"/>
              <w:ind w:right="1460"/>
              <w:spacing w:after="0"/>
              <w:rPr>
                <w:sz w:val="20"/>
                <w:szCs w:val="20"/>
                <w:color w:val="auto"/>
              </w:rPr>
            </w:pPr>
            <w:r>
              <w:rPr>
                <w:rFonts w:ascii="Times New Roman" w:cs="Times New Roman" w:eastAsia="Times New Roman" w:hAnsi="Times New Roman"/>
                <w:sz w:val="16"/>
                <w:szCs w:val="16"/>
                <w:b w:val="1"/>
                <w:bCs w:val="1"/>
                <w:color w:val="auto"/>
              </w:rPr>
              <w:t>12278 Scripps Summit Drive, San Diego, California</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jc w:val="right"/>
              <w:ind w:right="2471"/>
              <w:spacing w:after="0"/>
              <w:rPr>
                <w:sz w:val="20"/>
                <w:szCs w:val="20"/>
                <w:color w:val="auto"/>
              </w:rPr>
            </w:pPr>
            <w:r>
              <w:rPr>
                <w:rFonts w:ascii="Times New Roman" w:cs="Times New Roman" w:eastAsia="Times New Roman" w:hAnsi="Times New Roman"/>
                <w:sz w:val="16"/>
                <w:szCs w:val="16"/>
                <w:b w:val="1"/>
                <w:bCs w:val="1"/>
                <w:color w:val="auto"/>
              </w:rPr>
              <w:t>92131</w:t>
            </w:r>
          </w:p>
        </w:tc>
        <w:tc>
          <w:tcPr>
            <w:tcW w:w="0" w:type="dxa"/>
            <w:vAlign w:val="bottom"/>
          </w:tcPr>
          <w:p>
            <w:pPr>
              <w:spacing w:after="0"/>
              <w:rPr>
                <w:sz w:val="1"/>
                <w:szCs w:val="1"/>
                <w:color w:val="auto"/>
              </w:rPr>
            </w:pPr>
          </w:p>
        </w:tc>
      </w:tr>
      <w:tr>
        <w:trPr>
          <w:trHeight w:val="166"/>
        </w:trPr>
        <w:tc>
          <w:tcPr>
            <w:tcW w:w="6980" w:type="dxa"/>
            <w:vAlign w:val="bottom"/>
            <w:gridSpan w:val="5"/>
          </w:tcPr>
          <w:p>
            <w:pPr>
              <w:jc w:val="center"/>
              <w:ind w:right="14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Pr>
          <w:p>
            <w:pPr>
              <w:jc w:val="center"/>
              <w:ind w:right="219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21"/>
        </w:trPr>
        <w:tc>
          <w:tcPr>
            <w:tcW w:w="3620" w:type="dxa"/>
            <w:vAlign w:val="bottom"/>
          </w:tcPr>
          <w:p>
            <w:pPr>
              <w:spacing w:after="0"/>
              <w:rPr>
                <w:sz w:val="19"/>
                <w:szCs w:val="19"/>
                <w:color w:val="auto"/>
              </w:rPr>
            </w:pPr>
          </w:p>
        </w:tc>
        <w:tc>
          <w:tcPr>
            <w:tcW w:w="3120" w:type="dxa"/>
            <w:vAlign w:val="bottom"/>
            <w:gridSpan w:val="3"/>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(858) 875-1800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p>
        </w:tc>
        <w:tc>
          <w:tcPr>
            <w:tcW w:w="4120" w:type="dxa"/>
            <w:vAlign w:val="bottom"/>
            <w:gridSpan w:val="7"/>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3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620" w:type="dxa"/>
            <w:vAlign w:val="bottom"/>
            <w:tcBorders>
              <w:left w:val="single" w:sz="8" w:color="auto"/>
              <w:bottom w:val="single" w:sz="8" w:color="auto"/>
            </w:tcBorders>
          </w:tcPr>
          <w:p>
            <w:pPr>
              <w:jc w:val="center"/>
              <w:ind w:left="70"/>
              <w:spacing w:after="0" w:line="89" w:lineRule="exact"/>
              <w:rPr>
                <w:sz w:val="20"/>
                <w:szCs w:val="20"/>
                <w:color w:val="auto"/>
              </w:rPr>
            </w:pPr>
            <w:r>
              <w:rPr>
                <w:rFonts w:ascii="Times New Roman" w:cs="Times New Roman" w:eastAsia="Times New Roman" w:hAnsi="Times New Roman"/>
                <w:sz w:val="10"/>
                <w:szCs w:val="10"/>
                <w:b w:val="1"/>
                <w:bCs w:val="1"/>
                <w:color w:val="auto"/>
              </w:rPr>
              <w:t>Title of each class</w:t>
            </w:r>
          </w:p>
        </w:tc>
        <w:tc>
          <w:tcPr>
            <w:tcW w:w="14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gridSpan w:val="2"/>
          </w:tcPr>
          <w:p>
            <w:pPr>
              <w:jc w:val="center"/>
              <w:ind w:right="260"/>
              <w:spacing w:after="0" w:line="89" w:lineRule="exact"/>
              <w:rPr>
                <w:sz w:val="20"/>
                <w:szCs w:val="20"/>
                <w:color w:val="auto"/>
              </w:rPr>
            </w:pPr>
            <w:r>
              <w:rPr>
                <w:rFonts w:ascii="Times New Roman" w:cs="Times New Roman" w:eastAsia="Times New Roman" w:hAnsi="Times New Roman"/>
                <w:sz w:val="10"/>
                <w:szCs w:val="10"/>
                <w:b w:val="1"/>
                <w:bCs w:val="1"/>
                <w:color w:val="auto"/>
              </w:rPr>
              <w:t>Trading symbol(s)</w:t>
            </w: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jc w:val="center"/>
              <w:ind w:right="471"/>
              <w:spacing w:after="0" w:line="89" w:lineRule="exact"/>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bottom w:val="single" w:sz="8" w:color="auto"/>
            </w:tcBorders>
          </w:tcPr>
          <w:p>
            <w:pPr>
              <w:jc w:val="center"/>
              <w:ind w:left="70"/>
              <w:spacing w:after="0" w:line="179"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1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center"/>
              <w:ind w:right="260"/>
              <w:spacing w:after="0" w:line="179" w:lineRule="exact"/>
              <w:rPr>
                <w:sz w:val="20"/>
                <w:szCs w:val="20"/>
                <w:color w:val="auto"/>
              </w:rPr>
            </w:pPr>
            <w:r>
              <w:rPr>
                <w:rFonts w:ascii="Times New Roman" w:cs="Times New Roman" w:eastAsia="Times New Roman" w:hAnsi="Times New Roman"/>
                <w:sz w:val="16"/>
                <w:szCs w:val="16"/>
                <w:b w:val="1"/>
                <w:bCs w:val="1"/>
                <w:color w:val="auto"/>
                <w:w w:val="98"/>
              </w:rPr>
              <w:t>FATE</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ind w:right="451"/>
              <w:spacing w:after="0" w:line="179" w:lineRule="exact"/>
              <w:rPr>
                <w:sz w:val="20"/>
                <w:szCs w:val="20"/>
                <w:color w:val="auto"/>
              </w:rPr>
            </w:pPr>
            <w:r>
              <w:rPr>
                <w:rFonts w:ascii="Times New Roman" w:cs="Times New Roman" w:eastAsia="Times New Roman" w:hAnsi="Times New Roman"/>
                <w:sz w:val="16"/>
                <w:szCs w:val="16"/>
                <w:b w:val="1"/>
                <w:bCs w:val="1"/>
                <w:color w:val="auto"/>
              </w:rPr>
              <w:t>Nasdaq Global Market</w:t>
            </w:r>
          </w:p>
        </w:tc>
        <w:tc>
          <w:tcPr>
            <w:tcW w:w="0" w:type="dxa"/>
            <w:vAlign w:val="bottom"/>
          </w:tcPr>
          <w:p>
            <w:pPr>
              <w:spacing w:after="0"/>
              <w:rPr>
                <w:sz w:val="1"/>
                <w:szCs w:val="1"/>
                <w:color w:val="auto"/>
              </w:rPr>
            </w:pPr>
          </w:p>
        </w:tc>
      </w:tr>
      <w:tr>
        <w:trPr>
          <w:trHeight w:val="244"/>
        </w:trPr>
        <w:tc>
          <w:tcPr>
            <w:tcW w:w="8000" w:type="dxa"/>
            <w:vAlign w:val="bottom"/>
            <w:gridSpan w:val="9"/>
          </w:tcPr>
          <w:p>
            <w:pPr>
              <w:jc w:val="center"/>
              <w:ind w:left="317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4500" w:type="dxa"/>
            <w:vAlign w:val="bottom"/>
            <w:gridSpan w:val="3"/>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4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6"/>
        </w:trPr>
        <w:tc>
          <w:tcPr>
            <w:tcW w:w="6980" w:type="dxa"/>
            <w:vAlign w:val="bottom"/>
            <w:gridSpan w:val="5"/>
          </w:tcPr>
          <w:p>
            <w:pPr>
              <w:ind w:left="52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Yes</w:t>
            </w:r>
          </w:p>
        </w:tc>
        <w:tc>
          <w:tcPr>
            <w:tcW w:w="240" w:type="dxa"/>
            <w:vAlign w:val="bottom"/>
            <w:vMerge w:val="continue"/>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w:t>
            </w:r>
          </w:p>
        </w:tc>
        <w:tc>
          <w:tcPr>
            <w:tcW w:w="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w:t>
            </w: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980" w:type="dxa"/>
            <w:vAlign w:val="bottom"/>
            <w:gridSpan w:val="5"/>
          </w:tcPr>
          <w:p>
            <w:pPr>
              <w:ind w:left="52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Yes</w:t>
            </w:r>
          </w:p>
        </w:tc>
        <w:tc>
          <w:tcPr>
            <w:tcW w:w="24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w:t>
            </w:r>
          </w:p>
        </w:tc>
        <w:tc>
          <w:tcPr>
            <w:tcW w:w="324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0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or No </w:t>
      </w:r>
      <w:r>
        <w:rPr>
          <w:rFonts w:ascii="MS PGothic" w:cs="MS PGothic" w:eastAsia="MS PGothic" w:hAnsi="MS PGothic"/>
          <w:sz w:val="13"/>
          <w:szCs w:val="13"/>
          <w:color w:val="auto"/>
        </w:rPr>
        <w:t>☐</w:t>
      </w:r>
    </w:p>
    <w:p>
      <w:pPr>
        <w:spacing w:after="0" w:line="7" w:lineRule="exact"/>
        <w:rPr>
          <w:sz w:val="24"/>
          <w:szCs w:val="24"/>
          <w:color w:val="auto"/>
        </w:rPr>
      </w:pPr>
    </w:p>
    <w:p>
      <w:pPr>
        <w:ind w:right="26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560" w:firstLine="509"/>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1" w:lineRule="exact"/>
        <w:rPr>
          <w:sz w:val="24"/>
          <w:szCs w:val="24"/>
          <w:color w:val="auto"/>
        </w:rPr>
      </w:pPr>
    </w:p>
    <w:p>
      <w:pPr>
        <w:ind w:right="16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2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30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44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50" w:lineRule="exact"/>
        <w:tabs>
          <w:tab w:leader="none" w:pos="6200" w:val="left"/>
          <w:tab w:leader="none" w:pos="67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20" w:firstLine="509"/>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was approximately $113,000,000 as of June 30, 2025 based upon the closing sale price on The Nasdaq Global Market reported for such date. Shares of common stock held by each executive officer and director and certain holders of more than 10% of the outstanding shares of the registrant’s common stock have been excluded in that such persons may be deemed to be affiliates. Shares of common stock held by other persons, including certain other holders of more than 10% of the outstanding shares of common stock, have not been excluded in that such persons are not deemed to be affiliates. This determination of affiliate status is not necessarily a conclusive determination for other purposes.</w:t>
      </w:r>
    </w:p>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The number of outstanding shares of the registrant’s common stock, par value $0.001 per share, as of February 19, 2026 was 116,263,459.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6" w:lineRule="exact"/>
        <w:rPr>
          <w:sz w:val="24"/>
          <w:szCs w:val="24"/>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Securities and Exchange Commission, or SEC, on or before the date 120 days after the conclusion of the registrant’s fiscal year ended December 31, 2025 pursuant to Regulation 14A, in connection with the registrant’s 2026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FATE THERAPEUTICS, INC.</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00" w:type="dxa"/>
            <w:vAlign w:val="bottom"/>
            <w:gridSpan w:val="1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32"/>
            <w:vMerge w:val="continue"/>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20" w:type="dxa"/>
            <w:vAlign w:val="bottom"/>
            <w:tcBorders>
              <w:top w:val="single" w:sz="8" w:color="0000FF"/>
            </w:tcBorders>
            <w:gridSpan w:val="4"/>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360" w:type="dxa"/>
            <w:vAlign w:val="bottom"/>
            <w:gridSpan w:val="3"/>
          </w:tcPr>
          <w:p>
            <w:pPr>
              <w:spacing w:after="0"/>
              <w:rPr>
                <w:sz w:val="17"/>
                <w:szCs w:val="17"/>
                <w:color w:val="auto"/>
              </w:rPr>
            </w:pP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64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Equity Securities</w:t>
            </w:r>
          </w:p>
        </w:tc>
        <w:tc>
          <w:tcPr>
            <w:tcW w:w="268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8"/>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2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00" w:type="dxa"/>
            <w:vAlign w:val="bottom"/>
            <w:gridSpan w:val="2"/>
          </w:tcPr>
          <w:p>
            <w:pPr>
              <w:spacing w:after="0"/>
              <w:rPr>
                <w:sz w:val="17"/>
                <w:szCs w:val="17"/>
                <w:color w:val="auto"/>
              </w:rPr>
            </w:pP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432"/>
        </w:trPr>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common stock.</w:t>
      </w:r>
    </w:p>
    <w:p>
      <w:pPr>
        <w:spacing w:after="0" w:line="74" w:lineRule="exact"/>
        <w:rPr>
          <w:sz w:val="20"/>
          <w:szCs w:val="20"/>
          <w:color w:val="auto"/>
        </w:rPr>
      </w:pPr>
    </w:p>
    <w:p>
      <w:pPr>
        <w:ind w:left="1020" w:right="16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programs represent novel therapeutic approaches to treating disease, and our product candidates may fail to demonstrate the safety, potency, durability, and efficacy necessary to support further development or commercialization, or may cause undesirable side effects or have other properties that could delay or halt their preclinical or clinical development, prevent their regulatory approval, limit their commercial potential or result in significant negative consequences. If we fail to complete the preclinical or clinical development of, or to obtain regulatory approval for, our product candidates on a timely basis or at all, our business would be significantly harmed.</w:t>
      </w:r>
    </w:p>
    <w:p>
      <w:pPr>
        <w:spacing w:after="0" w:line="79"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 candidates will require substantial additional funding, which, if available, may cause dilution to our stockholders, and without which we will be unable to complete preclinical or clinical development of, or obtain regulatory approval for, our product candidates. Additionally, we may not be able to secure adequate funding on acceptable terms or on a timely basis.</w:t>
      </w:r>
    </w:p>
    <w:p>
      <w:pPr>
        <w:spacing w:after="0" w:line="67"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for novel product candidates such as ours is particularly uncertain, and our product candidates could fail to receive regulatory approval from the FDA or a comparable foreign regulatory authority for many reasons, including disagreement with applicable regulatory authorities on the design or conduct of our clinical studies, on our interpretation of data from clinical studies, or on the methodologies for, and assessment of, comparability of different versions of a product candidate used in non-pivotal studies, pivotal studies and for intended commercial use, and disagreement with applicable regulatory authorities, changes in approval policies or regulations, or changes in positions, guidance or feedback communicated by applicable regulatory authorities, that render our preclinical or clinical data insufficient to support approval or otherwise negatively impact the potential approval of a product candidate.</w:t>
      </w:r>
    </w:p>
    <w:p>
      <w:pPr>
        <w:spacing w:after="0" w:line="80"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induced pluripotent stem cell (iPSC) product platform enables the production of next-generation product candidates, and we have multiple iPSC-derived cell product candidates currently undergoing clinical and preclinical development. We may elect to deprioritize or discontinue the clinical development of one or more of our product candidates for any number of reasons, including due to our prioritization of product candidates, data or results from our ongoing clinical trials, and the competitive therapeutic landscape for which our product candidates are being developed. In addition, one or more of our product candidates undergoing clinical development may have therapeutic potential in more than one disease area, and we may elect to prioritize clinical development in one disease area over another disease area.</w:t>
      </w:r>
    </w:p>
    <w:p>
      <w:pPr>
        <w:spacing w:after="0" w:line="8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iPSC technology and gene-editing technology in the creation of our product candidates. If we are unable to use these technologies in the creation of our product candidates, our business would be significantly harmed.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in initiating, conducting or completing our clinical trials, including difficulties recruiting appropriate clinical trial investigators, enrolling patients in our clinical trials, or manufacturing adequate clinical supplies, and we may not be able to initiate, conduct or complete our clinical trials at all.</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from other biotechnology and pharmaceutical companies, and our operating results will suffer if we fail to compete effectively, including with respect to the recruitment of patients and investigative sites to participate in our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preliminary data from our preclinical studies or clinical trials may change as more data becomes available and are subject to audit and verification procedures that could result in material changes in the final data. Furthermore, results from our ongoing or future clinical trials involving our product candidates may differ materially from initial, interim and preliminary data as well as previous study results.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distribution of our product candidates is complex and subject to a multitude of risks. Additionally, the U.S. Food and Drug Administration (FDA) or foreign regulatory authorities may impose additional requirements on our manufacturing operations. These risks and requirements could substantially limit our supply of our product candidates and increase our costs, and the development and commercialization of our product candidates could be significantly delayed or restricted.</w:t>
      </w:r>
    </w:p>
    <w:p>
      <w:pPr>
        <w:spacing w:after="0" w:line="71"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FDA, SEC, the National Institutes of Health and other government agencies, as well as changes in personnel and policy priorities at these agencies, could disrupt such agencies’ operations and, in turn, hinder our ability to develop or commercialize new products in a timely manner or otherwise negatively impact our business.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3" w:name="page4"/>
    <w:bookmarkEnd w:id="3"/>
    <w:p>
      <w:pPr>
        <w:ind w:left="503" w:right="4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manufacturing our product candidates on a clinical scale, and no experience manufacturing on a commercial scale. Any failure to manufacture sufficient quantities of our product candidates consistently and at acceptable quality and costs may result in delays to our clinical development plans and impair our ability to obtain approval for, or commercialize, our product candidates and would materially and adversely affect our business.</w:t>
      </w:r>
    </w:p>
    <w:p>
      <w:pPr>
        <w:spacing w:after="0" w:line="71" w:lineRule="exact"/>
        <w:rPr>
          <w:rFonts w:ascii="Times New Roman" w:cs="Times New Roman" w:eastAsia="Times New Roman" w:hAnsi="Times New Roman"/>
          <w:sz w:val="18"/>
          <w:szCs w:val="18"/>
          <w:color w:val="auto"/>
        </w:rPr>
      </w:pPr>
    </w:p>
    <w:p>
      <w:pPr>
        <w:ind w:left="503" w:right="3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including sole source suppliers, for certain equipment and components used in the production of our product candidates, and the loss of suppliers could adversely impact our ability to conduct our clinical trials.</w:t>
      </w:r>
    </w:p>
    <w:p>
      <w:pPr>
        <w:spacing w:after="0" w:line="53" w:lineRule="exact"/>
        <w:rPr>
          <w:rFonts w:ascii="Times New Roman" w:cs="Times New Roman" w:eastAsia="Times New Roman" w:hAnsi="Times New Roman"/>
          <w:sz w:val="18"/>
          <w:szCs w:val="18"/>
          <w:color w:val="auto"/>
        </w:rPr>
      </w:pPr>
    </w:p>
    <w:p>
      <w:pPr>
        <w:ind w:left="503" w:right="6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recruiting and retaining key personnel due to labor market changes, availability of qualified candidates, and competition for employees from other companies.</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 fluctuations and inflationary pressures, including increases in prices of materials and costs of labor, which may adversely impact our operating performance, expenses, cash utilization and results.</w:t>
      </w:r>
    </w:p>
    <w:p>
      <w:pPr>
        <w:spacing w:after="0" w:line="53" w:lineRule="exact"/>
        <w:rPr>
          <w:rFonts w:ascii="Times New Roman" w:cs="Times New Roman" w:eastAsia="Times New Roman" w:hAnsi="Times New Roman"/>
          <w:sz w:val="18"/>
          <w:szCs w:val="18"/>
          <w:color w:val="auto"/>
        </w:rPr>
      </w:pPr>
    </w:p>
    <w:p>
      <w:pPr>
        <w:ind w:left="503" w:right="18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strategic partnerships and collaboration arrangements for the development and commercialization of certain of our product candidates in certain indications or geographic territories, and if these arrangements are unsuccessful or are terminated, this could result in delays and other obstacles in the development, manufacture or commercialization of any of our product candidates and materially harm our results of operations.</w:t>
      </w:r>
    </w:p>
    <w:p>
      <w:pPr>
        <w:spacing w:after="0" w:line="71"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that we will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intellectual property license agreements, we could lose rights to our product candidates or key technologies.</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regulatory approval from the FDA or comparable foreign regulatory authorities for our product candidates, which would prevent or delay commercialization of our products.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53"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will depend upon the degree of market acceptance by physicians, patients, third-party payers and others in the medical community and may require additional evidence to support the anticipated benefits, comparative risks, and costs.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 and adversely impact our operations.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may be able to exercise significant control over our company.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subject to fluctuation based on a variety of factors.</w:t>
      </w:r>
    </w:p>
    <w:p>
      <w:pPr>
        <w:spacing w:after="0" w:line="117"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qualify as a “smaller reporting company” and a “non-accelerated filer,” and any decision on our part to comply with only certain reduced reporting and disclosure requirements applicable to such companies could make our stock less attractive to investors.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conditions, any continued and prolonged public health emergency, global geopolitical tensions, including wars and other armed conflicts, or significant political, trade, economic or regulatory developments in the jurisdictions in which we may develop or commercialize our product candidates or conduct our operations, could adversely impact various aspects of our business, results of operations and financial condition, and could cause disruptions to our supply chain and the development and manufacture of our product candidates.</w:t>
      </w:r>
    </w:p>
    <w:p>
      <w:pPr>
        <w:spacing w:after="0" w:line="18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15" w:right="339" w:bottom="144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summary risk factors described above should be read together with the text of the full risk factors below, in the section 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w:t>
      </w:r>
    </w:p>
    <w:p>
      <w:pPr>
        <w:ind w:right="60"/>
        <w:spacing w:after="0" w:line="260" w:lineRule="auto"/>
        <w:rPr>
          <w:sz w:val="20"/>
          <w:szCs w:val="20"/>
          <w:color w:val="auto"/>
        </w:rPr>
      </w:pPr>
      <w:r>
        <w:rPr>
          <w:rFonts w:ascii="Times New Roman" w:cs="Times New Roman" w:eastAsia="Times New Roman" w:hAnsi="Times New Roman"/>
          <w:sz w:val="18"/>
          <w:szCs w:val="18"/>
          <w:b w:val="1"/>
          <w:bCs w:val="1"/>
          <w:color w:val="auto"/>
        </w:rPr>
        <w:t>Additional risks and uncertainties not precisely known to us or that we currently deem to be immaterial may also materially adversely affect our business, financial condition, results of operations and future growth prospects.</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7" w:right="4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represent our intent, belief, or current expectations, and that involve risks and uncertainties, and other factors, as well as assumptions that, even if they never materialize or prove incorrect, could cause our results and the timing of certain events to differ materially from future results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or similar expressions. These forward-looking statements include, but are not limited to, statements about:</w:t>
      </w:r>
    </w:p>
    <w:p>
      <w:pPr>
        <w:spacing w:after="0" w:line="8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size, duration, costs and results of our clinical trials and preclinical studies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timing to advance our product candidates in, and to successfully initiate, conduct, enroll and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differentiation and potential of our product candidates, and the disease indications for which we intend to develop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and our ability to obtain and maintain, regulatory clearance of our Investigational New Drug (IND) applications for and regulatory approval of our product candidates;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technology platform, including our iPSC product platform, and our ability to leverage our platform in our research, development and commercialization activities for our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for clinical development and, if approved, for commercialization, and the timing and costs of such manufacture;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clinical and, if approved, commercial materials and supplies used to manufacture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in connection with the development of our product candidates, including third parties conducting our clinical trials as well as third-party suppliers;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successfully partner with, and retain strategic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and our ability, and the ability of our collaborators, to successfully develop product candidates under the respective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initiate and complete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actual or potential collaborators, to commercialize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approval pathways in the United States and foreign countries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rights;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licensors, to obtain, maintain, defend and enforce intellectual property rights protecting our product candidates, and our ability to develop and commercialize our product candidates without infringing the proprietary rights of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revenues and need for additional financing;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9" w:right="379" w:bottom="1440" w:gutter="0" w:footer="0" w:header="0"/>
        </w:sectPr>
      </w:pPr>
    </w:p>
    <w:bookmarkStart w:id="6" w:name="page7"/>
    <w:bookmarkEnd w:id="6"/>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rapidly evolving therapeutic technologies and respond to other developments relating to our competitors and our industry;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Part I, Item 1A. Risk Factors of this Annual Report on Form 10-K.</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77"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unless the context requires otherwise, “Fate Therapeutics,” “Company,” “we,” “our,” and “us” means Fate Therapeutics, Inc. and its subsidiaries.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bringing a transformative pipeline of off-the-shelf cellular immunotherapies to patients.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pioneered a therapeutic approach that we generally refer to as cellular programming: we create and engineer human induced pluripotent stem cells (iPSCs) to incorporate novel synthetic controls of cell function; after the engineering step that incorporates multiple functional elements into the iPSCs, we generate a clonal master iPSC line for use as a renewable source of starting material for the manufacture of cell therapies; through the manufacturing process, we direct the fate of the clonal master iPSC line to produce our cell therapy product candidates that are uniform in composition. Analogous to master cell lines used to manufacture biopharmaceutical drug products such as monoclonal antibodies, we believe our proprietary clonal master iPSC lines can be used to mass produce multiplexed-engineered, cellular immunotherapies which have off-the-shelf and on-demand availability, and that can be administered alone or in combination with standard-of-care therapies, to make cell therapies accessible to all.</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Utilizing our iPSC product platform, we are developing off-the-shelf, multiplexed-engineered T-cell and natural killer (NK) cell product candidates which are selectively designed and incorporate novel synthetic controls of cell function to uniquely enhance the therapeutic capacity of the drug product to deliver multiple therapeutic mechanisms to patients. We have a pipeline of iPSC-derived, chimeric antigen receptor (CAR)-targeted T-cell and NK cell product candidates currently under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262890</wp:posOffset>
            </wp:positionV>
            <wp:extent cx="6172200" cy="2854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use of human cells as therapeutic entities has disease-transforming potential across a broad spectrum of severe, life-threatening diseases. One particular form of cell therapy, CAR T-cell therapy, has emerged as a revolutionary and potentially curative treatment for patients with certain hematologic malignancies. In fact, multiple CAR T-cell therapies have now been approved by the United States Food and Drug Administration (FDA) for a number of disease indications, including relapsed / refractory B-cell malignancies and relapsed / refractory multiple myeloma. Additionally, several groups have demonstrated use of CAR T-cell therapy for the treatment of autoimmune diseases including systemic lupus erythematosus, idiopathic inflammatory myositis, systemic sclerosis, and myasthenia gravis.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8" w:name="page9"/>
    <w:bookmarkEnd w:id="8"/>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Cell therapies approved for commercialization, as well as those undergoing clinical development, today most often rely on the use of autologous, or a patient’s own, cells and are generally only available for patient treatment at a limited number of specialized medical centers. Sourcing, engineering, expanding and delivering cells patient-by-patient is logistically complex and expensive, resource intensive, and challenging to manufacture as the drug product is often heterogeneous in consistency with batch-to-batch variability. Furthermore, the widespread use of viral vectors to deliver genetic information into the patient’s T cells continues to raise long-term safety concerns. Significant hurdles remain to ensure that autologous cell therapies can be consistently manufactured and reliably delivered at the scale necessary to support broad patient access. While donor-derived allogeneic cell therapies offer some solutions, challenges remain with respect to uniformity of the engineered drug product, limited ability to incorporate multiple functions through engineering, reduced capabilities to scale the manufacture process, and donor-to-donor variability.</w:t>
      </w:r>
    </w:p>
    <w:p>
      <w:pPr>
        <w:spacing w:after="0" w:line="8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believe iPSCs, which possess the unique dual properties of unlimited self-renewal and differentiation potential into all cell types of the body, can be used to overcome key limitations inherent to the manufacture, development and commercialization of today’s cell therapies. We have established a proprietary iPSC product platform and have amassed significant internal expertise in the production of off-the-shelf, multiplexed-engineered, T-cell and NK cell product candidates for therapeutic use. Our proprietary iPSC product platform includes: generating, engineering, isolating and characterizing single-cell iPSC clones; creating, qualifying, and cryopreserving clonal master iPSC lines; differentiating clonal master cell iPSC lines to produce T cells and NK cells at scale; and cryopreserving and storing these T cells and NK cells under conditions that support multi-year stability. Our cell product candidates can be mass-produced at significant scale in a cost-effective manner, are well-defined and uniform in composition, and can be stored in inventory and delivered off-the-shelf to maximize patient reach and accessibility. Our proprietary iPSC product platform is supported by an intellectual property portfolio of over 600 issued patents and 550 pending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-356870</wp:posOffset>
            </wp:positionV>
            <wp:extent cx="28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operate a 40,000+ square foot fully integrated Good Manufacturing Practice (GMP) facility for manufacturing of our iPSC-derived CAR T-cell and CAR NK cell product candidates that is intended to support all phases of clinical development as well as initial commercialization. We believe our therapeutic approach is highly differentiated and has the potential to overcome numerous challenges associated with today’s cell therapies, address significant unmet need, and broadly deliver transformative medical benefits for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mission is to bring off-the-shelf cellular immunotherapies with disease-transforming potential initially to patients with autoimmune diseases and cancer. The key pillars of our strategy include:</w:t>
      </w:r>
    </w:p>
    <w:p>
      <w:pPr>
        <w:spacing w:after="0" w:line="50" w:lineRule="exact"/>
        <w:rPr>
          <w:sz w:val="20"/>
          <w:szCs w:val="20"/>
          <w:color w:val="auto"/>
        </w:rPr>
      </w:pPr>
    </w:p>
    <w:p>
      <w:pPr>
        <w:ind w:left="1020" w:right="8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therapeutic differentiation with FT819 for the treatment of Systemic Lupus Erythematosus (SLE) with and without lupus nephritis. </w:t>
      </w:r>
      <w:r>
        <w:rPr>
          <w:rFonts w:ascii="Times New Roman" w:cs="Times New Roman" w:eastAsia="Times New Roman" w:hAnsi="Times New Roman"/>
          <w:sz w:val="18"/>
          <w:szCs w:val="18"/>
          <w:color w:val="auto"/>
        </w:rPr>
        <w:t>Autoimmune diseases affect organs throughout the body and are often characterized by the presence of auto-antibodies,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produced by aberrant B cells and can attack healthy cells and tissues. The chronic and debilitating nature of these diseases results in substantial medical expenses and a low quality of life, creating a significant burden for patients, their families and the health care system. Current treatment options for SLE, with or without lupus nephritis, include corticosteroids, immunosuppressive medications, and biologics; however, these treatments often require long-term use, are associated with life-threatening side effects, and fail to provide adequate disease control.</w:t>
      </w:r>
    </w:p>
    <w:p>
      <w:pPr>
        <w:spacing w:after="0" w:line="78" w:lineRule="exact"/>
        <w:rPr>
          <w:rFonts w:ascii="Times New Roman" w:cs="Times New Roman" w:eastAsia="Times New Roman" w:hAnsi="Times New Roman"/>
          <w:sz w:val="18"/>
          <w:szCs w:val="18"/>
          <w:color w:val="auto"/>
        </w:rPr>
      </w:pPr>
    </w:p>
    <w:p>
      <w:pPr>
        <w:ind w:left="102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believe FT819, our off-the-shelf, iPSC-derived, CD19-targeted CAR T-cell product candidate, designed to balance safety and efficacy, has the potential to eliminate disease-causing B cells, enable reconstitution of a healthy immune cell compartment, and induce complete and durable responses in B cell-mediated autoimmune diseases. This approach is supported by a ground-breaking academic clinical study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September 2022, in which patients with SLE received intensive conditioning chemotherapy, consisting of multi-day dosing of cyclophosphamide (Cy) and fludarabine (Flu), followed by an investigational autologous CD19-targeted CAR T-cell therapy. The treatment induced rapid B-cell depletion and elimination of auto-antibody production, leading to clinical remission. Recovery of a naïve B-cell compartment occurred several months after treatment, enabling an “immune rebalance” without signs of humoral autoimmunity for the first five patients.</w:t>
      </w:r>
    </w:p>
    <w:p>
      <w:pPr>
        <w:spacing w:after="0" w:line="83" w:lineRule="exact"/>
        <w:rPr>
          <w:rFonts w:ascii="Times New Roman" w:cs="Times New Roman" w:eastAsia="Times New Roman" w:hAnsi="Times New Roman"/>
          <w:sz w:val="18"/>
          <w:szCs w:val="18"/>
          <w:color w:val="auto"/>
        </w:rPr>
      </w:pPr>
    </w:p>
    <w:p>
      <w:pPr>
        <w:ind w:left="102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 multi-center, Phase 1 clinical trial of FT819 for the treatment of moderate-to-severe SLE, with treatment sites in the United States, United Kingdom (U.K.), and European Union (EU). In contrast to treatment with autologous CAR T-cell therapy, patients enrolled in our Phase 1 clinical study are not required to undergo apheresis, are treated with a less intense flu-free conditioning regimen and receive FT819 on-demand without discontinuing their current treatment, which increases patient accessibility and reach. In addition, our Phase 1 clinical trial includes the opportunity for patients to receive FT819 as an add-on to current maintenance therapy in the absence of conditioning chemotherapy, an approach that combines the potency of a CAR T cell with the availability and accessibility of traditional medicine.</w:t>
      </w:r>
    </w:p>
    <w:p>
      <w:pPr>
        <w:spacing w:after="0" w:line="80" w:lineRule="exact"/>
        <w:rPr>
          <w:rFonts w:ascii="Times New Roman" w:cs="Times New Roman" w:eastAsia="Times New Roman" w:hAnsi="Times New Roman"/>
          <w:sz w:val="18"/>
          <w:szCs w:val="18"/>
          <w:color w:val="auto"/>
        </w:rPr>
      </w:pPr>
    </w:p>
    <w:p>
      <w:pPr>
        <w:ind w:left="102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were granted regenerative medicine advanced therapy (RMAT) designation by the FDA for FT819 to treat moderate-to-severe SLE. The RMAT designation was established under the 21st Century Cures Act to expedite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 w:name="page10"/>
    <w:bookmarkEnd w:id="9"/>
    <w:p>
      <w:pPr>
        <w:ind w:left="503"/>
        <w:spacing w:after="0" w:line="253" w:lineRule="auto"/>
        <w:rPr>
          <w:sz w:val="20"/>
          <w:szCs w:val="20"/>
          <w:color w:val="auto"/>
        </w:rPr>
      </w:pPr>
      <w:r>
        <w:rPr>
          <w:rFonts w:ascii="Times New Roman" w:cs="Times New Roman" w:eastAsia="Times New Roman" w:hAnsi="Times New Roman"/>
          <w:sz w:val="18"/>
          <w:szCs w:val="18"/>
          <w:color w:val="auto"/>
        </w:rPr>
        <w:t>development and review of regenerative medicine therapies for serious or life-threatening diseases or conditions. Our RMAT application included initial clinical safety and activity data from patients treated with FT819 in its ongoing multi-center, Phase 1 clinical trial. We plan to pursue differentiated treatment approaches, including treatment of patients in community settings without hospitalization, and novel registrational strategies with the FDA under its RMAT designation. We received authorization from the Medicines and Healthcare products Regulatory Agency (MHRA) in August 2025 and from the European Medicines Agency (EMA) in October 2025 to initiate clinical trials of FT819 in the U.K. and EU, respectively. We plan to continue to expand our clinical investigation outside of the United States in 2026. We believe our therapeutic approach with FT819 and its accessibility is highly differentiated and may offer a more convenient and favorable experience for patients, including outpatient treatment. We intend to continue the regulatory development of FT819 in SLE, with the submission of a Phase 2 registration-enabling clinical protocol in lupus nephritis and subsequently investigate the potential of FT819 as a treatment for extrarenal lupus in a second trial, with the ultimate goal to advance to biologics license application (BLA) filing over the course of the next several years.</w:t>
      </w:r>
    </w:p>
    <w:p>
      <w:pPr>
        <w:spacing w:after="0" w:line="80" w:lineRule="exact"/>
        <w:rPr>
          <w:sz w:val="20"/>
          <w:szCs w:val="20"/>
          <w:color w:val="auto"/>
        </w:rPr>
      </w:pPr>
    </w:p>
    <w:p>
      <w:pPr>
        <w:ind w:left="503" w:right="100" w:hanging="503"/>
        <w:spacing w:after="0" w:line="253"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clinical footprint of our iPSC product platform within the field of autoimmunity, including initiating clinical investigations in additional B cell-mediated autoimmune diseases. </w:t>
      </w:r>
      <w:r>
        <w:rPr>
          <w:rFonts w:ascii="Times New Roman" w:cs="Times New Roman" w:eastAsia="Times New Roman" w:hAnsi="Times New Roman"/>
          <w:sz w:val="18"/>
          <w:szCs w:val="18"/>
          <w:color w:val="auto"/>
        </w:rPr>
        <w:t>The prevalence of autoimmune diseases is both widespread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with over 80 known autoimmune diseases affecting up to 8% of the U.S. population. Since the targeting and deep depletion of B cells may be a key mechanism of action to enable an immune rebalance and durable clinical responses across autoimmune diseases, we plan to expand our clinical investigation of FT819 within the field of autoimmunity. In December 2024, we reached agreement with the FDA to allow for the clinical investigation of additional B cell-mediated autoimmune diseases under our current Phase 1 clinical trial of FT819. In February 2025, we amended our clinical protocol to include three additional diseases: anti-neutrophil cytoplasmic antibody-associated vasculitis (AAV), idiopathic inflammatory myositis (IIM), and systemic sclerosis (SSc). With completion of the dose-escalation cohort for the second dose level (900 million cells) in SLE, we have initiated dose-expansion cohorts in SSc, AAV and IIM. In October 2025, we treated our first SSc patient and are pursuing the treatment of additional patients. We believe the independent assessment of multiple B cell-mediated autoimmune diseases under one Phase 1 basket study enables the most cost-effective and efficient pathway for broad clinical development.</w:t>
      </w:r>
    </w:p>
    <w:p>
      <w:pPr>
        <w:spacing w:after="0" w:line="85" w:lineRule="exact"/>
        <w:rPr>
          <w:rFonts w:ascii="Times New Roman" w:cs="Times New Roman" w:eastAsia="Times New Roman" w:hAnsi="Times New Roman"/>
          <w:sz w:val="18"/>
          <w:szCs w:val="18"/>
          <w:color w:val="auto"/>
        </w:rPr>
      </w:pPr>
    </w:p>
    <w:p>
      <w:pPr>
        <w:ind w:left="503"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a new investigational new drug (IND) application was allowed by the FDA to initiate clinical development of FT522, our off-the-shelf, CD19-targeted CAR NK cell product candidate, for the treatment of certain B cell-mediated autoimmune diseases.</w:t>
      </w:r>
    </w:p>
    <w:p>
      <w:pPr>
        <w:spacing w:after="0" w:line="53" w:lineRule="exact"/>
        <w:rPr>
          <w:rFonts w:ascii="Times New Roman" w:cs="Times New Roman" w:eastAsia="Times New Roman" w:hAnsi="Times New Roman"/>
          <w:sz w:val="18"/>
          <w:szCs w:val="18"/>
          <w:color w:val="auto"/>
        </w:rPr>
      </w:pPr>
    </w:p>
    <w:p>
      <w:pPr>
        <w:ind w:left="503"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there is a significant opportunity to combine, in the absence of conditioning chemotherapy, FT522 with CD20 or CD38 targeted antibodies to drive deeper B-cell depletion, and achieve higher rates of clinical remissions, for the treatment of autoimmune diseases. FT522 incorporates a proprietary high-affinity, non-cleavable CD16 (hnCD16) Fc receptor, which has two differentiated features designed to synergize with monoclonal antibody therapy and augment antibody-dependent cellular cytotoxicity (ADCC): a high-affinity homozygous 158V variant to promote binding to the Fc domain of IgG antibodies, and a modification to block its cleavage and down-regulation upon receptor activation. In addition, FT522 is our first product candidate that incorporates our novel Alloimmune Defense Receptor (ADR) technology, which is designed to reduce or eliminate the need for administration of intense conditioning chemotherapy to patients receiving cellular immunotherapy. These attributes may create therapeutic differentiation for FT522 by enabling a more favorable safety profile, treatment in the community setting, and a broader commercial opportunity. We continue to evaluate opportunities and timelines for the clinical development of FT522 in autoimmune diseases.</w:t>
      </w:r>
    </w:p>
    <w:p>
      <w:pPr>
        <w:spacing w:after="0" w:line="82" w:lineRule="exact"/>
        <w:rPr>
          <w:rFonts w:ascii="Times New Roman" w:cs="Times New Roman" w:eastAsia="Times New Roman" w:hAnsi="Times New Roman"/>
          <w:sz w:val="18"/>
          <w:szCs w:val="18"/>
          <w:color w:val="auto"/>
        </w:rPr>
      </w:pPr>
    </w:p>
    <w:p>
      <w:pPr>
        <w:ind w:left="503" w:right="80" w:hanging="503"/>
        <w:spacing w:after="0" w:line="25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 and develop off-the-shelf, multiplexed-engineered CAR T-cell immunotherapies that incorporate multiple novel mechanisms of action for the treatment of solid tumors. </w:t>
      </w:r>
      <w:r>
        <w:rPr>
          <w:rFonts w:ascii="Times New Roman" w:cs="Times New Roman" w:eastAsia="Times New Roman" w:hAnsi="Times New Roman"/>
          <w:sz w:val="18"/>
          <w:szCs w:val="18"/>
          <w:color w:val="auto"/>
        </w:rPr>
        <w:t>While autologous CAR T-cell therapies have emerged as highly effective treatments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relapsed / refractory hematologic malignancies, adoption of FDA-approved CAR T-cell therapy has been relatively modest to date due to complex logistics, high cost, and toxicities that necessitate administration only in specialized centers with intensive care units, as compared to more accessible outpatient infusion centers and community hospitals. In addition, successful development of autologous CAR T-cell therapies for the treatment of solid tumors has been hampered by on-target, off-tumor toxicities, inefficient CAR T-cell trafficking to the tumor, and modest efficacy. Today, there are no FDA-approved CAR T-cell therapies for the treatment of solid tumors.</w:t>
      </w:r>
    </w:p>
    <w:p>
      <w:pPr>
        <w:spacing w:after="0" w:line="78" w:lineRule="exact"/>
        <w:rPr>
          <w:rFonts w:ascii="Times New Roman" w:cs="Times New Roman" w:eastAsia="Times New Roman" w:hAnsi="Times New Roman"/>
          <w:sz w:val="18"/>
          <w:szCs w:val="18"/>
          <w:color w:val="auto"/>
        </w:rPr>
      </w:pPr>
    </w:p>
    <w:p>
      <w:pPr>
        <w:ind w:left="503"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advancing CAR T-cell product candidates that incorporate multiple novel synthetic controls selectively designed to overcome key mechanisms that limit CAR T-cell safety and efficacy in treating solid tumors. For example, our first multiplexed-engineered CAR T-cell product candidate for the treatment of solid tumors is FT825, which is currently undergoing Phase 1 clinical investigation in collaboration with Ono Pharmaceutical. FT825 incorporates seven novel synthetic controls of cell function including a novel binding domain targeting human epidermal growth factor receptor 2 (HER2), which is derived from a cancer-specific monoclonal antibody and has been shown in preclinical studies to overcome on-target, off-tumor toxicities by preferentially recognizing tumor-associated variants of HER2. FT825 also incorporates a novel synthetic CXCR2 receptor to promote effector cell trafficking to the tumor site, a novel</w:t>
      </w:r>
    </w:p>
    <w:p>
      <w:pPr>
        <w:spacing w:after="0" w:line="189"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215" w:right="359" w:bottom="1440" w:gutter="0" w:footer="0" w:header="0"/>
        </w:sectPr>
      </w:pPr>
    </w:p>
    <w:bookmarkStart w:id="10" w:name="page11"/>
    <w:bookmarkEnd w:id="10"/>
    <w:p>
      <w:pPr>
        <w:ind w:left="503" w:right="300"/>
        <w:spacing w:after="0" w:line="282" w:lineRule="auto"/>
        <w:rPr>
          <w:sz w:val="20"/>
          <w:szCs w:val="20"/>
          <w:color w:val="auto"/>
        </w:rPr>
      </w:pPr>
      <w:r>
        <w:rPr>
          <w:rFonts w:ascii="Times New Roman" w:cs="Times New Roman" w:eastAsia="Times New Roman" w:hAnsi="Times New Roman"/>
          <w:sz w:val="18"/>
          <w:szCs w:val="18"/>
          <w:color w:val="auto"/>
        </w:rPr>
        <w:t>synthetic TGFβ receptor to resist immunosuppressive signals in the tumor microenvironment, and our proprietary hnCD16 Fc receptor to support targeting of additional cancer antigen when combined with therapeutic antibodies.</w:t>
      </w:r>
    </w:p>
    <w:p>
      <w:pPr>
        <w:spacing w:after="0" w:line="54" w:lineRule="exact"/>
        <w:rPr>
          <w:sz w:val="20"/>
          <w:szCs w:val="20"/>
          <w:color w:val="auto"/>
        </w:rPr>
      </w:pPr>
    </w:p>
    <w:p>
      <w:pPr>
        <w:ind w:left="503" w:right="60"/>
        <w:spacing w:after="0" w:line="246" w:lineRule="auto"/>
        <w:rPr>
          <w:sz w:val="20"/>
          <w:szCs w:val="20"/>
          <w:color w:val="auto"/>
        </w:rPr>
      </w:pPr>
      <w:r>
        <w:rPr>
          <w:rFonts w:ascii="Times New Roman" w:cs="Times New Roman" w:eastAsia="Times New Roman" w:hAnsi="Times New Roman"/>
          <w:sz w:val="18"/>
          <w:szCs w:val="18"/>
          <w:color w:val="auto"/>
        </w:rPr>
        <w:t>As part of our next-generation CAR T-cells program, we have developed FT836, an innovative off-the-shelf CAR T-cell product candidate targeting major histocompatibility complex (MHC) proteins A (MICA) and B (MICB). While the expression of MICA/B cell-surface stress proteins is uniquely detectable across many types of cancer cells with limited expression on healthy tissue, the proteolytic cleavage and shedding of MICA/B is a common mechanism of tumor escape. We have designed FT836 to target a specific domain of MICA/B that is resistant to shedding as a potential pan-tumor targeting strategy. FT836 incorporates a total of 9 edits that in addition to its CAR targeting MICA/B include hnCD16 that enables ADCC when combined with therapeutic monoclonal antibodies, complementing CAR specificity and providing additional antigen / immune cell coverage, and Sword &amp; Shield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technology to avoid the need for conditioning chemotherapy. We believe the novel targeting strategy of FT836 coupled with its ability to be combined with standard-of-care treatment regimens, such as therapeutic monoclonal antibodies, can significantly improve patient outcomes in the treatment of solid tumors while also supporting broad patient accessibility.</w:t>
      </w:r>
    </w:p>
    <w:p>
      <w:pPr>
        <w:spacing w:after="0" w:line="89" w:lineRule="exact"/>
        <w:rPr>
          <w:sz w:val="20"/>
          <w:szCs w:val="20"/>
          <w:color w:val="auto"/>
        </w:rPr>
      </w:pPr>
    </w:p>
    <w:p>
      <w:pPr>
        <w:ind w:left="503"/>
        <w:spacing w:after="0" w:line="253" w:lineRule="auto"/>
        <w:rPr>
          <w:sz w:val="20"/>
          <w:szCs w:val="20"/>
          <w:color w:val="auto"/>
        </w:rPr>
      </w:pPr>
      <w:r>
        <w:rPr>
          <w:rFonts w:ascii="Times New Roman" w:cs="Times New Roman" w:eastAsia="Times New Roman" w:hAnsi="Times New Roman"/>
          <w:sz w:val="18"/>
          <w:szCs w:val="18"/>
          <w:color w:val="auto"/>
        </w:rPr>
        <w:t>In a similar manner of targeting disease state in a broad and specific manner, FT839 is our second next-generation CAR T-cell program, designed to overcome the accessibility and safety limitations of autologous CAR T-cell platforms while addressing the need to broadly target the complex immune drivers of autoimmune diseases and hematological malignancies. FT839 expresses two distinct CARs targeting the B-cell lineage marker CD19 and the immune activation marker CD38, which is often found on aberrant T, NK and B cells. FT839 incorporates a total of 13 edits that include CD3 Fusion Receptor which provides additional antigen / immune cell subset targeting in combination with T cell engagers, hnCD16 that enables ADCC when combined with therapeutic monoclonal antibodies to complement CAR specificity to provide additional antigen / immune cell coverage, and Sword &amp; Shield technology to avoid the need for conditioning chemotherapy. We believe there is significant opportunity to develop off-the-shelf CAR T-cell therapies that incorporate multiple therapeutic mechanisms of action and can be combined with standard-of-care treatment regimens to significantly improve patient outcomes in the treatment of many diseases.</w:t>
      </w:r>
    </w:p>
    <w:p>
      <w:pPr>
        <w:spacing w:after="0" w:line="82" w:lineRule="exact"/>
        <w:rPr>
          <w:sz w:val="20"/>
          <w:szCs w:val="20"/>
          <w:color w:val="auto"/>
        </w:rPr>
      </w:pPr>
    </w:p>
    <w:p>
      <w:pPr>
        <w:ind w:left="503" w:right="80" w:hanging="503"/>
        <w:spacing w:after="0" w:line="257"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Discover and incorporate novel synthetic controls of cell function into our iPSC product platform that significantly improve the patient experience, expand patient reach, and enhance therapeutic differentiation. </w:t>
      </w:r>
      <w:r>
        <w:rPr>
          <w:rFonts w:ascii="Times New Roman" w:cs="Times New Roman" w:eastAsia="Times New Roman" w:hAnsi="Times New Roman"/>
          <w:sz w:val="18"/>
          <w:szCs w:val="18"/>
          <w:color w:val="auto"/>
        </w:rPr>
        <w:t>Conditioning chemotherapy is one of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barriers that limit patient reach and disease application of cellular immunotherapy. Conditioning chemotherapy often results in severe blood cell deficiencies and related toxicities, requiring administration in large tertiary care facilities. We are exploring the integration of novel synthetic controls of cell function into our iPSC product platform that may enable our off-the-shelf, iPSC-derived cell product candidates to be administered without intense conditioning chemotherapy and in the community setting on an outpatient basis.</w:t>
      </w:r>
    </w:p>
    <w:p>
      <w:pPr>
        <w:spacing w:after="0" w:line="78" w:lineRule="exact"/>
        <w:rPr>
          <w:rFonts w:ascii="Times New Roman" w:cs="Times New Roman" w:eastAsia="Times New Roman" w:hAnsi="Times New Roman"/>
          <w:sz w:val="18"/>
          <w:szCs w:val="18"/>
          <w:color w:val="auto"/>
        </w:rPr>
      </w:pPr>
    </w:p>
    <w:p>
      <w:pPr>
        <w:ind w:left="503"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our next-generation CAR T-cell programs, FT836 and FT839, incorporate the novel Alloimmune Defense Receptor (ADR) technology, which is designed to reduce or eliminate the need for administration of intense conditioning chemotherapy to patients receiving cellular immunotherapy. ADR targets the cell surface receptor 4-1BB (CD137), a member of the tumor necrosis factor receptor superfamily that is upregulated on activated CD4+, CD8+, and regulatory T-cells as well as activated NK cells of the host immune system. The ADR receptor is designed to (a) selectively recognize and destroy alloreactive host immune cells, (b) maintain other components of the host immune system to preserve hematopoietic cell function, and (c) activate the product candidates to enhance their potency and persistence. Published preclinical studies have shown that ADR-armed allogeneic cells are protected from both T- and NK-cell mediated rejection, providing proof-of-concept that ADR-armed allogeneic cells can persist and function in immunocompetent patients.</w:t>
      </w:r>
    </w:p>
    <w:p>
      <w:pPr>
        <w:spacing w:after="0" w:line="83" w:lineRule="exact"/>
        <w:rPr>
          <w:rFonts w:ascii="Times New Roman" w:cs="Times New Roman" w:eastAsia="Times New Roman" w:hAnsi="Times New Roman"/>
          <w:sz w:val="18"/>
          <w:szCs w:val="18"/>
          <w:color w:val="auto"/>
        </w:rPr>
      </w:pPr>
    </w:p>
    <w:p>
      <w:pPr>
        <w:ind w:left="503"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ADR technology, we have also begun to incorporate the knock-out of CD58 into our iPSC product platform, which we collectively refer to as our Sword &amp; Shield technology, to both target and evade host alloreactive immune cells. In preclinical studies, we have shown that iPSC-derived Sword &amp; Shield CAR T cells demonstrated functional persistence and durable anti-tumor activity, indicating the potential of Sword &amp; Shield CAR T cells to thrive without administration of conditioning chemotherapy. We believe that the use of a more tolerable treatment paradigm for cellular immunotherapies may significantly improve the patient experience, expand patient reach, and enhance our therapeutic differentiation.</w:t>
      </w:r>
    </w:p>
    <w:p>
      <w:pPr>
        <w:spacing w:after="0" w:line="75" w:lineRule="exact"/>
        <w:rPr>
          <w:rFonts w:ascii="Times New Roman" w:cs="Times New Roman" w:eastAsia="Times New Roman" w:hAnsi="Times New Roman"/>
          <w:sz w:val="18"/>
          <w:szCs w:val="18"/>
          <w:color w:val="auto"/>
        </w:rPr>
      </w:pPr>
    </w:p>
    <w:p>
      <w:pPr>
        <w:ind w:left="503" w:right="120" w:hanging="503"/>
        <w:spacing w:after="0" w:line="257"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share our proprietary iPSC product platform with strategic partners. </w:t>
      </w:r>
      <w:r>
        <w:rPr>
          <w:rFonts w:ascii="Times New Roman" w:cs="Times New Roman" w:eastAsia="Times New Roman" w:hAnsi="Times New Roman"/>
          <w:sz w:val="18"/>
          <w:szCs w:val="18"/>
          <w:color w:val="auto"/>
        </w:rPr>
        <w:t>The research, development and commercialization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therapies for the treatment of human diseases is rapidly expanding. We believe we are well positioned to form partnerships with third parties seeking to develop and commercialize iPSC-derived cell therapies for the treatment of human diseases. For example, we are collaborating with Ono Pharmaceutical to research and develop off-the-shelf, multiplexed-engineered, iPSC-derived CAR T-cell and CAR NK cell product candidates for the treatment of solid tumors. We will continue to seek partnerships with companies and institutions for the research, development and commercialization of iPSC-derived cell therapies for the treatment of human diseases.</w:t>
      </w:r>
    </w:p>
    <w:p>
      <w:pPr>
        <w:spacing w:after="0" w:line="186"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215"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Off-the-shelf, Multiplexed-engineered, iPSC-derived Cellular Immunotherapy Pipeline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FT819: CAR T-cell Program</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FT819 is our first iPSC-derived CAR T-cell product candidate and, to our knowledge, is the first-ever iPSC-derived CAR T-cell product candidate to undergo clinical investigation in the world. FT819 incorporates two novel synthetic controls of cell function that balance CAR safety and activity: a novel 1XX CAR construct inserted directly into the T-cell receptor (TCR) alpha chain (TRAC) locus that targets CD19; and the complete disruption of TCR expression for the prevention of graft-versus-host disease (GvHD), a potentially life-threatening complication associated with donor-derived T-cell therapy. Together, these features of FT819 are designed to induce antigen-specific cytotoxicity, enhance CAR activity through TRAC-regulated expression, mitigate risk of GvHD and reduce the potential risk for CAR-driven toxicity.</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Published preclinical data have shown that directing a CD19-specific CAR to the TRAC locus resulted in uniform CAR expression in human peripheral blood T cells, enhanced T-cell potency, and delayed effector T-cell differentiation and exhaustion, and that CAR T-cells utilizing a novel 1XX CAR signaling domain exhibited enhanced antitumor activity, persistence and long-term cytotoxicity as well as a decrease in T-cell exhaustion. In preclinical studies, we have shown that iPSC-derived TCR-CAR+ CAR T cells targeting CD19:</w:t>
      </w:r>
    </w:p>
    <w:p>
      <w:pPr>
        <w:spacing w:after="0" w:line="70" w:lineRule="exact"/>
        <w:rPr>
          <w:sz w:val="20"/>
          <w:szCs w:val="20"/>
          <w:color w:val="auto"/>
        </w:rPr>
      </w:pPr>
    </w:p>
    <w:p>
      <w:pPr>
        <w:ind w:left="1020" w:right="6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displayed antigen-specific anti-tumor potency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including cytokine release and targeted cellular cytotoxicity, comparable to peripheral blood CD19-specific CAR T cells;</w:t>
      </w:r>
    </w:p>
    <w:p>
      <w:pPr>
        <w:spacing w:after="0" w:line="52"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respond or proliferate against HLA-mismatched (CD19 negative) peripheral blood mononuclear cells as targets in a mixed lymphocyte reaction, indicating the risk of GvHD is alleviated;</w:t>
      </w:r>
    </w:p>
    <w:p>
      <w:pPr>
        <w:spacing w:after="0" w:line="51" w:lineRule="exact"/>
        <w:rPr>
          <w:rFonts w:ascii="Times New Roman" w:cs="Times New Roman" w:eastAsia="Times New Roman" w:hAnsi="Times New Roman"/>
          <w:sz w:val="18"/>
          <w:szCs w:val="18"/>
          <w:color w:val="auto"/>
        </w:rPr>
      </w:pPr>
    </w:p>
    <w:p>
      <w:pPr>
        <w:ind w:left="1020" w:right="30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controlled tumor progression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comparable to peripheral blood CD19-specific CAR T cells in a preclinical xenograft model of acute lymphoblastic leukemia; and</w:t>
      </w:r>
    </w:p>
    <w:p>
      <w:pPr>
        <w:spacing w:after="0" w:line="50"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enhanced tumor clearance and durable control of leukemia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compared to primary CAR19 T cells, in a xenograft mouse model of disseminated lymphoblastic leukemia.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Cell-mediated Autoimmune Diseases</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assessed the safety, pharmacokinetics, and activity of FT819 in patients with relapsed / refractory B-cell malignancies (BCM) in a Phase 1 study (NCT04629729), and we believe the clinical and translational data from the Phase 1 study demonstrated a preferable tolerability profile as well as proof-of-concept for the treatment of patients with autoimmune diseases, where multiple mechanisms implicated in generating an immune rebalance in patients with B cell-mediated autoimmune diseases were observed:</w:t>
      </w:r>
    </w:p>
    <w:p>
      <w:pPr>
        <w:spacing w:after="0" w:line="72" w:lineRule="exact"/>
        <w:rPr>
          <w:sz w:val="20"/>
          <w:szCs w:val="20"/>
          <w:color w:val="auto"/>
        </w:rPr>
      </w:pPr>
    </w:p>
    <w:p>
      <w:pPr>
        <w:ind w:left="1020" w:right="18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heavily pre-treated patients (B-cell lymphoma, n=25; chronic lymphocytic leukemia, n=12; and acute lymphocytic leukemia, n=6) were treated with conditioning chemotherapy and a single dose of FT819 across five dose levels ranging from 90 million cells to 1 billion cells. The safety and tolerability profile of FT819 was favorable, with no dose-limiting toxicities (DLTs), no events of any grade of immune effector-cell associated neurotoxicity syndrome (ICANS) or GvHD, and low incidence (14%) of only low-grade cytokine release syndrome (CRS). There were no study discontinuations or deaths related to FT819.</w:t>
      </w:r>
    </w:p>
    <w:p>
      <w:pPr>
        <w:spacing w:after="0" w:line="75"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samples taken from 23 patients treated for relapsed / refractory B-cell lymphoma (BCL) showed rapid and deep CD19+ B-cell depletion, with sustained suppression of B cells, in the periphery during the initial 30-day period following administration of conditioning chemotherapy and FT819;</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case studies demonstrating secondary and tertiary tissue trafficking, infiltration, and activity of FT819, with complete elimination of CD19+ cells in tissue;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case studies of plasma cell depletion and B-cell reconstitution showing recovery of naïve and immature phenotypes, with little to no recovery of activated memory B cells or plasmablasts;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case studies demonstrating the capacity of FT819 to induce rapid, deep, and sustained B-cell depletion without the use of fludarabine as a conditioning agent.</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currently conducting a multi-center, Phase 1 clinical trial to evaluate the safety, pharmacokinetics, and anti-B cell activity of FT819 in patients with moderate to severe SLE, including those with active lupus nephritis (LN) or active extrarenal lupus (NCT06308978). The Phase 1 autoimmunity study consists of two cohorts consisting of (i) Regimen A, where FT819 is co-administered with a fludarabine (flu)-free conditioning regimen, consisting of either cyclophosphamide alone or bendamustine alone or (ii) Regimen B, where FT819 is administered in the absence of conditioning to patients on standard-of-care maintenance therapy (Conditioning-free Regimen). In February 2024, we were awarded $7.9 million from the California Institute for Regenerative Medicine (CIRM) to support the clinical investigation of FT819 for the treatment of moderate to severe SLE.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2" w:name="page13"/>
    <w:bookmarkEnd w:id="12"/>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a November 25, 2025 data cutoff date, 12 SLE patients were treated at 5 enrolling clinical sites, with 14 clinical sites activated in total (11 in the United States and 3 in the U.K.). Baseline characteristics were consistent with a high disease burden patient population:</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SLE duration was 8.7 years, median 7 prior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Systemic Lupus Erythematosus Disease Activity Index 2000 (SLEDAI-2K) score was 14 (range 8-20);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Physician Global Assessment (PGA) score 2.3±0.4;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Functional Assessment of Chronic Illness Therapy Fatigue (FACIT-Fatigue) score 23±13.</w:t>
      </w:r>
    </w:p>
    <w:p>
      <w:pPr>
        <w:spacing w:after="0" w:line="11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an October 22, 2025 data cutoff date, 10 treated SLE patients had ≥ 1 month follow up, with 6 of the 10 patients having active lupus nephritis. Preliminary data in Regimen A (with patients receiving a single FT819 dose after pretreatment with either a single dose of cyclophosphamide or two doses of bendamustine) showed mean SLEDAI-2K scores across both dose levels (DL1, 360 million cells; DL2, 900 million cells) decreased progressively from baseline:</w:t>
      </w:r>
    </w:p>
    <w:p>
      <w:pPr>
        <w:spacing w:after="0" w:line="72" w:lineRule="exact"/>
        <w:rPr>
          <w:sz w:val="20"/>
          <w:szCs w:val="20"/>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DL1 SLEDAI-2K score decreased from a mean of 15.2 (n=5) at baseline to a mean of 10.7 at month 3 (n=2), and to a mean of 6 at month 6 (n=2), representing mean percent drops of 50% and 70%, respectively; and</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DL2 SLEDAI-2K score decreased from a mean of 14.3 (n=3) at baseline to a mean of 6 at month 3 (n=2) and to 4 at month 6 (n=1), representing mean percent drops of 65% and 78%,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114300</wp:posOffset>
            </wp:positionV>
            <wp:extent cx="6163310" cy="2991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331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Translational data from patients treated in Regimen A demonstrated that FT819 elicited rapid and deep depletion of B cells and promoted immune remodeling resulting in the repopulation of naïve B cell subsets (see below). The data further suggests that dose level 2 may support a longer nadir of B cell depletion and that FT819 has the capacity to traffic to secondary and tertiary tissues, where pathology often resides, and to eliminate CD19+ B cells.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705485</wp:posOffset>
            </wp:positionH>
            <wp:positionV relativeFrom="page">
              <wp:posOffset>783590</wp:posOffset>
            </wp:positionV>
            <wp:extent cx="6137910" cy="2768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3791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an October 22, 2025 data cutoff date, clinical SLEDAI-2K (excluding anti-dsDNA and complement) of 0 was achieved in 5 out of 10 patients, two of whom had resumed an immunosuppressive agent that had previously failed to achieve a clinical SLEDAI-2K of 0 prior to FT819. Two lupus nephritis patients had greater than 3-month follow up, with both achieving complete renal response (CRR) at 2 months and 6 months, respectively. FACIT-fatigue scores improved meaningfully for all patients who had more than one assessment. B-cell depletion was observed, with reconstitution towards predominately naïve cells within the first 3 months. There were no observed dose limiting toxicities, and no Grade &gt;2 CRS, ICANS, or GvHD were reported. All patients were treated with FT819 that was available on-demand.</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Regimen A, where FT819 is co-administered with a less-intensive fludarabine (flu)-free conditioning regimen, we are also enrolling patients in Regimen B, where FT819 is administered in the absence of conditioning to patients on standard-of-care maintenance therapy (Conditioning-free Regimen). While reducing the conditioning chemotherapy regimen in Regimen A represents a significant advancement in the treatment of autoimmune patients with CAR T cells, we believe patient accessibility to and demand for CAR T cells will be further enhanced with the complete elimination of conditioning chemotherapy. As of the October 22, 2025 data cutoff date, two patients were treated in Regimen B at dose level 1 of single dose of 360 million cells. As depicted in the figure below, preliminary data showed FT819 as add-on to maintenance therapy has the potential to support improvement in disease activity, independent of conditioning chemotherapy, while continuing to show a tolerable safety profile. Following the initial positive observations, we are continuing to pursue Regimen B by completing dose level 1, escalating to dose level 2 of 900 million cells and expanding treatment to Regimen D, where FT819 is dosed twice within the treatment cycle on Day 1 and 15. Regimens B and D are also being planned to be applied to other autoimmune diseases in the Phase 1 trial. We believe the safety, activity and availability profile of FT819 has the potential to provide a differentiated therapy, combining the potency of a CAR T cell with the availability of traditional biologics.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783590</wp:posOffset>
            </wp:positionV>
            <wp:extent cx="6172200" cy="304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multi-center, Phase 1 clinical trial of FT819 (NCT06308978) also includes systemic sclerosis (SSc), antineutrophil cytoplasmic antibody-associated vasculitis (AAV), and idiopathic inflammatory myositis (IIM). In the U.S. the prevalence of SSc is greater than 85,000 patients with significant unmet medical need. Currently, there are no existing cures or single disease-modifying treatments to stop or reverse the overall progression of SSc disease. In October 2025, we treated our first SSc patient with FT819. The first patient, a 31-year-old woman diagnosed with SSc six years ago who has refractory disease, despite having been treated with multiple standard-of-care therapies, received fludarabine-free conditioning followed by a single dose of FT819 at 900 million cells. The patient was discharged after a three-day hospital stay without any notable adverse events. Enrollment is now ongoing in dose-expansion cohorts in SSc, AAV and IIM.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FT825: CAR T-cell Program</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FT825 is our first iPSC-derived CAR T-cell product candidate for the treatment of solid tumors being developed in collaboration with Ono Pharmaceutical. The use of autologous CAR T-cell therapies for the treatment of solid tumors has been hampered by tumor-associated antigen heterogeneity, inefficient CAR T-cell trafficking to the tumor, immunosuppression inherent to the tumor microenvironment, and differentiating tumor-associated antigen expression between tumor and normal tissue. To date, there are no FDA-approved CAR T-cell therapies for the treatment of solid tumors. FT825 is specifically designed to overcome these challenges in treating solid tumors, and incorporates seven novel synthetic controls of cell function: a 1XX CAR construct inserted directly into the TRAC locus that is armed with a novel human epidermal growth factor receptor 2 (HER2) binding domain designed to preferentially target tumor cells; a novel high-affinity 158V, non-cleavable CD16 (hnCD16) Fc receptor that has been modified to prevent its down-regulation and to enhance antibody-dependent cellular cytotoxicity (ADCC); a synthetic IL-7/IL-7 receptor fusion (IL-7RF), a potent cytokine complex that is intended to promote T-cell stemness; a synthetic CXCR2 receptor to promote cell trafficking; a synthetic TGFβ receptor to redirect immunosuppressive signals in the tumor microenvironment; the complete elimination of CD38 expression to promote persistence and function in high oxidative stress environments; and the complete disruption of TCR expression for the prevention of GvHD.</w:t>
      </w:r>
    </w:p>
    <w:p>
      <w:pPr>
        <w:spacing w:after="0" w:line="82"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While HER2-directed therapies, such as trastuzumab (</w:t>
      </w:r>
      <w:r>
        <w:rPr>
          <w:rFonts w:ascii="Times New Roman" w:cs="Times New Roman" w:eastAsia="Times New Roman" w:hAnsi="Times New Roman"/>
          <w:sz w:val="18"/>
          <w:szCs w:val="18"/>
          <w:i w:val="1"/>
          <w:iCs w:val="1"/>
          <w:color w:val="auto"/>
        </w:rPr>
        <w:t>Herceptin</w:t>
      </w:r>
      <w:r>
        <w:rPr>
          <w:rFonts w:ascii="Times New Roman" w:cs="Times New Roman" w:eastAsia="Times New Roman" w:hAnsi="Times New Roman"/>
          <w:sz w:val="18"/>
          <w:szCs w:val="18"/>
          <w:color w:val="auto"/>
        </w:rPr>
        <w:t>) and trastuzumab deruxtecan (</w:t>
      </w:r>
      <w:r>
        <w:rPr>
          <w:rFonts w:ascii="Times New Roman" w:cs="Times New Roman" w:eastAsia="Times New Roman" w:hAnsi="Times New Roman"/>
          <w:sz w:val="18"/>
          <w:szCs w:val="18"/>
          <w:i w:val="1"/>
          <w:iCs w:val="1"/>
          <w:color w:val="auto"/>
        </w:rPr>
        <w:t>Enhertu</w:t>
      </w:r>
      <w:r>
        <w:rPr>
          <w:rFonts w:ascii="Times New Roman" w:cs="Times New Roman" w:eastAsia="Times New Roman" w:hAnsi="Times New Roman"/>
          <w:sz w:val="18"/>
          <w:szCs w:val="18"/>
          <w:color w:val="auto"/>
        </w:rPr>
        <w:t xml:space="preserve">), are effective in treating HER2-positive cancers, widespread HER2 expression in normal epithelial tissue can lead to significant on-target, off-tumor toxicities. In our recent publication we demonstrated FT825’s novel HER2 binding domain exhibiting robust, dose-dependent cytolytic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both HER2-high and HER2-low cell lines from multiple tumor types, and showed a highly selective and differentiated targeting profile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HER2-expressing cancer cell lines versus healthy tissue in comparison to other HER2-directed agents such as trastuzumab (see figure below, Figure 2 from publication DOI: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10.1016/j.stem.2025.05.007).</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783590</wp:posOffset>
            </wp:positionV>
            <wp:extent cx="5786755" cy="7123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786755" cy="712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509"/>
        <w:spacing w:after="0" w:line="234" w:lineRule="auto"/>
        <w:rPr>
          <w:sz w:val="20"/>
          <w:szCs w:val="20"/>
          <w:color w:val="auto"/>
        </w:rPr>
      </w:pPr>
      <w:r>
        <w:rPr>
          <w:rFonts w:ascii="Times New Roman" w:cs="Times New Roman" w:eastAsia="Times New Roman" w:hAnsi="Times New Roman"/>
          <w:sz w:val="18"/>
          <w:szCs w:val="18"/>
          <w:color w:val="auto"/>
        </w:rPr>
        <w:t>We believe the cancer selectivity of FT825’s novel HER2 binding domain is attributable to its derivation from a cancer-specific monoclonal antibody H</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CasMab-2, which has been shown to differentially and preferentially recognize both locally misfolded HER2</w:t>
      </w:r>
    </w:p>
    <w:p>
      <w:pPr>
        <w:spacing w:after="0" w:line="1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16" w:name="page17"/>
    <w:bookmarkEnd w:id="16"/>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and p95 truncation variants of HER2. FT825 also exhibited enhanced trafficking and resistance to TGFβ-induced suppression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In addition to its CAR-mediated anti-tumor activity against HER2, co-activation of the product candidate’s hnCD16 Fc receptor through combination with monoclonal antibody therapy showed enhanced anti-tumor activity (see figure below, Figure 5 from publication DOI: 10.1016/j.stem.2025.05.007).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191770</wp:posOffset>
            </wp:positionV>
            <wp:extent cx="5829300" cy="693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9300" cy="693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3" w:right="679" w:bottom="1440" w:gutter="0" w:footer="0" w:header="0"/>
        </w:sectPr>
      </w:pPr>
    </w:p>
    <w:bookmarkStart w:id="17" w:name="page18"/>
    <w:bookmarkEnd w:id="17"/>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2024, we initiated a multi-center, Phase 1 clinical trial of FT825 for the treatment of advanced solid tumors (NCT06241456) alongside our collaborator Ono Pharmaceutical (see “Our Partnership with Ono Pharmaceutical”). The Phase 1 study is designed to assess the safety, tolerability, and pharmacokinetics, as well as anti-tumor activity by overall response rate, duration of response and disease control rate, of a single dose of FT825 as monotherapy and in combination with monoclonal antibody therapy. Enrollment in the multi-center, Phase 1 study of FT825 for the treatment of advanced solid tumors is currently ongoing at the third dose level of 900 million cells as monotherapy and in combination with epidermal growth factor receptor (EGFR)-targeted monoclonal antibody therapy.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FT836: CAR T-cell Program</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FT836 is our multiplexed-engineered CAR T-cell product candidate targeting MHC proteins MICA and MICB. The expression of MICA/B cell-surface proteins is induced by cellular stress or malignant transformation, and is detectable across many types of cancer cells with limited expression on healthy tissue. MICA/B targeting is emerging as a novel cancer-specific strategy to attack a wide range of solid tumors, however, proteolytic cleavage and shedding of MICA/B at the membrane-proximal α3 domain is a common mechanism of tumor escape. FT836 is designed to uniquely target and bind the α3 domain, which has been shown to stabilize MICA/B expression and induce robust cytolytic killing of tumor cells.</w:t>
      </w:r>
    </w:p>
    <w:p>
      <w:pPr>
        <w:spacing w:after="0" w:line="75"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novel suite of synthetic controls incorporated into FT836 is intended to address critical challenges that have limited CAR T-cell safety and efficacy in treating solid tumors including on-target, off-tumor toxicity, effector cell suppression in the tumor microenvironment, tumor heterogeneity, and limited functional persistence. At the Society for Immunotherapy of Cancer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Annual Meeting (SITC) held in November 2025, we presented preclinical data showing FT836 exhibited potent and durable CAR-dependent antigen-driven proliferation with robust activity across diverse solid tumors (see below Figure 3 from presentation) and that FT836 has the potential to be combined with Paclitaxel chemotherapy to induce MICA/B surface expression for enhanced target recognition and additive antitumor activity (see below Figure 5 from presentation). In addition, we presented immunohistochemistry analysis of MICA/B expression to show biopsy samples from patients from different cancers expressed MICA/B throughout the tumor, including in colorectal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67945</wp:posOffset>
            </wp:positionV>
            <wp:extent cx="6111875" cy="255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187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722630</wp:posOffset>
            </wp:positionH>
            <wp:positionV relativeFrom="page">
              <wp:posOffset>783590</wp:posOffset>
            </wp:positionV>
            <wp:extent cx="6111875" cy="2143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118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FT836 is also our first product candidate to incorporate our novel Sword &amp; Shield technology, which utilizes our ADR technology alongside CD58KO, to both target and evade host alloreactive immune cells. In preclinical studies presented at SITC, iPSC-derived Sword &amp; Shield CAR T cells demonstrated functional persistence and durable anti-tumor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that was uniquely maintained upon supraphysiological challenge with alloreactive T cells, indicating the potential of Sword &amp; Shield CAR T cells to thrive without administration of conditioning chemotherapy to deplete host immune cells (see below Figure 1 and Figure 2 from presentation).</w:t>
      </w: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782955</wp:posOffset>
            </wp:positionV>
            <wp:extent cx="6043295" cy="5340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043295" cy="534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782955</wp:posOffset>
            </wp:positionV>
            <wp:extent cx="6009005" cy="3857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0900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July 2025, the FDA allowed our IND to initiate Phase 1 clinical investigation of FT836 for the treatment of solid tumors (NCT07216105). Treatment of solid tumors with FT836 as an investigational off-the-shelf CAR T-cell therapy without the need for conditioning chemotherapy is a new paradigm in CAR T cell therapy. The Phase 1 study is designed to assess the safety and activity of FT836 without administration of conditioning chemotherapy in combination with standard-of-care therapies including cetuximab, trastuzumab and paclitaxel for the treatment of advanced solid tumors. The protocol allows for administration with a shortened hospitalization requirement of 24 hours for the Day 1 treatment and outpatient for the second dose at Day 15 and can be re-dosed following inadequate response or relapse. In November 2025, the first patient, a 47-year-old male with stage IV colorectal cancer (CRC) with five prior lines of systemic therapy, was treated with FT836 at 300 million cells in the cetuximab combination arm without any conditioning chemotherapy. The patient was discharged after a one-day hospital stay and treated with a second dose of FT836 at 300 million cells on Day 15 of the treatment cycle as outpatient. Enrollment in the FT836 Phase 1 trial is ongoing, and we plan to provide an update on the patients treated in the second half of 2026. The translational development of FT836 was supported by a $4 million award from CIRM.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FT839: CAR T-cell Program</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applying our iPSC product platform to develop our second next-generation CAR T-cell product candidate with the potential to target multiple aberrant cell types while evading recognition by alloreactive immune cells. FT839 is our first multi-antigen dual-CAR T-cell product candidate that is designed to express two unique CARs: a first CAR targeting the B-cell lineage marker CD19 and the second CAR targeting the immune activation marker CD38, which is often found on aberrant T, NK and B cells. At the 2025 American Society of Hematology (ASH) Annual Meeting, we presented preclinical data demonstrating that FT839 with its dual-CAR mechanism, specifically eliminated a variety of pathogenic immune cell types without requiring conditioning chemotherapy to treat complex autoimmune diseases. In addition, dual-CAR T cells showed enhanced elimination of CD19+CD38+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compared to single CAR controls (see below Figure 4 of presentation). In addition, FT839 exhibited functional persistence in allogeneic settings in the absence of conditioning chemotherapy and showed enhanced capacity for selective elimination of aberrant immune subsets in autoimmune patient derived peripheral blood mononuclear cells (PBMCs) (see below Figure 5 of presentation). We</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are completing IND-enabling activities in 2026 to support the initial clinical investigation of FT839 for the treatment of cancer and autoimmune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85725</wp:posOffset>
            </wp:positionV>
            <wp:extent cx="6077585" cy="4406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7585" cy="4406265"/>
                    </a:xfrm>
                    <a:prstGeom prst="rect">
                      <a:avLst/>
                    </a:prstGeom>
                    <a:noFill/>
                  </pic:spPr>
                </pic:pic>
              </a:graphicData>
            </a:graphic>
          </wp:anchor>
        </w:drawing>
      </w:r>
    </w:p>
    <w:p>
      <w:pPr>
        <w:sectPr>
          <w:pgSz w:w="11900" w:h="16838" w:orient="portrait"/>
          <w:cols w:equalWidth="0" w:num="1">
            <w:col w:w="11060"/>
          </w:cols>
          <w:pgMar w:left="320" w:top="121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5" w:right="51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782955</wp:posOffset>
            </wp:positionV>
            <wp:extent cx="6026150" cy="3694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02615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FT522: CAR NK Cell Program</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FT522 is our first iPSC-derived CAR NK cell product candidate that incorporates our novel Alloimmune Defense Receptor (ADR) technology, which is designed to reduce or eliminate the need for administration of intense conditioning chemotherapy to patients receiving cellular immunotherapy. While approved autologous CAR T-cell therapies have demonstrated compelling efficacy in treating patients with relapsed / refractory hematologic malignancies, several key challenges limit their adoption and patient reach including the need to co-administer conditioning chemotherapy to patients. Conditioning chemotherapy induces toxicities, necessitates treatment at specialized medical centers with intensive care units, and prevents effective combination with standard-of-care treatment regimens widely used in the community setting. Its use has also been associated with treatment-emergent secondary malignancies, such as myelodysplastic syndrome.</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FT522 incorporates a novel synthetic ADR targeting the cell surface receptor 4-1BB (CD137), a member of the tumor necrosis factor receptor superfamily that is upregulated on activated CD4+, CD8+, and regulatory T cells, as well as activated NK cells, of the host immune system. Four additional synthetic controls of cell function incorporated into FT522 include: a proprietary CAR that targets CD19; a novel high-affinity 158V, non-cleavable CD16 (hnCD16) Fc receptor that has been modified to prevent its down-regulation and to enhance ADCC in combination with a monoclonal antibody; an IL-15/IL-15 receptor fusion (IL-15RF), a potent cytokine complex that is intended to augment NK cell activity; and the complete elimination of CD38 expression to promote persistence and function in high oxidative stress environments. These features of FT522 are designed to reduce or eliminate the need for administration of intense conditioning chemotherapy to patients, enable dual-antigen targeting of antigens expressed on B cells through combination with monoclonal antibody therapy, and extend the functional persistence of FT522.</w:t>
      </w:r>
    </w:p>
    <w:p>
      <w:pPr>
        <w:spacing w:after="0" w:line="8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preclinical studies, we showed that ADR-armed CAR NK cells selectively targeted and eliminated alloreactive immune cells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co-culture assay with allogeneic PBMCs; targeted and eliminated activated T-regulatory cells, overcoming a major suppressive mechanism associated with poor anti-tumor activity; and were potentiated through 4-1BB engagement, promoting NK cell expansion and persistence. In addition, in a disseminated Nalm6 leukemia model comprised of alloreactive T cells and CD19+ tumor cells resistant to T-cell killing (MHC class I-null), ADR-armed, CD19-targeted, iPSC-derived CAR NK cells exhibited uncompromised effector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compared to ADR-null, CD19-targeted, iPSC-derived CAR NK cells, suggesting that ADR-armed NK cells functionally persist, proliferate, and kill tumor cells while resisting rejection by alloreactive T cells. These preclinical data suggest that FT522 has the potential to robustly deplete CD19+ B cells, evade host immune cell rejection, and drive clinical responses without administration of intense conditioning chemotherapy to patients.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i w:val="1"/>
          <w:iCs w:val="1"/>
          <w:color w:val="auto"/>
        </w:rPr>
        <w:t>B-cell Lymphoma</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have completed our multi-center, Phase 1 clinical trial of FT522 to assess its safety, pharmacokinetics, and activity in patients with relapsed / refractory BCL (NCT05950334). The Phase 1 study included two regimens: Regimen A, or the “conditioning” arm, which consisted of three days of conditioning chemotherapy; one dose of rituximab; and three doses of FT522; and Regimen B, or the “no conditioning” arm, which consisted of one dose of rituximab and three doses of FT522 without conditioning chemotherapy. At the 18th International Conference on Malignant Lymphoma held in June 2025, we presented interim safety and efficacy data on FT522 from the Phase 1 clinical trial in relapsed / refractory BCL. As depicted in the presentation, there were no reported observations of CRS or ICANS, and FT522 was shown to be detected in the periphery of patients who were treated with conditioning chemotherapy as well in patients who did not receive chemotherapy, supporting the activity of ADR to support product persistence without the need for conditioning chemotherapy. Additionally, overall responses were presented to demonstrate activity in relapsed/refractory BCL (see below, Figure 3 from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268605</wp:posOffset>
            </wp:positionV>
            <wp:extent cx="4911725" cy="3068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1172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With enrollment in the Phase 1 study of FT522 for the treatment of relapsed / refractory BCL completed, we are evaluating opportunities for further clinical development of FT522 in autoimmune indications.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Cell-mediated Autoimmune Diseases</w:t>
      </w:r>
    </w:p>
    <w:p>
      <w:pPr>
        <w:spacing w:after="0" w:line="11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re-challenge assay using PBMCs from unmatched SLE donors, FT522 drove rapid and deep CD19+ B cell depletion, eliminated alloreactive T cells and maintained functional persistence, indicating that FT522 has the potential to function effectively in the presence of an unmatched host immune system. In addition, in a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biodistribution study, FT522 showed dose-dependent trafficking, infiltration, and residency in secondary and tertiary tissues without cytokine support, which has the potential to support deep responses in autoimmune disease.</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IND application to assess the safety, pharmacokinetics, and activity of FT522 across a basket of B cell-mediated autoimmune diseases including anti-neutrophilic cytoplasmic AAV, IMM, SSc, and SLE has been allowed by the FDA. The Phase 1 clinical protocol permits treatment of patients with up to four weekly doses of FT522, without administration of conditioning chemotherapy, as an add-on to rituximab induction therapy (Regimen A) and as an add-on to maintenance therapy in combination with rituximab (Regimen B). We are currently evaluating opportunities and timelines for the clinical development of FT522 in autoimmune diseases.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Partnership with Ono Pharmaceutical</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Under a collaboration and option agreement with Ono Pharmaceutical Co. Ltd. (Ono) entered into in September 2018 and amended in June 2022, August 2024, and June 2025 (the Ono Agreement), we are conducting research and preclinical development of iPSC-derived CAR T-cell and CAR NK cell product candidates for the treatment of solid tumors.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we announced that Ono had exercised its preclinical option to FT825 / ONO-8250, an off-the-shelf, multiplexed-engineered, iPSC-derived CAR T-cell product candidate targeting HER2-expressing solid tumors (also referred to as Candidate 2 below), and that we exercised our preclinical option to co-develop and co-commercialize FT825 / ONO-8250 in the United States and Europe under a joint arrangement with Ono. As a result, we received an option exercise fee of $12.5 million from Ono. In January 2024, we announced the initiation of enrollment of a Phase 1 clinical trial of FT825 / ONO-8250 for the treatment of advanced solid tumors.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companies are also currently conducting preclinical development of a second iPSC-derived CAR-targeted effector cell product candidate for the treatment of solid tumors (referred to as Candidate 3 below) under the Ono Agreement.</w:t>
      </w:r>
    </w:p>
    <w:p>
      <w:pPr>
        <w:spacing w:after="0" w:line="5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Under the original Ono Agreement entered into in September 2018, we and Ono intended to research and preclinically develop two iPSC-derived CAR T-cell product candidates, one of which was designated to target an antigen expressed on certain lymphoblastic leukemias (Candidate 1) and the second of which was designated to target an antigen expressed on certain solid tumors (Candidate 2) (each a Candidate and, collectively, the Candidates). We granted to Ono, during a specified period of time, a preclinical option to obtain an exclusive license under certain intellectual property rights to develop and commercialize: (a) Candidate 1 in Asia, where we retained rights for development and commercialization in all other territories of the world; and (b) Candidate 2 in all territories of the world, where we retained rights to co-develop and co-commercialize Candidate 2 in the United States and Europe under a joint arrangement with Ono under which we are eligible to share at least 50% of the profits and losses. We maintained worldwide rights of manufacture for each Candidate. For each Candidate, the preclinical option expired upon the earliest of: (a) the achievement of the pre-defined preclinical milestone under the joint development plan; (b) termination by Ono of research and development activities for the Candidate; and (c) the date that is the later of (i) four years after the effective date, and (ii) completion of all applicable activities contemplated under the joint development plan. Ono paid us an upfront, non-refundable and non-creditable payment of $10.0 million in connection with entering into the Ono Agreement. Additionally, as consideration for our conduct of research and preclinical development under a joint development plan, Ono agreed to pay us annual research and development fees set forth in the annual budget included in the joint development plan, which fees were estimated to be $20.0 million in aggregate over the course of the joint development plan.</w:t>
      </w:r>
    </w:p>
    <w:p>
      <w:pPr>
        <w:spacing w:after="0" w:line="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letter agreement with Ono pursuant to which Ono delivered to us proprietary antigen binding domains targeting an antigen expressed on certain solid tumors for incorporation into Candidate 2 and paid us a milestone fee of $10.0 million for further research and preclinical development of Candidate 2. In addition, Ono terminated all further research and preclinical development with respect to Candidate 1, and we retained all rights to research, develop and commercialize Candidate 1 throughout the world without any obligation to Ono.</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2022, we entered into an amendment with Ono to the Ono Agreement (the 2022 Ono Amendment). Pursuant to the 2022 Ono Amendment, the companies agreed to designate an additional antigen expressed on certain solid tumors for research and preclinical development, and Ono agreed to contribute to us proprietary antigen binding domains targeting such additional solid tumor antigen (Candidate 3). In addition, for both Candidate 2 and Candidate 3, the companies expanded the scope of the collaboration to include the research and preclinical development of iPSC-derived CAR NK cell product candidates (in addition to iPSC-derived CAR T-cell product candidates) targeting the designated solid tumor antigens. Similar to Candidate 2, we granted to Ono, during a specified period of time, a preclinical option (Candidate 3 Development Option) to obtain an exclusive license under certain intellectual property rights, subject to payment of an option exercise fee to us by Ono, to further develop and commercialize Candidate 3 in all territories of the world, where we retained rights to co-develop and co-commercialize Candidate 3 in the United States and Europe under a joint arrangement with Ono under which we are eligible to share at least 50% of the profits and losses. We maintained worldwide rights of manufacture for Candidate 3. Ono agreed to pay us annual research and development fees set forth in the annual budget included in the joint development plan for Candidate 3.</w:t>
      </w:r>
    </w:p>
    <w:p>
      <w:pPr>
        <w:spacing w:after="0" w:line="8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We exercised our option (the CDCC Option) to co-develop and co-commercialize Candidate 2 in the United States and Europe. As a result, we received an option exercise payment of $12.5 million. We and Ono are proceeding under a joint development plan for the ongoing development of Candidate 2.</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2023, we entered into an amendment with Ono to the Ono Agreement (the 2023 Ono Amendment). Under the 2023 Ono Amendment, aggregate estimated research and preclinical development fees payable by Ono to us for Candidate 3 were increased by approximately $1.4 million, for a total estimated $30.7 million in aggregate research and preclinical development fees over the course of the joint research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25" w:name="page26"/>
    <w:bookmarkEnd w:id="25"/>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2024, we entered into an amendment with Ono to the Ono Agreement (the 2024 Ono Amendment). Under the 2024 Ono Amendment, the preclinical option period for Candidate 3 was extended through June 2025 and the aggregate estimated research and preclinical development fees payable by Ono to us for Candidate 3 were increased by approximately $7.3 million, for a total estimated $38.0 million in aggregate research and preclinical development fees over the course of the joint research plan.</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June 2025, we entered into an amendment with Ono to the Ono Agreement (the 2025 Ono Amendment, and collectively with the 2022 Ono Amendment, 2023 Ono Amendment, and 2024 Ono Amendment, the Ono Amendments). Under the 2025 Ono Amendment, aggregate estimated research and preclinical development fees payable by Ono to us for Candidate 3 were increased by approximately $6.5 million, for a total estimated $44.5 million in aggregate research and preclinical development fees over the course of the joint research plan. We will continue to receive committed funding under the joint research plan from Ono through June 2026. The Candidate 3 Development Option expires upon the achievement of the pre-defined preclinical milestone under the joint research plan.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Ono Agreement (as amended by the Ono Amendments), for Candidate 2 and for Candidate 3 (subject to exercise by Ono of its Candidate 3 Development Option), we are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we elect to co-develop and co-commercialize the Candidate in the United States and Europe as described above. In addition, in those territories where Ono has exclusive rights of commercialization, we are eligible to receive tiered royalties (Royalties) ranging from the mid-single digits to the low-double digits based on annual net sales by Ono for each Candidate in such territories, with the Royalties subject to certain reductions.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Ono Agreement will terminate with respect to a Candidate if Ono does not exercise its development option for a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seek to protect our product candidates and our cell programming technology through a variety of methods, including seeking and maintaining patents intended to cover our products and compositions, their methods of use and processes for their manufacture, our platform technologies and any other inventions that are commercially important to the development of our business. We seek to obtain domestic and international patent protection and, in addition to filing and prosecuting patent applications in the United States, we typically file counterpart patent applications in additional countries where we believe such foreign filing is likely to be beneficial, including Europe, Japan, Canada, Australia and China. We continually assess and refine our intellectual property strategy in order to best fortify our position, and file additional patent applications when our intellectual property strategy warrants such filings. We also rely on know-how, continuing technological innovation and in-licensing opportunities to develop and maintain our proprietary position. We have entered into exclusive license agreements with various academic and research institutions to obtain the rights to use certain patents for the development and commercialization of our product candidates.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February 19, 2026, our intellectual property portfolio is composed of over 450 issued patents and 120 patent applications that we license from academic and research institutions, and over 600 issued patents or pending patent applications that we own. These patents and patent applications generally provide us with the rights to develop our product candidates in the United States and worldwide. This portfolio covers compositions of programmed cellular immunotherapies, our cell programming approach for enhancing the therapeutic function of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and our platform for industrial-scale iPSC generation and engineering. We believe that we have a significant intellectual property position and substantial know-how relating to the programming of hematopoietic and immune cells and to the derivation, genetic engineering, and differentiation of iPSCs.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owned or licensed pending patent applications or with respect to any patent applications we may own or license in the future, nor can we be sure that any of our existing patents or any patents we may own or license in the future will be useful in protecting our technology. Please see “Risk Factors—Risks Related to Our Intellectual Property” for additional information on the risks associated with our intellectual property strategy and portfolio.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iPSC Technology and Platform</w:t>
      </w:r>
    </w:p>
    <w:p>
      <w:pPr>
        <w:spacing w:after="0" w:line="119"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 xml:space="preserve">As of February 19, 2026, we own over 30 patent families directed to programming the fate of somatic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including patent applications pending in the U.S. and internationally related to our platform for industrial-scale iPSC generation and applications related to differentiation of iPSCs into specialized cells with therapeutic potential. These patent applications cover our proprietary small molecule-enhanced iPSC platform, including novel reprogramming factors and methods of reprogramming to obtain iPSCs. Our intellectual property portfolio also includes gene editing compositions and methods of genetic engineering, as well as methods of directing the fate of cells to obtain homogenous cell populations in the hematopoietic lineage, including CD34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T-cells and NK cells. Our proprietary intellectual property enables highly efficient iPSC derivation, selection, engineering, and clonal expansion while maintaining genomic stability. Any U.S. patents issued from these patent applications are expected to have statutory expiration dates ranging from 2031 to 2044.</w:t>
      </w:r>
    </w:p>
    <w:p>
      <w:pPr>
        <w:spacing w:after="0" w:line="9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Additionally, we have licensed from the Whitehead Institute for Biomedical Research a portfolio of four patent families, including issued patents and pending applications broadly applicable to the reprogramming of somatic cells. Our license is exclusive in commercial fields, including for drug discovery and therapeutic purposes. This portfolio covers compositions used in the reprogramming of mammalian somatic cells to a pluripotent state. The earliest filed patent family in the portfolio expired in November 2024, and the remaining issued patents and any U.S. patents that may issue from these pending patent applications are expected to have statutory expiration dates ranging from 2028 to 2029.</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also have exclusive licenses from The Scripps Research Institute to a portfolio of seven patent families relating to compositions and methods for reprogramming mammalian somatic cells, which covers non-genetic and viral-free reprogramming mechanisms, including the use of various small molecule classes and compounds and the introduction of cell-penetrating proteins to reprogram mammalian somatic cells. This portfolio includes issued U.S. patents (including U.S. Patents 8,044,201 and 8,691,573) that provide composition of matter protection for a class of small molecules, including thiazovivin, that is critical for inducing the generation, and maintaining the pluripotency, of iPSCs, and compositions and methods of using the small molecule. Any issued U.S. patents and any U.S. patents that may issue from patent applications pending in this portfolio are expected to have statutory expiration dates ranging from 2026 to 2031.</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also have exclusively licensed from the J. David Gladstone Institutes (Gladstone) intellectual property covering the generation of iPSCs using CRISPR-mediated gene activation. This approach for inducing pluripotency uses CRISPR to directly target a specific location of the genome and activate endogenous gene expression, and does not rely on established methods of cellular reprogramming that require the transduction of multiple transcription factors. Any U.S. patents that may issue from patent applications pending in the U.S. and internationally in this portfolio are expected to have a statutory expiration date in 2038.</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also have exclusive rights to two families of patent applications from the University of Minnesota. As of February 19, 2026, this portfolio includes over 50 issued patents or pending patent applications in the United States and foreign jurisdictions directed to compositions of NK cells, including adaptive memory NK cells and genetically engineered NK cells, and therapeutic strategies for the treatment of cancer using these NK cells. These applications also describe compositions and methods of enhancing effector cell cytotoxicity by genetically engineering the CD16 Fc receptor in immune cells, including iPSC-derived NK and T cells. The portfolio also includes applications describing methods of increasing NK cell tumor specificity and cytotoxicity by incorporating CARs on NK cells. Any U.S. patents that may issue from patent applications pending in this portfolio are expected to have statutory expiration dates between 2035 and 2038.</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also have exclusively licensed from the Memorial Sloan Kettering Cancer Center (MSKCC) intellectual property covering the production and composition of iPSC-derived T-cells and their use in cellular immunotherapy, and have a license from MSKCC to two patent families covering novel CAR constructs as well as off-the-shelf CAR T-cells, including the use of CRISPR and other innovative technologies for their production. Collectively, this portfolio covers compositions of CAR constructs, compositions of T-cells and NK cells derived from pluripotent cells which are engineered with CARs, methods of engineering pluripotent cell lines, methods of deriving CAR T-cells from CAR expressing pluripotent stem cells, and methods of using CRISPR for producing off-the-shelf T-cell immunotherapies. Any U.S. patents that may issue from patent applications pending in this portfolio are expected to have statutory expiration dates between 2034 and 2038.</w:t>
      </w:r>
    </w:p>
    <w:p>
      <w:pPr>
        <w:spacing w:after="0" w:line="81" w:lineRule="exact"/>
        <w:rPr>
          <w:sz w:val="20"/>
          <w:szCs w:val="20"/>
          <w:color w:val="auto"/>
        </w:rPr>
      </w:pPr>
    </w:p>
    <w:p>
      <w:pPr>
        <w:ind w:right="360" w:firstLine="599"/>
        <w:spacing w:after="0" w:line="261" w:lineRule="auto"/>
        <w:rPr>
          <w:sz w:val="20"/>
          <w:szCs w:val="20"/>
          <w:color w:val="auto"/>
        </w:rPr>
      </w:pPr>
      <w:r>
        <w:rPr>
          <w:rFonts w:ascii="Times New Roman" w:cs="Times New Roman" w:eastAsia="Times New Roman" w:hAnsi="Times New Roman"/>
          <w:sz w:val="18"/>
          <w:szCs w:val="18"/>
          <w:color w:val="auto"/>
        </w:rPr>
        <w:t xml:space="preserve">In addition, we have licensed exclusive rights from the Max Delbruck Center for Molecular Medicine to intellectual property directed to novel humanized antibody fragments, antigen-binding domains and CAR constructs that </w:t>
      </w:r>
      <w:r>
        <w:rPr>
          <w:rFonts w:ascii="Times New Roman" w:cs="Times New Roman" w:eastAsia="Times New Roman" w:hAnsi="Times New Roman"/>
          <w:sz w:val="18"/>
          <w:szCs w:val="18"/>
          <w:color w:val="222222"/>
        </w:rPr>
        <w:t>uniquely target and specifically bind BCMA. Under the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agreement, we are granted an exclusive license for use in allogeneic engineered pluripotent stem cells. Any patents issuing from </w:t>
      </w:r>
      <w:r>
        <w:rPr>
          <w:rFonts w:ascii="Times New Roman" w:cs="Times New Roman" w:eastAsia="Times New Roman" w:hAnsi="Times New Roman"/>
          <w:sz w:val="18"/>
          <w:szCs w:val="18"/>
          <w:color w:val="000000"/>
        </w:rPr>
        <w:t>patent applications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pending in the U.S. and internationally in this portfolio are expected to have statutory expiration dates between 2033 and 2037.</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also licensed exclusive rights from the Dana-Farber Cancer Institute (DFCI) to certain intellectual property covering novel antibody fragments that uniquely and specifically bind the alpha-3 domain of MICA/B. We are granted exclusive worldwide rights for use in iPSC-derived cellular therapeutics for the treatment of human disease under the license agreement. Any patents that may issue from patent applications pending in this portfolio are expected to have statutory expiration dates in 2038.</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27" w:name="page28"/>
    <w:bookmarkEnd w:id="2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we have licensed exclusive rights from Baylor College of Medicine (Baylor) to intellectual property covering the composition and use of a novel ADR that selectively targets activated T-cells to protect engineered allogeneic cell products expressing the ADR from elimination in the host immune system. Under the license agreement with Baylor, we are granted exclusive worldwide rights to use ADR in the field of iPSC-derived cell products, including T-cells and NK cells derived from iPSCs engineered with ADRs. As of February 19, 2026, the portfolio includes four issued patents and 14 pending applications broadly applicable to making and using ADR-expressing effector cells, including T-cells and NK cells differentiated from iPSCs engineered with ADRs. We expect U.S. patents related to this technology to have statutory expiration dates starting in 2039.</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CRISPR Engineering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August 2019, we entered into a license agreement with Inscripta, Inc. Under the license agreement, we obtained a royalty-free, irrevocable license to a patent portfolio covering the composition, production and use of MAD7, a novel gene-editing CRISPR endonuclease from the </w:t>
      </w:r>
      <w:r>
        <w:rPr>
          <w:rFonts w:ascii="Times New Roman" w:cs="Times New Roman" w:eastAsia="Times New Roman" w:hAnsi="Times New Roman"/>
          <w:sz w:val="18"/>
          <w:szCs w:val="18"/>
          <w:i w:val="1"/>
          <w:iCs w:val="1"/>
          <w:color w:val="auto"/>
        </w:rPr>
        <w:t>Eubacterium rectale</w:t>
      </w:r>
      <w:r>
        <w:rPr>
          <w:rFonts w:ascii="Times New Roman" w:cs="Times New Roman" w:eastAsia="Times New Roman" w:hAnsi="Times New Roman"/>
          <w:sz w:val="18"/>
          <w:szCs w:val="18"/>
          <w:color w:val="auto"/>
        </w:rPr>
        <w:t xml:space="preserve"> genome. The intellectual property includes issued patents and pending applications broadly applicable to MAD7 and the editing of mammalian cells. Our license covers the making and using of MAD7 for editing iPSCs, making master engineered iPSC lines and using master engineered iPSC lines to manufacture human therapeutic products. We expect U.S. patents related to this work to have statutory expiration dates starting in 2037.</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the Programming of Hematopoietic Cells</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As of February 19, 2026, we own 17 families of U.S. and foreign patents and pending patent applications covering our cell programming technology and compositions of programmed cellular immunotherapies. This portfolio includes over 150 issued patents or pending patent applications relating to methods of programming the biological properties and therapeutic function of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and the resulting therapeutic compositions of hematopoietic and immune cells. Patents and patent applications in this portfolio include claims covering (i) therapeutic compositions of hematopoietic and immune cells, including T-cells, NK cells, and CD34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that have been programmed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with one or more agents to optimize their therapeutic function for application in oncology and immune diseases and (ii) methods of programming cells including by the activation or inhibition of therapeutically-relevant genes and cell-surface proteins, such as those involved in the homing, proliferation and survival of hematopoietic cells or those involved in the persistence, proliferation and reactivity of immune cells. Any U.S. patents within this portfolio that have issued or may yet issue from pending patent applications are expected to have statutory expiration dates between 2032 and 2044.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Material Technology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Minnesota</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December 2016, we entered into a license agreement with the Regents of the University of Minnesota for rights relating to compositions and methods relating to NK cells, to modifications of cytotoxic receptors naturally expressed on NK cells including the CD16 Fc receptor, and to CARs for expression on NK cells. Under our agreement with the University of Minnesota, we acquired an exclusive royalty-bearing, sublicensable, worldwide license to make, use and sell licensed products in all fields for commercial purposes. The licensed patent rights are described in more detail above under “Intellectual Property Relating to the Programming of Hematopoietic Cells.” The University of Minnesota retains the right to practice the patent rights for research, teaching and educational purposes, including in corporate-sponsored research subject to certain limitations during the initial three years of the license agreement. The University of Minnesota also retains the right to license other academic and non-profit research institutes to practice the patent rights for research, teaching and educational purposes, but not for corporate-sponsored research. Our license is also subject to pre-existing rights of the U.S. government.</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pay the University of Minnesota an annual license maintenance fee during the term of the agreement, and are also required to make payments of up to $4.6 million for development, regulatory and commercial milestones achieved with respect to each of the first three licensed products. If commercial sales of a licensed product commence, we will also be required to pay royalties at percentage rates in the low-single digits on net sales of licensed products. Our royalty payments are subject to reduction for any third-party payments required to be made until a minimum royalty percentage has been reached. In the event that we sublicense the patent rights, the University of Minnesota is also entitled to receive a percentage of the sublicensing income received by us.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the license agreement with the University of Minnesota, we are obligated to use commercially reasonable efforts to develop and make commercially available licensed products. In particular, we are required to conduct activities toward specific development milestones of licensed products on an annual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8" w:name="page29"/>
    <w:bookmarkEnd w:id="28"/>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license agreement will continue until the abandonment of all patent rights or expiration of the last to expire licensed patent. The University of Minnesota may terminate the agreement if we default in the performance of any of our obligations and fail to cure the default within a specified grace period. The University of Minnesota may also terminate the agreement if we cease to carry out our business or become bankrupt or insolvent. We may terminate the agreement for any reason upon prior written notice to the University of Minnesota and payment of all amounts due to the University of Minnesota through the date of termination.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Memorial Sloan-Kettering Cancer Center (MSKCC)</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May 2018, we entered into an amended and restated license agreement with MSKCC. The agreement amends and restates the exclusive license agreement we entered into with MSKCC in August 2016, under which we obtained rights relating to compositions and methods covering iPSC-derived cellular immunotherapy, including T-cells and NK cells derived from iPSCs engineered with CARs. Pursuant to the amended and restated license agreement, we continue to hold exclusive rights to the foregoing patents and patent applications, and obtained additional licenses to certain patents and patent applications relating to compositions and methods covering novel CAR constructs as well as off-the-shelf CAR T-cells, including the use of CRISPR and other innovative technologies for their production.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our amended and restated agreement with MSKCC, we have royalty-bearing worldwide licenses to make, use and sell licensed products in all fields for human therapeutic uses. The licensed patent rights are described in more detail above under “Intellectual Property Relating to iPSC Technology.” For those patent families where our rights are exclusive, MSKCC retains the right to practice the patent rights for research, teaching and non-clinical research purposes, and to license other academic and non-profit research institutes to practice the patent rights for research, teaching and non-clinical research purposes. Our licenses are also subject to pre-existing rights of the U.S. government.</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amended and restated agreement, we are required to pay MSKCC an annual license maintenance fee during the term of the agreement, and are also required to make payments of up to $12.5 million for development, regulatory and commercial milestones achieved with respect to each licensed product. If commercial sales of a licensed product commence, we will also be required to pay royalties at percentage rates up to the high-single digits on net sales of licensed products. Our royalty payments are subject to reduction for any third-party payments required to be made until a minimum royalty percentage has been reached. In the event that we sublicense the patent rights, MSKCC is also entitled to receive a percentage of the sublicensing income received by us. Additionally, in the event a licensed product achieves a specified clinical milestone, MSKCC is then eligible to receive additional milestone payments, where the amount of such payments owed to MSKCC are contingent upon certain increases in the price of our common stock following the date of achievement of such clinical milestone.</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Under the amended and restated agreement with MSKCC, we are obligated to use commercially reasonable efforts to develop and make commercially available licensed products. In particular, we are required to conduct activities and commit a minimum amount of funding toward specific development milestones of licensed products on an annual basis.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agreement will continue until the abandonment of all patent rights or expiration of the last to expire licensed patent. MSKCC may terminate the agreement if we default in the performance of any of our obligations and fail to cure the default within a specified grace period, if we cease to carry out our business or become bankrupt or insolvent, or if we institute a proceeding to challenge the patent rights. We may terminate the agreement for any reason upon prior written notice to MSKCC.</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Max Delbruck Center (MDC)</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2018, we entered into a license agreement with Max Delbruck Center for Molecular Medicine (MDC) for rights relating to novel humanized antibody fragments, antigen-binding domains and CAR constructs that </w:t>
      </w:r>
      <w:r>
        <w:rPr>
          <w:rFonts w:ascii="Times New Roman" w:cs="Times New Roman" w:eastAsia="Times New Roman" w:hAnsi="Times New Roman"/>
          <w:sz w:val="18"/>
          <w:szCs w:val="18"/>
          <w:color w:val="222222"/>
        </w:rPr>
        <w:t>uniquely target and specifically bind BCMA. Under our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agreement with MDC, we acquired </w:t>
      </w:r>
      <w:r>
        <w:rPr>
          <w:rFonts w:ascii="Times New Roman" w:cs="Times New Roman" w:eastAsia="Times New Roman" w:hAnsi="Times New Roman"/>
          <w:sz w:val="18"/>
          <w:szCs w:val="18"/>
          <w:color w:val="000000"/>
        </w:rPr>
        <w:t>an exclusive royalty-bearing, sublicensable, worldwide license to make, use and sell products covered by the licensed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patent rights, and to perform licensed processes, in each case, using cells derived from allogeneic engineered stem cells. </w:t>
      </w:r>
      <w:r>
        <w:rPr>
          <w:rFonts w:ascii="Times New Roman" w:cs="Times New Roman" w:eastAsia="Times New Roman" w:hAnsi="Times New Roman"/>
          <w:sz w:val="18"/>
          <w:szCs w:val="18"/>
          <w:color w:val="222222"/>
        </w:rPr>
        <w:t>MDC</w:t>
      </w:r>
      <w:r>
        <w:rPr>
          <w:rFonts w:ascii="Times New Roman" w:cs="Times New Roman" w:eastAsia="Times New Roman" w:hAnsi="Times New Roman"/>
          <w:sz w:val="18"/>
          <w:szCs w:val="18"/>
          <w:color w:val="000000"/>
        </w:rPr>
        <w:t xml:space="preserve"> retains a non-exclusive right to use the technology for its own internal research, teaching, and educational purposes.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9" w:name="page30"/>
    <w:bookmarkEnd w:id="29"/>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pay to MDC an annual license maintenance fee during the term of the agreement. We also are required to make product development, regulatory and sales milestones payments to MDC of up to $11 million per product. If commercial sales of a licensed product commence, we will pay MDC royalties at percentage rates ranging in the low single digits on net sales of licensed products in countries where such product is protected by patent rights. Our obligation to pay royalties continues on a country-by-country basis until the expiration of all licensed patent rights covering licensed products in such country, and our royalty payments will be reduced by other payments we are required to make to third parties in certain circumstances until a minimum royalty percentage has been reached. In the event that we sublicense the patent rights, MDC is also entitled to receive a percentage of the sublicensing income received by us.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license with MDC, we are obligated to use commercially reasonable efforts to develop and obtain approval of a licensed product.</w:t>
      </w:r>
    </w:p>
    <w:p>
      <w:pPr>
        <w:spacing w:after="0" w:line="117"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agreement will expire concurrently with patent rights on a country-by-country basis. We may terminate the agreement by providing prior written notice to MDC, and MDC has the right to terminate the agreement if we materially breach the agreement and fail to cure such breach within a specified grace period.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Whitehead Institute for Biomedical Research</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February 2009, we entered into a license agreement with the Whitehead Institute for Biomedical Research, as amended in October 2009 and September 2010, for rights relating to compositions and methods for reprogramming somatic cells to a less differentiated or pluripotent state. Under our agreement with the Whitehead Institute, we acquired an exclusive royalty-bearing, sublicensable, worldwide license to make, use and sell licensed products in all fields for commercial purposes, excluding the sale or distribution of reagents for basic research use. The licensed patent rights are described in more detail above under “Intellectual Property Relating to iPSC Technology.” The Whitehead Institute retains the right to practice the patent rights for research, teaching and educational purposes, including in corporate-sponsored research under limited circumstances and in some cases only after obtaining our consent. The Whitehead Institute also retains the right to license other academic and non-profit research institutes to practice the patent rights for research, teaching and educational purposes, but not for corporate-sponsored research. Our license is also subject to pre-existing rights of the U.S. government.</w:t>
      </w:r>
    </w:p>
    <w:p>
      <w:pPr>
        <w:spacing w:after="0" w:line="8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pay the Whitehead Institute an annual license maintenance fee during the term of the agreement, and are also required to make payments of up to $2.3 million for development and regulatory milestones achieved with respect to licensed products. If commercial sales of a licensed product commence, we will also be required to pay royalties at percentage rates in the low-single digits on net sales of licensed products. Our royalty payments are subject to reduction for any third-party payments required to be made until a minimum royalty percentage has been reached. In the event that we sublicense the patent rights, the Whitehead Institute is also entitled to receive a percentage of the sublicensing income received by us.</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the license agreement with the Whitehead Institute, we are obligated to use commercially reasonable efforts to develop and commercialize licensed products, and to make licensed products or processes reasonably available to the public. In particular, we are required to commit a minimum amount of funding toward the development of a licensed product on an annual basis or conduct activities toward specific development milestones.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agreement will continue until the abandonment of all patent rights or expiration of the last to expire licensed patent. The Whitehead Institute may terminate the agreement if we default in the performance of any of our obligations and fail to cure the default within a specified grace period, or if we institute a proceeding to challenge the patent rights. The Whitehead Institute may also terminate the agreement if we cease to carry out our business or become bankrupt or insolvent. We may terminate the agreement for any reason upon prior written notice to the Whitehead Institute and payment of all amounts due to the Whitehead Institute through the date of termination.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various license agreements with The Scripps Research Institute (TSRI) for rights relating to compositions and methods for reprogramming somatic cells, including the use of various small molecule classes and compounds in the reprogramming and maintenance of iPSCs. Under our agreements with TSRI (the TSRI License Agreements), we acquired exclusive royalty-bearing, sublicensable, worldwide licenses to make, use and sell products covered by the licensed patent rights, and to perform licensed processes, in each case, in all fields. The licensed patent rights are described in more detail above under “Intellectual Property Relating to iPSC Technology.” TSRI retains a non-exclusive right to practice and use the patent rights for non-commercial educational and research purposes, and to license other academic and non-profit research institutions to practice the patent rights for internal basic research and education purposes. Under certain of our TSRI License Agreements, other third parties maintain a right to practice the patent rights for their internal use only. Our license is also subject to pre-existing rights of the U.S. government.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0" w:name="page31"/>
    <w:bookmarkEnd w:id="30"/>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TSRI License Agreements, we are required to pay to TSRI annual minimum fees during the term of each agreement. Additionally, upon the achievement of specific regulatory and commercial milestones, we are required to make payments to TSRI of up to approximately $1.8 million under each of the TSRI License Agreements. We will also be required to pay TSRI royalties at percentage rates ranging in the low- to mid-single digits on net sales of licensed products. In the event that we sublicense the patent rights, TSRI is also entitled to receive a percentage of the sublicensing income received by us.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TSRI License Agreements, we are obligated to use commercially reasonable efforts to meet the development benchmarks set out in development plans under each of the TSRI License Agreements, or otherwise expend a minimum specified amount per year for product development. TSRI has the right to terminate any TSRI License Agreement if we fail to perform our obligations under the applicable agreement, including failure to meet any development benchmark or to use commercially reasonable efforts and due diligence to develop a licensed product, or if we otherwise breach the agreement, challenge the licensed patent rights, are convicted of a felony involving the development or commercialization of a licensed product or process, or become insolvent. We may terminate any of our TSRI License Agreements by providing ninety days’ written notice to TSRI. Each TSRI License Agreement otherwise terminates upon the termination of royalty obligations under such agreement.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Dana-Farber Cancer Institute (DFCI)</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April 2020, we entered into a license agreement with the DFCI for rights relating to novel antibody fragments that uniquely and specifically bind the alpha-3 domain of MICA/B. Under our license agreement with DFCI, we acquired an exclusive royalty-bearing, sublicensable, worldwide license to make, use and sell products covered by the licensed patent rights in the field of iPSC-derived cellular therapeutics for the treatment of human disease, and a non-exclusive royalty-bearing, sublicensable, worldwide license to make, use and sell products covered by the licensed patent rights in the field of cellular therapeutics for the treatment of human disease. DFCI retains the right to practice and to license to other academic, government and non-profit institutes to practice the patent rights for research, teaching and education purposes, as well as to license third parties to practice the patents rights to make or sell research reagents or other research tools solely for use in research. Our licenses are also subject to pre-existing rights of the U.S. government.</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make minimum annual payments to DFCI throughout the term of the agreement. We also are required to make development, commercialization and sales milestones payments to DFCI of up to $25 million per licensed product. If commercial sales of a licensed product commence, we will pay DFCI royalties at percentage rates ranging in the low single digits on net sales of licensed products in countries where such product is protected by licensed patent rights. Our obligation to pay royalties continues on a country-by-country basis until the expiration of all licensed patent rights covering licensed products in such country, and our royalty payments will be reduced by other payments we are required to make to third parties in certain circumstances until a minimum royalty percentage has been reached. In the event that we sublicense the patent rights, DFCI is also entitled to receive a percentage of the sublicensing income received by us.</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Under our agreement with DFCI, we are obligated to use reasonable efforts to develop and bring one or more licensed products to the marketplace through a program of development, production and distribution, including by meeting certain diligence benchmarks with respect to exclusively licensed products.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agreement will continue until the expiration of the last to expire licensed patent. DFCI may terminate the agreement for cause, including if we default in the performance of any of our obligations and fail to cure the default within a specified grace period, if an officer of ours (or of an affiliate or sublicensee) is convicted of a felony related to the manufacture, use, sale or import of a licensed product, if we cease to carry out our business or become bankrupt or insolvent, and if we institute a proceeding to challenge the patent rights. DFCI may also terminate our exclusive license if we fail to materially comply with our diligence obligations. We may terminate the agreement for any reason in its entirety or on a product-by-product or country-by-country basis upon prior written notice to DFCI and payment of all amounts due to DFCI through the date of termination.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Baylor College of Medicine (Baylor)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April 2020, we entered into a license agreement with Baylor for rights pertaining to a novel ADR that selectively targets activated T-cells to protect engineered allogeneic effector cells expressing the ADR from elimination in the host immune system. Under our agreement, we obtained an exclusive royalty-bearing, sublicensable, worldwide license to make, use and sell products covered by the licensed patent rights in the field of iPSC-derived cell products, including T-cells and NK cells derived from iPSCs engineered with ADRs. Baylor retains the right to practice and license to other academic, government and research institutes for non-commercial research purposes. Our licenses are also subject to pre-existing rights of the U.S. government.</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license agreement, we are obligated to make a minimum annual royalty payment to Baylor starting in 2024. We are also required to make development and regulatory milestone payments to Baylor for the first three distinct licensed products, where the milestone payments total up to $7 million for the first licensed product, and are reduced by fifty percent (50%) for each of the second and third licensed products. If commercial sales of a licensed product commence, we will pay Baylor a low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1" w:name="page32"/>
    <w:bookmarkEnd w:id="31"/>
    <w:p>
      <w:pPr>
        <w:ind w:right="20"/>
        <w:spacing w:after="0" w:line="261" w:lineRule="auto"/>
        <w:rPr>
          <w:sz w:val="20"/>
          <w:szCs w:val="20"/>
          <w:color w:val="auto"/>
        </w:rPr>
      </w:pPr>
      <w:r>
        <w:rPr>
          <w:rFonts w:ascii="Times New Roman" w:cs="Times New Roman" w:eastAsia="Times New Roman" w:hAnsi="Times New Roman"/>
          <w:sz w:val="18"/>
          <w:szCs w:val="18"/>
          <w:color w:val="auto"/>
        </w:rPr>
        <w:t>single-digit percentage royalty on net sales of licensed products in countries where the product is protected by licensed patent rights. Our obligation to pay royalties continues on a country-by-country basis until the expiration of all licensed patent rights in that country, with possible reductions for payments that we are required to make to third parties. In the event that we sublicense the patent rights, Baylor is entitled to receive a percentage of our sublicensing income.</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Under the license agreement, we are obligated to use reasonable efforts to develop and introduce licensed products to the commercial market including by meeting certain diligence timelines. These timelines are extendable by us for one year upon a one-time payment, subject to Baylor’s discretion for further extensions.</w:t>
      </w:r>
    </w:p>
    <w:p>
      <w:pPr>
        <w:spacing w:after="0" w:line="68"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 to expire licensed patent. Baylor has the right to terminate the agreement if we materially default in the performance of any terms and fail to correct the default within a specified grace period after Baylor’s written notice. Termination by Baylor is also possible if we are subject to insolvency or similar proceedings, assignment of all or substantially all of our assets for the benefit of creditors, or the appointment of a trustee, in each case that are not dismissed, stayed or suspended within 30 days following such events. We retain the right to terminate the agreement for any cause, upon prior written notice to Baylor and payment of all amounts due to Baylor under the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Off-the-shelf, Multiplexed-engineered, iPSC-derived Cellular Immunotherapies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manufacture of our off-the-shelf, multiplexed-engineered, iPSC-derived CAR T-cell and CAR NK cell product candidates involves a three-stage process:</w:t>
      </w:r>
    </w:p>
    <w:p>
      <w:pPr>
        <w:spacing w:after="0" w:line="54" w:lineRule="exact"/>
        <w:rPr>
          <w:sz w:val="20"/>
          <w:szCs w:val="20"/>
          <w:color w:val="auto"/>
        </w:rPr>
      </w:pPr>
    </w:p>
    <w:p>
      <w:pPr>
        <w:ind w:left="1020" w:right="8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stage is intended to generate a clonal master iPSC line and generally consists of the following steps: (i) obtain appropriately-consented healthy human donor cells, such as fibroblasts or hematopoietic cells, and conduct transfusion transmissible disease testing on the donor cells; (ii) induction of pluripotency in the donor cells using a proprietary transgene integration-free and footprint-free method of reprogramming; (iii) genetic engineering of iPSCs; and (iv) isolation and selection of a single iPSC, followed by clonal expansion of the single iPSC to produce a clonal master iPSC line for cell product manufacture.</w:t>
      </w:r>
    </w:p>
    <w:p>
      <w:pPr>
        <w:spacing w:after="0" w:line="75" w:lineRule="exact"/>
        <w:rPr>
          <w:rFonts w:ascii="Times New Roman" w:cs="Times New Roman" w:eastAsia="Times New Roman" w:hAnsi="Times New Roman"/>
          <w:sz w:val="18"/>
          <w:szCs w:val="18"/>
          <w:color w:val="auto"/>
        </w:rPr>
      </w:pPr>
    </w:p>
    <w:p>
      <w:pPr>
        <w:ind w:left="1020" w:right="100" w:hanging="503"/>
        <w:spacing w:after="0" w:line="24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stage is intended to derive the cell product population of interest and generally consists of the following steps: (i) expansion and differentiation of the clonal master iPSC line to produce CD34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definitive hematopoietic progenitor cells; and (ii) further expansion and differentiation of these progenitor cells to produce the cell product population of interest.</w:t>
      </w:r>
    </w:p>
    <w:p>
      <w:pPr>
        <w:spacing w:after="0" w:line="90"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stage is intended to derive the final cell product and generally consists of the following steps: (i) washing the cell product population; (ii) formulating the cell product population in an infusion media for intravenous administration of the final cell product; and (iii) cryopreserving individual aliquots of the final cell product and storing these aliquots in single-dose infusion bags.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manufacturing process, we endeavor to utilize current Good Manufacturing Practice (cGMP) grade materials and reagents, if commercially available; however, certain critical materials and reagents are currently qualified for research use only. Additionally, we obtain key components required for the manufacture of our iPSC-derived cell product candidates from third-party manufacturers and suppliers, which include, in some instances, sole source manufacturers and suppliers. We do not currently have long-term commitments or supply agreements in place to obtain certain key components used in the manufacture of our iPSC-derived cell product candidates.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operate a cGMP-compliant manufacturing facility for the production of our iPSC-derived cell product candidates for use in research, preclinical development, and clinical development. Our manufacturing facility is located in San Diego, California, and is custom designed for the production of off-the-shelf cell product candidates using clonal master iPSC lines as the starting cell source. The state-of-the-art facility has been commissioned and qualified, and we have been issued drug manufacturing licenses for the facility by the State of California, Department of Health Services, Food and Drug Branch. We believe we are positioned to support manufacturing and production of our product candidates for all phases of clinical development as well as initial commercialization.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also contract with third parties, including medical center cell therapy facilities and contract manufacturing organizations (CMOs), for the conduct of some of the activities required to manufacture our iPSC-derived cell product candidates for use in clinical investigation. We expect that we will continue to contract with third parties, including medical center cell therapy facilities and CMOs, for the conduct of certain of the activities required to manufacture our iPSC-derived cell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Marketing, Market Access and Sales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currently intend to commercialize any products that we may successfully develop. We currently have no experience in marketing, market access or selling therapeutic products. We may need to further evaluate and generate evidence beyond what is generated in our clinical programs that would satisfy the needs of payers and healthcare technology assessment (HTA) bodies. To market any of our products independently would also require us to develop a sales force with technical expertise along with establishing commercial infrastructure and capabilities. Our commercial strategy for marketing our product candidates also may include the use of strategic partners, distributors, a contract sales force or the establishment of our own commercial infrastructure. We plan to further evaluate these alternatives as we approach approval for the first of our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the FDA regulates biological products under the Federal Food, Drug, and Cosmetic Act (the FDCA) and the Public Health Service Act (the PHS Act) and related regulations. Biological products are also subject to other federal, state, local, and foreign statutes and regulations. The FDA and comparable regulatory agencies in state and local jurisdictions and in foreign countries impose substantial requirements upon the clinical development, manufacture and marketing of biological products. These agencies and other federal, state, local, and foreign entities regulate research and development activities and the testing, manufacture, quality control, safety, effectiveness, packaging, labeling, storage, distribution, record keeping, reporting, approval or licensing, advertising and promotion, and import and export related to biological products such as those we are developing. Failure to comply with the applicable U.S. regulatory requirements at any time during the product development process, approval process or after approval may subject an applicant to administrative or judicial sanctions. FDA sanctions include refusal to approve pending applications, withdrawal of an approval or suspension or revocation of a license, clinical hold or study termination, FDA Form 483s, warning or untitled letters, voluntary or mandatory product recalls, product seizures, total or partial suspension of production or distribution, injunctions, fines, debarment or refusals from government contracts, mandated corrective advertising or communications with doctors, debarment, restitution, disgorgement of profits, or civil or criminal penalties. As we have seen in recent years, different laws and regulations on the same topic may not always have the same requirements, and even when requirements overlap, the rules are not always consistently implemented, interpreted, and enforced across jurisdictions. In addition, government regulation may delay or prevent marketing of product candidates for a considerable period of time and impose costly procedures upon our activities.</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biological products may be marketed in the United States generally involves the following:</w:t>
      </w:r>
    </w:p>
    <w:p>
      <w:pPr>
        <w:spacing w:after="0" w:line="117" w:lineRule="exact"/>
        <w:rPr>
          <w:sz w:val="20"/>
          <w:szCs w:val="20"/>
          <w:color w:val="auto"/>
        </w:rPr>
      </w:pPr>
    </w:p>
    <w:p>
      <w:pPr>
        <w:ind w:left="1020" w:right="4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and animal tests according to good laboratory practices (GLPs)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independent institutional review board (IRB), or ethics committee at each clinical trial site before each trial may be initiated;</w:t>
      </w:r>
    </w:p>
    <w:p>
      <w:pPr>
        <w:spacing w:after="0" w:line="53"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practices (GCPs) and any additional requirements for the protection of human research subjects and their health information, to establish the safety and efficacy of the proposed biological product for its intended use or uses;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(BLA) for marketing approval that includes substantive evidence of safety, purity, and potency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manufacturing facilities where the product is produced to assess compliance with the FDA’s cGMPs to assure that the facilities, methods and controls are adequate, and, if applicable, current good tissue practices (cGTPs) for the use of human cellular and tissue products to prevent the introduction, transmission or spread of communicable diseases;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sites and clinical trial sites that generated the data in support of the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fee waiver applies);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which must occur before a biological product can be marketed or sold.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and Drug Development Process</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biological product candidate in humans, nonclinical tests, including laboratory evaluations and animal studies to assess the potential safety and activity of the product candidate, are conducted. The conduct of the nonclinical tests must comply with federal regulations and requirements including GLPs.</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Prior to commencing the first clinical trial, the trial sponsor must submit the results of the nonclinical tests, together with manufacturing information, analytical data, any available clinical data or literature and a proposed clinical protocol, to the FDA as part of an initial IND application. Some nonclinical testing may continue even after the IND application is submitted. The IND application automatically becomes effective 30 days after receipt by the FDA unless the FDA, within the 30-day time period, raises concerns or questions about the conduct of the clinical trial and places the trial on a clinical hold. In such case, the sponsor of the IND application must resolve any outstanding concerns with the FDA before the clinical trial may begin. The FDA also may impose a clinical hold on ongoing clinical trials due to safety concerns or non-compliance. If a clinical hold is imposed, a trial may not recommence without FDA authorization and then only under terms authorized by the FDA. A clinical hold may either be a full clinical hold or a partial clinical hold that would limit a trial, for example, to certain doses or for a certain length of time or to a certain number of subjects. Further, an independent IRB for each site proposing to conduct the clinical trial must review and approve the plan for any clinical trial before it commences at that site. An IRB is charged with protecting the welfare and rights of study subjects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rules that assure a clinical trial will be stopped if certain adverse events occur. Each protocol and any amendments to the protocol must be submitted to the FDA and to the IRB. Information about certain clinical studies must be submitted with specific timeframes to the National Institutes of Health for public dissemination at www.clinicaltrials.gov.</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sponsor that wishes to conduct a clinical trial outside of the U.S.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ind w:left="1020" w:right="1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trials may also provide early evidence on effectiveness.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2—These trials are conducted in a limited number of patients in the target population to identify possible adverse effects and safety risks, to preliminarily evaluate the efficacy of the product for specific targeted diseases and to determine dosage tolerance and optimal dosage. Multiple Phase 2 clinical trials may be conducted by the sponsor to obtain information prior to beginning larger and more expensive Phase 3 clinical trials.</w:t>
      </w:r>
    </w:p>
    <w:p>
      <w:pPr>
        <w:spacing w:after="0" w:line="71" w:lineRule="exact"/>
        <w:rPr>
          <w:rFonts w:ascii="Times New Roman" w:cs="Times New Roman" w:eastAsia="Times New Roman" w:hAnsi="Times New Roman"/>
          <w:sz w:val="18"/>
          <w:szCs w:val="18"/>
          <w:color w:val="auto"/>
        </w:rPr>
      </w:pPr>
    </w:p>
    <w:p>
      <w:pPr>
        <w:ind w:left="1020" w:right="6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trials are undertaken to provide statistically significant evidence of clinical efficacy and to further evaluate dosage, potency, and safety in an expanded patient population at multiple clinical trial sites. They are performed after preliminary evidence suggesting effectiveness of the product has been obtained, and are intended to establish the overall benefit-risk relationship of the investigational product, and to provide an adequate basis for product approval and physician labeling.</w:t>
      </w:r>
    </w:p>
    <w:p>
      <w:pPr>
        <w:spacing w:after="0" w:line="71"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4—In some cases, the FDA may condition approval of a BLA for a product candidate on the sponsor’s agreement to conduct additional clinical studies to further assess the candidate’s safety and effectiveness after approval. Such post-approval trials are typically referred to as Phase 4 clinical trials. The FDA has statutory authority to require post-market clinical trials to address safety issues. A sponsor may also voluntarily conduct additional clinical studies after approval to gain more information about their product. All of these trials must be conducted in accordance with GCP requirements in order for the data to be considered reliable for regulatory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4" w:name="page35"/>
    <w:bookmarkEnd w:id="34"/>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Within 15 calendar days after the sponsor determines that the information qualifies for reporting, written IND safety reports must be submitted to the FDA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trial is not being conducted in accordance with the IRB’s requirements or if the investigated product has been associated with unexpected serious harm to patients, and the trial may not recommence without the IRB’s authorization.</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Typically, if a product is intended to treat a chronic disease, safety and efficacy data must be gathered over an extended period of time, which can range from six months to three years or more.</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animal studies and must also develop additional information about the physical characteristics of the investigational product and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drug being studied in clinical trials may be made available to individual patients in certain circumstances. Pursuant to the 21st Century Cures Act (the Cures Act), as amended,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RMAT. Further, the Right to Try Act of 2017 among other things, provides a federal framework for certain patients to request access to certain IND products that have completed a Phase 1 clinical trial and that are undergoing investigation for FDA approval. There is no obligation for a pharmaceutical manufacturer to make its drug products available to eligible patients as a result of the Right to Try Act. We review each individual request for access through the Cures Act, the Right to Try Act and similar state laws, and may or may not provide access depending upon the facts of each request.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order to obtain approval to market a biological product in the United States, a BLA must be submitted to the FDA that provides data establishing to the FDA’s satisfaction the safety, purity and potency of the investigational product for the proposed indication. A BLA includes all data available from nonclinical studies and clinical trials, together with detailed information relating to the product’s manufacture and composition, and proposed labeling.</w:t>
      </w:r>
    </w:p>
    <w:p>
      <w:pPr>
        <w:spacing w:after="0" w:line="6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user fee. PDUFA also imposes an annual prescription drug product program fee for biologics and drugs. The FDA adjusts the PDUFA user fees on an annual basis. Fee waivers or reductions are available in certain circumstances, including a waiver of the application fee for the first application filed by a small business having fewer than 500 employees. Additionally, no user fees are assessed on BLAs for products designated as orphan drugs, unless the product also includes a non-orphan indication.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35" w:name="page36"/>
    <w:bookmarkEnd w:id="35"/>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FDA has 60 days from its receipt of a BLA to determine whether the application will be accepted for filing based on the agency’s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effective for its intended use, and has an acceptable purity profile, and whether the product is being manufactured in accordance with cGMPs to assure and preserve the product’s identity, safety, strength, quality, potency, and purity, and for a biological product, whether it meets the biological product standards. The FDA may refer applications for novel products or products that present difficult questions of safety or efficacy to an advisory committee, typically comprised of clinicians and other experts, for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ensure consistent production of the product within required specifications. For a human cellular or tissue product, the FDA also will not approve the product if the manufacturer is not in compliance with cGTPs. FDA regulations also require tissue establishments to register and list their human cells, tissues, and cellular and tissue-based products (HCT/Ps) with the FDA and, when applicable, to evaluate donors through screening and testing. Additionally, before approving a BLA, the FDA may inspect clinical sites to ensure that the clinical trials were conducted in compliance with IND study requirements and GCPs. If the FDA determines the manufacturing process or manufacturing facilities are not acceptable, it typically will outline the deficiencies and often will require the facility to take corrective action and provide documentation evidencing the implementation of such corrective action, which may delay further review of the application. If the FDA finds that a clinical site did not conduct the clinical trial in accordance with GCPs, the FDA may determine the data generated by the site should be excluded from the primary efficacy analyses provided in the BLA, and request additional testing or data. Additionally, the FDA ultimately may still decide that the application does not satisfy the regulatory criteria for approval.</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These elements are negotiated as part of the BLA approval, and in some cases may delay the approval date. Once adopted, REMS are subject to periodic assessment and modification.</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After the FDA completes its initial review of a BLA, it will communicate to the sponsor that the biological product will either be approved, or it will issue a complete response letter to communicate that the BLA will not be approved in its current form. The complete response letter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to address all of the deficiencies identified in the letter, or withdraw the application, or request a hearing. Even if such data and information are submitted, the FDA may decide that the BLA does not satisfy the criteria for approval.</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One of the performance goals of the FDA under PDUFA is to review 90% of standard BLAs in 10 months of the 60-day filing date and 90% of priority BLAs in six months of the 60-day filing date, whereupon a review decision is to be made. The FDA does not always meet its PDUFA goal dates for standard and priority BLAs and its review goals are subject to change from time to time. The review process and the PDUFA goal data may be extended in certain circumstances, such as by three months if a major amendment is submitted at any time during the review cycle.</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Even if a product candidate receives regulatory approval, the approval may be limited to specific disease states, patient populations and dosages, or the indications for use may otherwise be limited.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Phase 4 post-marketing clinical trials and testing and surveillance programs to monitor the safety of approved products that have been commercialized. Further, even after regulatory approval is obtained, later discovery of previously unknown problems with a product may result in the imposition of new restrictions on the product or complete withdrawal of the product from the market.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Products manufactured or distributed pursuant to FDA approvals are subject to continuing regulation by the FDA, including, among other things, requirements relating to monitoring, record-keeping, advertising and promotion, reporting of adverse experiences,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6" w:name="page37"/>
    <w:bookmarkEnd w:id="3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limitations on industry-sponsored scientific and educational activities. Further, if there are any modifications to the drug or biologic, including changes in indications, labeling or manufacturing processes or facilities, the applicant may be required to submit and obtain FDA approval of a new BLA or a BLA supplement, which may require the development of additional data or preclinical studies and clinical trials.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FDA regulations require that approved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Accordingly, manufacturers must continue to expend time, money and effort in the area of production and quality control to maintain cGMP compliance. The discovery of violative conditions, including failure to conform to cGMP regulations, could result in enforcement actions.</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does not regulate behavior of physicians in their choice of treatments and physicians may legally prescribe available products for uses that are not described in the product’s labeling and that differ from those approved by the FDA. However, the FDA does restrict an applicant’s communications on the subject of off-label use of their products. The FDA and other agencies actively enforce the laws prohibiting the marketing and promotion of off-label uses, and a company that is found to have improperly marketed or promoted off-label use may be subject to significant liability, including criminal and civil penalties under the FDCA and False Claims Act, exclusion from participation in federal healthcare programs, and mandatory compliance programs.</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restrictions on a product, and judicial or administrative enforcement.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demonstrate the potential to address an unmet medical need in the treatment of a serious or life-threatening disease or condition for which there is no effective treatment. These programs are referred to as fast-track designation, priority review, accelerated approval, breakthrough therapy designation, and regenerative advanced therapy designation.</w:t>
      </w:r>
    </w:p>
    <w:p>
      <w:pPr>
        <w:spacing w:after="0" w:line="6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may grant “fast track” status to product candidates that are intended to treat serious or life-threatening diseases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demonstrate the potential to address an unmet medical need for the condition. Fast track is a process designed to facilitate the development and expedite the review of such product candidates by providing, among other things, more frequent meetings with the FDA to discuss the product candidate’s development plan and rolling review, which allows submission of individually completed sections of an BLA for FDA review before the entire submission is completed. Fast track designation applies to the combination of the product and the specific indication for which it is being studied. The sponsor of a product candidate may request the FDA to designate the product as a fast-track product at any time during clinical development. Fast track status does not ensure that a product will be developed more quickly or receive FDA approval. In addition, the fast-track designation may be withdrawn by the FDA if the FDA believes that the designation is no longer supported by data emerging in the clinical trial process, or if the designated drug development program is no longer being pursued.</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The FDA may give a priority review designation to a product candidate if it has the potential to provide safe and effective 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no satisfactory alternative therapy exists or to provide a significant improvement in the treatment, diagnosis or prevention of a disease compared to marketed products. Priority review is intended to reduce the time it takes for the FDA to review a BLA, with the goal to take action on the application within six months from when the application is filed, compared to ten months for a standard review. The FDA will attempt to direct additional resources to the evaluation of an application for a biological product or drug designated for priority review in an effort to facilitate the review.</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Additionally, a product may be eligible for accelerated approval. Drug or biological products studied for their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37" w:name="page38"/>
    <w:bookmarkEnd w:id="37"/>
    <w:p>
      <w:pPr>
        <w:ind w:right="160"/>
        <w:spacing w:after="0" w:line="256" w:lineRule="auto"/>
        <w:rPr>
          <w:sz w:val="20"/>
          <w:szCs w:val="20"/>
          <w:color w:val="auto"/>
        </w:rPr>
      </w:pPr>
      <w:r>
        <w:rPr>
          <w:rFonts w:ascii="Times New Roman" w:cs="Times New Roman" w:eastAsia="Times New Roman" w:hAnsi="Times New Roman"/>
          <w:sz w:val="18"/>
          <w:szCs w:val="18"/>
          <w:color w:val="auto"/>
        </w:rPr>
        <w:t>require that a sponsor of a biological product or drug receiving accelerated approval perform adequate and well-controlled post-marketing clinical trials with due diligence and, under the Food and Drug Omnibus Reform Act of 2022 (FDORA), the FDA is now permitted to require, as appropriate, that such trials be underway prior to approval or within a specific time period after the date of approval for a product granted accelerated approval. In addition, the FDA currently requires, unless otherwise informed by the agency, pre-approval of promotional materials for products being considered for accelerated approval.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7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A product candidate intended to treat a serious or life-threatening disease or condition may also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breakthrough therapy designation if preliminary clinical evidence indicates that it may demonstrate substantial improvement over existing therapies on one or more clinically significant endpoints. If so designated, the FDA will expedite the development and review of the product candidate’s marketing application, including by meeting with, and providing advice to, the sponsor throughout the product candidate’s development, and taking steps to facilitate an efficient review of the development program and to ensure that the design of the clinical trials is as efficient as practicable.</w:t>
      </w:r>
    </w:p>
    <w:p>
      <w:pPr>
        <w:spacing w:after="0" w:line="7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RMAT Designation. </w:t>
      </w:r>
      <w:r>
        <w:rPr>
          <w:rFonts w:ascii="Times New Roman" w:cs="Times New Roman" w:eastAsia="Times New Roman" w:hAnsi="Times New Roman"/>
          <w:sz w:val="17"/>
          <w:szCs w:val="17"/>
          <w:color w:val="auto"/>
        </w:rPr>
        <w:t>As part of the Cures Act, Congress amended the FDCA to create an accelerated approval program for regenerative advanced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therapies. To qualify for this program, and be granted regenerative advanced medicine therapy (RMAT) designation, a product must be a cell therapy, therapeutic tissue engineering product, human cell and tissue product, or a combination of such products, and not a product solely regulated as a human cell and tissue product. This program is intended to facilitate efficient development and expedite review of regenerative advanced therapies, which are intended to treat, modify, reverse, or cure a serious or life-threatening disease or condition and preliminary clinical evidence must indicate that the product candidate has the potential to address an unmet need for such disease or condition. A BLA for a product candidate that has received RMAT designation may be eligible for priority review or accelerated approval through (1) surrogate or intermediate endpoints reasonably likely to predict long-term clinical benefit or</w:t>
      </w:r>
    </w:p>
    <w:p>
      <w:pPr>
        <w:spacing w:after="0" w:line="4" w:lineRule="exact"/>
        <w:rPr>
          <w:sz w:val="20"/>
          <w:szCs w:val="20"/>
          <w:color w:val="auto"/>
        </w:rPr>
      </w:pPr>
    </w:p>
    <w:p>
      <w:pPr>
        <w:ind w:right="140" w:firstLine="8"/>
        <w:spacing w:after="0" w:line="253"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data obtained from a meaningful number of sites. Benefits of such designation also include early interactions with FDA to discuss any potential surrogate or intermediate endpoint to be used to support accelerated approval. A designated RMAT product candidate that is granted accelerated approval and is subject to post approval requirements may fulfill such requirements through the submission of clinical evidence, clinical studies, patient registries, or other sources of real world evidence, such as electronic health records; the collection of larger confirmatory data sets; or post approval monitoring of all patients treated with such therapy prior to its approval.</w:t>
      </w:r>
    </w:p>
    <w:p>
      <w:pPr>
        <w:spacing w:after="0" w:line="7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Designated Platform Technology Status. </w:t>
      </w:r>
      <w:r>
        <w:rPr>
          <w:rFonts w:ascii="Times New Roman" w:cs="Times New Roman" w:eastAsia="Times New Roman" w:hAnsi="Times New Roman"/>
          <w:sz w:val="18"/>
          <w:szCs w:val="18"/>
          <w:color w:val="auto"/>
        </w:rPr>
        <w:t>Under FDORA, a platform technology incorporated within or utilized by a drug or biological product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designation as a designated platform technology if (1) the platform technology is incorporated in, or utilized by, a drug approved under a BLA or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RTOR. </w:t>
      </w:r>
      <w:r>
        <w:rPr>
          <w:rFonts w:ascii="Times New Roman" w:cs="Times New Roman" w:eastAsia="Times New Roman" w:hAnsi="Times New Roman"/>
          <w:sz w:val="18"/>
          <w:szCs w:val="18"/>
          <w:color w:val="auto"/>
        </w:rPr>
        <w:t>The FDA may review applications for oncology products under Real-Time Oncology Review (RTOR) established by the FDA’s Oncology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of Excellence. RTOR, which allows an applicant to pre-submit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Products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spacing w:after="0" w:line="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breakthrough therapy designation, RMAT designation, designated platform technology status, and RTOR do not change the standards for approval but may expedite the development or approval process. Moreover, even if a product candidate or platform technology qualifies for one or more of these programs, the FDA may later decide that the product candidate or platform technology no longer meets the conditions for qualification or decide that the time period for FDA review or approval will not be shortened.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certain circumstances,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application (falling after issuance of the patent) and the submission date of a BLA, plus the time between the submission date of the BLA and the approval of that application, provided the sponsor acted with diligence. Only one patent applicable to an approved product is eligible for the extension and the application for the extension must be submitted prior to the expiration of the patent. The application for patent term extension is subject to approval by the U.S. Patent and Trademark Office in consultation with the FDA. A patent term extension is only available when the FDA approves a biological product or drug for the first time.</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With the Hatch-Waxman Amendments, Congress authorized the FDA to approve generic drugs that are the same as drugs previously approved by the FDA under the NDA provisions of the FDCA. To obtain approval of a generic drug, an applicant must submit to the agency an abbreviated new drug application (ANDA) which relies on the preclinical and clinical testing previously conducted for a drug approved under an NDA, known as the reference listed drug (RLD). For the ANDA to be approved, the FDA must find that the generic version is identical to the RLD with respect to the active ingredients, the route of administration, the dosage form, and the strength of the drug. The FDA must also determine that the generic drug is bioequivalent to the innovator drug.</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 abbreviated approval pathway for biological products shown to be biosimilar to, or interchangeable with, an FDA-licensed reference biological product was created by the Biologics Price Competition and Innovation Act of 2009, which was part of the Patient Protection and Affordable Care Act of 2010 (ACA).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is biosimilar to the reference biological product and the product must demonstrate that it can be expected to produce the same clinical results as the reference product and, for products administered multiple times, the product and the reference product may be switched after one has been previously administered without increasing safety risks or risks of diminished efficacy relative to exclusive use of the reference biological product.</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reference biological product is granted twelve years of exclusivity from the time of first licensure of the reference product. The first biological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75"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 biological product or drug can obtain pediatric market exclusivity in the United States. Pediatric exclusivity, if granted, adds six months to existing exclusivity periods for all formulations, dosage forms, and indications of the active moiety or the biological period and, for drugs, patent terms. This six-month exclusivity, which runs from the end of other exclusivity protection or, for drugs,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biological products and drugs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or drug in the United States for this type of disease or condition will be recovered from sales of the product. Orphan drug designation must be requested before submitting a BLA. After the FDA grants orphan drug designation, the identity of the applicant, the name of the therapeutic agent and its designated orphan use are disclosed publicly by the FDA. Orphan drug designation does not convey any advantage in, or shorten the duration of, the regulatory review and approval process.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 biological product or drug that receives orphan drug designation is the first such product approved by FDA for the orphan indication, it receives orphan product exclusivity, which for seven years prohibits the FDA from approving another application to market the same product for the same indication. Orphan product exclusivity will not bar approval of another product under certain circumstances, including if the new product is shown to be clinically superior to the approved product on the basis of greater efficacy or safety or a demonstration that the new product otherwise makes a major contribution to patient care. More than one product may also be approved by the FDA for the same orphan indication or disease as long as the products are different. If a biological product or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(PREA), as amended, a BLA or supplement must contain data to assess the safety and effectiveness of the biological product or drug for the claimed indications in all relevant pediatric subpopulations and to support dosing and administration for each pediatric subpopulation for which the product is safe and effective. The intent of the PREA is to compel sponsors whose products have pediatric applicability to study those products in pediatric populations. The FDCA requires manufacturers of biological products and drugs that include a new active ingredient, new indication, new dosage form, new dosing regimen or new route of administration to submit a pediatric study plan to the FDA as part of the IND application. The plan must be submitted not later than 60 days after the end-of-Phase 2 meeting with the FDA; or if there is no such meeting, before the initiation of any Phase 3 trials or a combined Phase 2 and Phase 3 trial; or if no such trial will be conducted, no later than 210 days before submitting a marketing application or supplement. The FDA may grant deferrals for submission of data or full or partial waivers. Generally, the PREA does not apply to any biological product or drug for an indication for which orphan designation has been granted.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Sales of our products, when and if approved,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Additionally, coverage determinations often require generating additional evidence related, for example, to the relative costs and benefits of new therapies versus standard of care – which goes beyond the data able to be generated within our clinical programs. Patients are unlikely to use our products unless coverage is provided and reimbursement is adequate to cover a significant portion of their cost.</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for example, principal decisions about reimbursement for new products are typically made by the Centers for Medicare &amp; Medicaid Services (CMS), which decides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coverage determination is often a time-consuming and costly process that will require us to provide scientific and clinical support for the use of our products to each payor separately, with no assurance that coverage and adequate reimbursement will be obtained. Further, coverage policies and third-party payor reimbursement rates may change at any time. Even if favorable coverage and reimbursement status is attained, less favorable coverage policies and reimbursement rates may be implemented in the future.</w:t>
      </w:r>
    </w:p>
    <w:p>
      <w:pPr>
        <w:spacing w:after="0" w:line="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biosimilars for branded prescription drugs.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Increasingly, third-party payors are also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Other Regulatory Changes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example, in 2010, the Patient Protection and Affordable Care Act, as amended by the Health Care and Education Reconciliation Act, each as amended, collectively known as the ACA was enacted in the United States. The ACA includes measures that have significantly changed, and are expected to continue to significantly change, the way healthcare is financed by both governmental and private insurers. The ACA contained a number of provisions, including those governing enrollment in federal healthcare programs, reimbursement adjustments and changes to fraud and abuse laws. Among the provisions of the ACA of greatest importance to the pharmaceutical industry are that the ACA:</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biological products to potential competition by biosimilars;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several changes to the Medicaid Drug Rebate Program, including increasing pharmaceutical manufacturers’ rebate liability;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manufacturer’s Medicaid rebate liability to covered drugs dispensed to individuals who are enrolled in Medicaid managed care organizations.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include the following:</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among other things, created measures for spending reductions by Congress. This includes aggregate reductions of Medicare payments to providers of 2% per fiscal year. Subsequent legislation extended the 2% reduction which remains in effect through 2031.</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Rescue Plan Act of 2021 eliminated the statutory Medicaid drug rebate cap, previously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average manufacturer price, for single source and innovator multiple source drugs, effective January 1, 2024. 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Previously, if a product had received multiple orphan designations or multiple approved indications, it would not qualify for the orphan drug exemption. Under the One Big Beautiful Bill Act of 2025 (OBBBA), this restriction was loosened; and effective for the 2028 initial price applicability year, all orphan drugs, regardless of the number of orphan drug designations or rare disease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8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1" w:name="page42"/>
    <w:bookmarkEnd w:id="41"/>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 Trump Administration has issued executive orders and supported proposed regulatory initiatives in 2025 that could have an impact on the prices that we, or any collaborators, may receive for any approved products. 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that is yet to be developed by the federal government; however, it is not known what results will occur to the extent the recipients of these letters do not reduce their U.S. prices.</w:t>
      </w:r>
    </w:p>
    <w:p>
      <w:pPr>
        <w:spacing w:after="0" w:line="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future revenues.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companies research, as well as sell, market and distribute any products for which such companies may obtain marketing authorization. Arrangements with third-party payors and customers can expose pharmaceutical manufactures to broadly applicable fraud and abuse and other healthcare laws and regulations, including, without limitation, the federal Anti-Kickback Statute and the federal False Claims Act (FCA) which may constrain the business or financial arrangements and relationships through which companies research, sell, market and distribute pharmaceutical products. In addition, transparency laws and patient privacy laws can apply to the activities of pharmaceutical manufactures. The applicable federal, state and foreign healthcare laws and regulations that can affect a pharmaceutical company’s operations include without limitation:</w:t>
      </w:r>
    </w:p>
    <w:p>
      <w:pPr>
        <w:spacing w:after="0" w:line="84" w:lineRule="exact"/>
        <w:rPr>
          <w:sz w:val="20"/>
          <w:szCs w:val="20"/>
          <w:color w:val="auto"/>
        </w:rPr>
      </w:pPr>
    </w:p>
    <w:p>
      <w:pPr>
        <w:ind w:left="1020" w:right="4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2" w:name="page43"/>
    <w:bookmarkEnd w:id="42"/>
    <w:p>
      <w:pPr>
        <w:ind w:left="503" w:right="100"/>
        <w:spacing w:after="0" w:line="254" w:lineRule="auto"/>
        <w:rPr>
          <w:sz w:val="20"/>
          <w:szCs w:val="20"/>
          <w:color w:val="auto"/>
        </w:rPr>
      </w:pPr>
      <w:r>
        <w:rPr>
          <w:rFonts w:ascii="Times New Roman" w:cs="Times New Roman" w:eastAsia="Times New Roman" w:hAnsi="Times New Roman"/>
          <w:sz w:val="18"/>
          <w:szCs w:val="18"/>
          <w:color w:val="auto"/>
        </w:rPr>
        <w:t>violating the statute without actual knowledge of the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FCA or federal civil monetary penalties.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but such exceptions and safe harbors are drawn narrowly and require strict compliance in order to offer protection;</w:t>
      </w:r>
    </w:p>
    <w:p>
      <w:pPr>
        <w:spacing w:after="0" w:line="84" w:lineRule="exact"/>
        <w:rPr>
          <w:sz w:val="20"/>
          <w:szCs w:val="20"/>
          <w:color w:val="auto"/>
        </w:rPr>
      </w:pPr>
    </w:p>
    <w:p>
      <w:pPr>
        <w:ind w:left="503" w:hanging="503"/>
        <w:spacing w:after="0" w:line="25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0" w:lineRule="exact"/>
        <w:rPr>
          <w:rFonts w:ascii="Times New Roman" w:cs="Times New Roman" w:eastAsia="Times New Roman" w:hAnsi="Times New Roman"/>
          <w:sz w:val="18"/>
          <w:szCs w:val="18"/>
          <w:color w:val="auto"/>
        </w:rPr>
      </w:pPr>
    </w:p>
    <w:p>
      <w:pPr>
        <w:ind w:left="503" w:right="60" w:hanging="503"/>
        <w:spacing w:after="0" w:line="255"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80" w:lineRule="exact"/>
        <w:rPr>
          <w:rFonts w:ascii="Times New Roman" w:cs="Times New Roman" w:eastAsia="Times New Roman" w:hAnsi="Times New Roman"/>
          <w:sz w:val="18"/>
          <w:szCs w:val="18"/>
          <w:color w:val="auto"/>
        </w:rPr>
      </w:pPr>
    </w:p>
    <w:p>
      <w:pPr>
        <w:ind w:left="503" w:right="60" w:hanging="503"/>
        <w:spacing w:after="0" w:line="25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9"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other licensed care professionals and teaching hospitals, as well as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503" w:hanging="503"/>
        <w:spacing w:after="0" w:line="25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laws governing the privacy and security of</w:t>
      </w:r>
    </w:p>
    <w:p>
      <w:pPr>
        <w:spacing w:after="0" w:line="192"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215" w:right="359" w:bottom="1440" w:gutter="0" w:footer="0" w:header="0"/>
        </w:sectPr>
      </w:pPr>
    </w:p>
    <w:bookmarkStart w:id="43" w:name="page44"/>
    <w:bookmarkEnd w:id="43"/>
    <w:p>
      <w:pPr>
        <w:ind w:left="1020" w:right="80"/>
        <w:spacing w:after="0" w:line="282" w:lineRule="auto"/>
        <w:rPr>
          <w:sz w:val="20"/>
          <w:szCs w:val="20"/>
          <w:color w:val="auto"/>
        </w:rPr>
      </w:pPr>
      <w:r>
        <w:rPr>
          <w:rFonts w:ascii="Times New Roman" w:cs="Times New Roman" w:eastAsia="Times New Roman" w:hAnsi="Times New Roman"/>
          <w:sz w:val="18"/>
          <w:szCs w:val="18"/>
          <w:color w:val="auto"/>
        </w:rPr>
        <w:t>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100" w:firstLine="562"/>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Ensuring our business arrangements comply with applicable healthcare laws, as well as responding to possible investigations by government authorities, can be time- and resource-consuming and can divert a company’s attention from the business.</w:t>
      </w:r>
    </w:p>
    <w:p>
      <w:pPr>
        <w:spacing w:after="0" w:line="80"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companies to possible legal or regulatory action. Depending on the circumstances, failure to meet applicable regulatory requirements can result in significant penalties, 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company to incur significant legal expenses and divert management’s attention from the operation of the business.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Data Collection and the Use, Processing and Cross-Border Transfer of Personal Information</w:t>
      </w:r>
    </w:p>
    <w:p>
      <w:pPr>
        <w:spacing w:after="0" w:line="121" w:lineRule="exact"/>
        <w:rPr>
          <w:sz w:val="20"/>
          <w:szCs w:val="20"/>
          <w:color w:val="auto"/>
        </w:rPr>
      </w:pPr>
    </w:p>
    <w:p>
      <w:pPr>
        <w:ind w:right="140" w:firstLine="562"/>
        <w:spacing w:after="0" w:line="282" w:lineRule="auto"/>
        <w:rPr>
          <w:sz w:val="20"/>
          <w:szCs w:val="20"/>
          <w:color w:val="auto"/>
        </w:rPr>
      </w:pPr>
      <w:r>
        <w:rPr>
          <w:rFonts w:ascii="Times New Roman" w:cs="Times New Roman" w:eastAsia="Times New Roman" w:hAnsi="Times New Roman"/>
          <w:sz w:val="18"/>
          <w:szCs w:val="18"/>
          <w:color w:val="auto"/>
        </w:rPr>
        <w:t>We also may be or may become subject to various state and foreign laws governing the privacy and security of health information, many of which differ from each other in significant ways and often are not preempted by HIPAA, thus complicating compliance efforts.</w:t>
      </w:r>
    </w:p>
    <w:p>
      <w:pPr>
        <w:spacing w:after="0" w:line="54"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For example, the California Consumer Privacy Act (CCPA), created individual privacy rights for California consumers (as defined in the law) and requires compliance with privacy and security obligations for entities handling personal data of consumers or households. The CCPA requires covered companies to provide certain disclosures to consumers about its data collection, use and sharing practices, and to provide affected California residents with ways to opt out of certain sales or transfers of personal information. The California Privacy Rights Act (CPRA) amended the CCPA and expands consumer privacy rights in California, including by expanding consumers’ rights with respect to certain sensitive personal information and by establishing a state agency vested with the authority to enforce the CCPA. The CPRA also applies to personal information collected about employees, applicants and retirees, as well as that which is collected in a business-to-business capacity. While there is currently an exception in the CCPA for protected health information that is subject to HIPAA, the CCPA may nevertheless impact our business activities. Numerous other U.S. states, including Virginia, Colorado, Connecticut, Utah, and more than a dozen other states, have passed or enacted legislation similar to the CCPA, but contain key differences in the scope, application, and enforcement which may complicate compliance efforts. Moreover, some states have advanced privacy laws focused on protecting consumer health information, such as Washington’s My Health My Data Act, and this remains a rapidly changing legislative and regulatory environment.</w:t>
      </w:r>
    </w:p>
    <w:p>
      <w:pPr>
        <w:spacing w:after="0" w:line="84"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In Europe, the EU General Data Protection Regulation (EU GDPR), as well as other national data protection legislation in force in relevant European Economic Area (EEA) Member States, and the UK equivalent of the same (UK GDPR) (collectively referred to as the GDPR in this Annual Report), regulates the collection and processing of personal data in the EEA and the United Kingdom (UK). The GDPR covers any business, regardless of its location, that provides goods or services to individuals in the EU/UK or monitors their behavior in the EEA/UK, and, thus, could incorporate any activities we undertake in EEA/UK. The GDPR imposes strict requirements on controllers and processors of personal data, including special protections for “sensitive information,” which includes health and genetic information, obtaining consent of the individuals to whom the personal data relates, having legal bases for processing personal data, providing transparency information to individuals, implementing safeguards to protect the security and confidentiality of personal data, having data processing agreements with third parties who process personal data, responding to individuals’ requests to exercise their data protection rights, reporting personal data breaches to the competent national data protection authority and affected individuals, appointing data protection officers, ensuring certain accountability measures are in place and record keeping. Failure to comply with the requirements of the GDPR and the related national data protection laws of the EEA Member States and the UK, which may deviate slightly from the GDPR, may result in warning letters, mandatory audits and financial penalties, including fines of up to 4% of global revenues, or €20,000,000, (£17.5 million for the UK GDPR),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4" w:name="page45"/>
    <w:bookmarkEnd w:id="44"/>
    <w:p>
      <w:pPr>
        <w:ind w:right="140" w:firstLine="562"/>
        <w:spacing w:after="0" w:line="261" w:lineRule="auto"/>
        <w:rPr>
          <w:sz w:val="20"/>
          <w:szCs w:val="20"/>
          <w:color w:val="auto"/>
        </w:rPr>
      </w:pPr>
      <w:r>
        <w:rPr>
          <w:rFonts w:ascii="Times New Roman" w:cs="Times New Roman" w:eastAsia="Times New Roman" w:hAnsi="Times New Roman"/>
          <w:sz w:val="18"/>
          <w:szCs w:val="18"/>
          <w:color w:val="auto"/>
        </w:rPr>
        <w:t>The UK’s data protection regime is independent from but currently still aligned to the EU’s data protection regime. However,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2"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The GDPR also imposes restrictions in relation to the international transfer of personal data from the EEA and UK to other countries in respect of which the European Commission or the UK government has not issued a so-called “adequacy decision” or “ adequacy regulation”, including the US in certain circumstances, unless the parties to the transfer have implemented specific safeguards to protect the transferred personal data, such as the European Commission’s Standard Contractual Clauses for transfers outside of the EEA (SCCs) and a similar transfer mechanism for transfers of personal data outside of the UK, the International Data Transfer Agreement or Addendum (IDTA). Where relying on the SCCs or IDTA for data transfers, exporters are also required to carry out transfer impact assessments to assess the risk of the data transfer on a case-by-case basis, including an analysis of the laws in the destination country. Although the UK is regarded as a third country under the EU’s GDPR, the European Commission (EC) has issued a decision recognizing the UK as providing adequate protection under the EU GDPR and, therefore, transfers of personal data originating in the EEA to the UK remain unrestricted.</w:t>
      </w:r>
    </w:p>
    <w:p>
      <w:pPr>
        <w:spacing w:after="0" w:line="80"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Framework’s validity has already been challenged in court.</w:t>
      </w:r>
    </w:p>
    <w:p>
      <w:pPr>
        <w:spacing w:after="0" w:line="72"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CCPA,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5" w:lineRule="exact"/>
        <w:rPr>
          <w:sz w:val="20"/>
          <w:szCs w:val="20"/>
          <w:color w:val="auto"/>
        </w:rPr>
      </w:pPr>
    </w:p>
    <w:p>
      <w:pPr>
        <w:ind w:right="80" w:firstLine="562"/>
        <w:spacing w:after="0" w:line="256" w:lineRule="auto"/>
        <w:rPr>
          <w:sz w:val="20"/>
          <w:szCs w:val="20"/>
          <w:color w:val="auto"/>
        </w:rPr>
      </w:pPr>
      <w:r>
        <w:rPr>
          <w:rFonts w:ascii="Times New Roman" w:cs="Times New Roman" w:eastAsia="Times New Roman" w:hAnsi="Times New Roman"/>
          <w:sz w:val="18"/>
          <w:szCs w:val="18"/>
          <w:color w:val="auto"/>
        </w:rPr>
        <w:t>In December 2024, the U.S. Department of Justice issued regulations implementing Executive Order (EO) 14117, “Preventing Access to Americans’ Bulk Sensitive Personal Data and United Stated Government-Related Data by Countries of Concern,” which are expected to become effective in April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innovation, intense and dynamic competition and a strong emphasis on proprietary products. While we believe that our proprietary iPSC product platform, scientific knowledge and experience in the field of cellular immunotherapy provide us with competitive advantages, we face potential competition from many different sources, including major pharmaceutical, specialty pharmaceutical and biotechnology companies, academic institutions and governmental agencies and public and private research institutions, as well as standard-of-care treatments, new products undergoing development and combinations of existing and new therapies. Any product candidates that we successfully develop and commercialize will compete with existing therapies and new therapies, including antibody-based therapies such as bi-specific antibodies, and combinations thereof, that may become available in the future.</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Cellular immunotherapies for the treatment of autoimmune diseases and cancer have recently been an area of significant research and development by academic institutions and biopharmaceutical companies. Several autologous CAR T-cell therapies have been approved by the FDA for the treatment of relapsed / refractory hematologic malignancies including Kymriah (Novartis AG), Yescarta (Kite Pharma), and Breyanzi (Bristol-Myers Squibb Company) for aggressive large B-cell lymphoma (LBCL) and Abecma (Bristol-Myers Squibb Company) and Carvykti (Janssen Biotech) for multiple myeloma.</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developing our iPSC-derived CAR T-cell and CAR NK cell product candidates for the treatment of autoimmune diseases and cancer. While we believe our proprietary iPSC product platform and our off-the-shelf, multiplexed-engineered,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45" w:name="page46"/>
    <w:bookmarkEnd w:id="45"/>
    <w:p>
      <w:pPr>
        <w:spacing w:after="0" w:line="254" w:lineRule="auto"/>
        <w:rPr>
          <w:sz w:val="20"/>
          <w:szCs w:val="20"/>
          <w:color w:val="auto"/>
        </w:rPr>
      </w:pPr>
      <w:r>
        <w:rPr>
          <w:rFonts w:ascii="Times New Roman" w:cs="Times New Roman" w:eastAsia="Times New Roman" w:hAnsi="Times New Roman"/>
          <w:sz w:val="18"/>
          <w:szCs w:val="18"/>
          <w:color w:val="auto"/>
        </w:rPr>
        <w:t>iPSC-derived cell product candidates are highly differentiated, a number of clinical-stage companies are currently focused on the development of cellular immunotherapies and other treatment modalities for the treatment of autoimmune diseases and cancer. These competitive approaches include companies include cell-based therapies, T cell engagers, monoclonal antibody therapies, bispecific antibodies, antibody-drug conjugates, and other immune-modulating or targeted therapies. Competitive companies include, among others, Adicet Bio, Inc., Allogene Therapeutics, Inc., Arcellx, Inc., Artiva Biotherapeutics, Inc., AstraZeneca plc, Autolus Therapeutics plc, Bristol-Myers Squibb Company, Cabaletta Bio, Inc., Caribou Biosciences, Inc., Cartesian Therapeutics, Inc., Cellectis SA, Century Therapeutics, Inc., CRISPR Therapeutics AG, Cullinan Therapeutics, Inc., ImmunityBio, Inc., Janssen Biotech (Johnson &amp; Johnson), Kyverna Therapeutics, Inc., Legend Biotech Corporation, Lyell Immunopharma, Inc., Kite Pharma (Gilead Sciences, Inc.), Nkarta, Inc., Novartis AG, Regeneron Pharmaceuticals, Inc., Sana Biotechnology, Inc. and Takeda Pharmaceutical Company Limited. Preclinical-stage companies may also prove to be significant competitors, particularly through collaborative arrangements with large and established companies.</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compete against our competitors in recruiting and retaining qualified scientific and management personnel and establishing clinical study sites and subject enrollment for clinical trials, as well as in acquiring technologies complementary to, or necessary for, our programs. Many of our competitors, either alone or with their collaboration partners, have substantially greater financial, technical and human resources than we do and significantly greater experience in the discovery and development of product candidates, obtaining FDA and other regulatory approvals of treatments and commercializing those treatments. Accordingly, our competitors may be more successful than us in obtaining approval for treatments and achieving widespread market acceptance.</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products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payers.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maintain product liability insurance for our clinical trials. We intend to expand our insurance coverage to include the sale of commercial products if marketing approval is obtained for products in development. However, insurance coverage is becoming increasingly expensive, and we may not be able to maintain insurance coverage at a reasonable cost or in sufficient amounts to protect us against losses due to liability. In addition, we may not be able to obtain commercially reasonable product liability insurance for any products approved for marketing.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success as a company depends upon the innovation, drive, and dedication of our employees, and we seek to attract, incentivize, and reward creative and performance-driven employees. We believe our commitment to our human capital resources is an important component of our business that enables us to deliver superior performance in our industry.</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focus on identifying, recruiting, developing and retaining a team of highly talented and motivated employees. As of December 31, 2025, we employed 161 employees, all of whom are full-time employees, including 27 in research and development, 103 in clinical development, manufacturing and regulatory affairs and 31 in general and administrative. We have never had a work stoppage, and none of our employees is represented by a labor organization or under any collective bargaining arrangements. We believe that our relationship with our employees is good, and we provide all employees with the opportunity to share their opinions in open dialogues with our human resources department and senior management.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Belonging</w:t>
      </w:r>
    </w:p>
    <w:p>
      <w:pPr>
        <w:spacing w:after="0" w:line="11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We believe that an equitable, diverse, and inclusive workforce is a necessary foundation for innovation and dedication of our employees. Accordingly, we strive to promote inclusion and equal opportunity across the organization. We are committed to actively seeking out highly qualified candidates with diverse backgrounds, skills and experiences. We aim to cultivate a workplace where individuals can grow professionally and where differing perspectives contribute to better decision-making and sustained performance.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health and safety of our employees, and we are committed to providing a safe, healthy and secure workplace for our employees. We have an environmental, health and safety program and several cross-functional committees to support our environmental, health and safety program. We routinely train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46" w:name="page47"/>
    <w:bookmarkEnd w:id="46"/>
    <w:p>
      <w:pPr>
        <w:ind w:right="160"/>
        <w:spacing w:after="0" w:line="282" w:lineRule="auto"/>
        <w:rPr>
          <w:sz w:val="20"/>
          <w:szCs w:val="20"/>
          <w:color w:val="auto"/>
        </w:rPr>
      </w:pPr>
      <w:r>
        <w:rPr>
          <w:rFonts w:ascii="Times New Roman" w:cs="Times New Roman" w:eastAsia="Times New Roman" w:hAnsi="Times New Roman"/>
          <w:sz w:val="18"/>
          <w:szCs w:val="18"/>
          <w:color w:val="auto"/>
        </w:rPr>
        <w:t>educate our employees on workplace safety and security and maintain various compliance programs to support this commitment. We continue to monitor and adjust our safety training and protocols as needed to ensure the safety and wellbeing of our workforce.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offer competitive pay, with performance-based bonuses and equity awards. The principal purposes of our equity and cash incentive plans are to attract, retain and reward personnel through the granting of stock-based and cash-based compensation awards and to align employee incentives with company performance. We have a comprehensive benefits program that includes medical, dental and vision coverage; flexible spending accounts, income protection benefits, and paid time off, including sick leave and paid family leave. We offer a 401(k) retirement plan with company matching contributions, an employee assistance program, and an onsite fitness center at no cost to employees.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Development and Engagement</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focused on attracting and retaining a team of highly talented and motivated employees. We invest in and develop all levels of employees by engaging in career path and professional development conversations throughout an employee’s tenure. In addition, we provide targeted leadership development programs for frontline leaders through executive leadership programs. We also offer a range of professional, management, and leadership training programs to help our employees develop cross-functional skills and support their career growth.</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 xml:space="preserve">Employees are incentivized for key contributions through awards programs that recognize their commitment and dedication by demonstrating our </w:t>
      </w:r>
      <w:r>
        <w:rPr>
          <w:rFonts w:ascii="Times New Roman" w:cs="Times New Roman" w:eastAsia="Times New Roman" w:hAnsi="Times New Roman"/>
          <w:sz w:val="18"/>
          <w:szCs w:val="18"/>
          <w:i w:val="1"/>
          <w:iCs w:val="1"/>
          <w:color w:val="auto"/>
        </w:rPr>
        <w:t>Fate Pathways to Success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relationship with our employees is good. We provide employees with opportunities for open dialogue with our human resources department and senior management, including through regular communication channels and feedback processes. In addition, we provide access to health and wellness programs, which include resources designed to support employees’ physical, mental, and financial wellbeing. These programs are intended to assist employees throughout their tenure and promote a stable and productive workforce.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recognize the importance of the environment to a healthy, sustainable future for our business, our patients, and communities. Our headquarters located in San Diego, California was designed to be energy efficient through the use of LED lighting, energy efficient air handling units, a fully integrated building management system, and other tools. Our facilities are also outfitted with smart building solutions, such as occupancy sensors and air conditioning units reducing airflow based on occupancy. Water-saving bathroom faucets and toilets are installed throughout the building to help reduce water consumption. We implemented a lab recycling program diverting 50% of lab generated waste from landfills and designed to lower our environmental footprint. The exterior of our building is made up of draught tolerant landscaping to reduce the volume of water needed to maintain plant life around the building. Employees are also provided free access to electric vehicle charging stations. Our commitment to environmental sustainability is ongoing and we continue to be mindful of how we can minimize our environmental footprint as a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2007, and are headquartered in San Diego, California. Our principal executive office is located at 12278 Scripps Summit Drive, San Diego, California 92131, and our telephone number is (858) 875-1800. Our website address is www.fatetherapeutics.com. We do not incorporate the information on or accessible through our website into this Annual Report on Form 10-K, and you should not consider any information on, or that can be accessed through, our website a part of this Annual Report on Form 10-K.</w:t>
      </w:r>
    </w:p>
    <w:p>
      <w:pPr>
        <w:spacing w:after="0" w:line="79" w:lineRule="exact"/>
        <w:rPr>
          <w:sz w:val="20"/>
          <w:szCs w:val="20"/>
          <w:color w:val="auto"/>
        </w:rPr>
      </w:pPr>
    </w:p>
    <w:p>
      <w:pPr>
        <w:ind w:right="80" w:firstLine="509"/>
        <w:spacing w:after="0" w:line="212" w:lineRule="auto"/>
        <w:rPr>
          <w:sz w:val="20"/>
          <w:szCs w:val="20"/>
          <w:color w:val="auto"/>
        </w:rPr>
      </w:pPr>
      <w:r>
        <w:rPr>
          <w:rFonts w:ascii="Times New Roman" w:cs="Times New Roman" w:eastAsia="Times New Roman" w:hAnsi="Times New Roman"/>
          <w:sz w:val="18"/>
          <w:szCs w:val="18"/>
          <w:color w:val="auto"/>
        </w:rPr>
        <w:t>We own various U.S. federal trademark registrations and applications, and unregistered trademarks, including Fate Therapeutics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corporate logo, and Sword &amp; Shield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All other trademarks or trade names referred to in this document are the property of their respective owners. Solely for convenience, the trademarks and trade names in this document are referred to without the symbols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 but such references should not be construed as any indicator that their respective owners will not assert, to the fullest extent under applicable law, their rights thereto.</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post our Annual Report on Form 10-K, Quarterly Reports on Form 10-Q, Current Reports on Form 8-K, including exhibits, and any amendments to those reports filed or furnished pursuant to Section 13(a) or 15(d) of the Securities Exchange Act of 1934, as amended, on the Investors section of our public website (www.fatetherapeutics.com) as soon as reasonably practicable after we electronically file such material with, or furnish it to, the SEC. In addition, you can read our SEC filings over the Internet at the SEC’s website at www.sec.gov. You can access these filings on our website or from the SEC free of charge. The contents of these websites are not incorporated into this Annual Report on Form 10-K. Further, our references to the URLs for these websites are intended to be inactive textual references only.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Annual Report on Form 10-K,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Regulation of Our Product Candidates</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preclinical or clinical development of, or to obtain regulatory approval for, our product candidates, our business would be significantly harmed.</w:t>
      </w:r>
    </w:p>
    <w:p>
      <w:pPr>
        <w:spacing w:after="0" w:line="9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All of our product candidates are currently in research or early clinical development. We have not completed clinical development of or obtained regulatory approval for any of our product candidates.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 In addition, we have historically focused on the development of cell therapies for cancer. We have limited prior experience in developing treatments for autoimmune diseases, and there are no cell therapies approved in the United States to treat autoimmune diseases.</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delays in, or pause or cancel our ongoing and planned clinical development activities or research and development activities for any of our product candidates for a variety of reasons, including:</w:t>
      </w:r>
    </w:p>
    <w:p>
      <w:pPr>
        <w:spacing w:after="0" w:line="54" w:lineRule="exact"/>
        <w:rPr>
          <w:sz w:val="20"/>
          <w:szCs w:val="20"/>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optimizing the right dose and dosing schedule for our product candidates, which might result in a determination that a product candidate is ineffective, causes harmful side effects, or otherwise presents unacceptable safety risks during clinical trials or has an unfavorable toxicity profile in preclinical studies or early clinical trials to support initiating or continuing clinical investigation;</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U.S. Food and Drug Administration (FDA) or comparable foreign regulatory authorities for the conduct of clinical trials or for marketing approval;</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making arrangements with various medical divisions across hospitals or with other treatment centers for administration of our product candidates, including with treatment centers and relevant hospital divisions to perform infusion of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prioritization of certain of our product candidates for advancement or the emergence of competing products or product candidates developed by others, including a decision to cease research and development of any existing product candidate due to the potential obsolescence of our product candidate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a more favorable commercial profile, including greater market acceptance or commercial potential, or more advantageous intellectual property position;</w:t>
      </w:r>
    </w:p>
    <w:p>
      <w:pPr>
        <w:spacing w:after="0" w:line="80"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delays in trial execution which may result from our testing of multiple product candidates in the same indication in different clinical trials, as well as competition from biotechnology and pharmaceutical companies, universities, and other research institutions for patients, qualified investigators and clinical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third parties, which may preclude us from developing, manufacturing or commercializing a product candidate;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48" w:name="page49"/>
    <w:bookmarkEnd w:id="48"/>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a product candidate may be uneconomical to develop, manufacture, or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market acceptance or third-party coverage and an adequate pricing and reimbursement profile;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establishing predictive preclinical models for demonstration of safety and efficacy of a product candidate in one or more potential therapeutic areas for clinical development.</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trial study design, conduct of, and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FDA policies or regulations or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face delays in initiating, conducting or completing our clinical trials, and we may not be able to initiate, conduct or complete them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w:t>
      </w:r>
    </w:p>
    <w:p>
      <w:pPr>
        <w:spacing w:after="0" w:line="13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spacing w:after="0" w:line="79" w:lineRule="exact"/>
        <w:rPr>
          <w:sz w:val="20"/>
          <w:szCs w:val="20"/>
          <w:color w:val="auto"/>
        </w:rPr>
      </w:pPr>
    </w:p>
    <w:p>
      <w:pPr>
        <w:ind w:left="1020" w:right="2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recruiting eligible patients for participation in clinical trials of our product candidates, including pediatric patients who need parental consent;</w:t>
      </w:r>
    </w:p>
    <w:p>
      <w:pPr>
        <w:spacing w:after="0" w:line="5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enrolling a sufficient number of suitable patients to conduct clinical trials of our product candidates, including difficulties resulting from limits on the availability of patients in sufficiently close proximity to clinical sites, patients enrolling in studies of therapeutic product candidates sponsored by us or our competitors and difficulties resulting from patient availability as a result of any measures taken by governmental authorities, hospitals, or clinical trial sites in response to any future public health crises or other serious disasters or similar events;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determining suitable doses and schedules of our novel cell product candidates for evaluation in clinical trials;</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an Investigational New Drug (IND) application or IND amendment with the FDA to initiate or amend clinical trials of our current product candidates and any other product candidates that we may identify;</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with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develop;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9" w:name="page50"/>
    <w:bookmarkEnd w:id="49"/>
    <w:p>
      <w:pPr>
        <w:ind w:left="503" w:right="24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53" w:lineRule="exact"/>
        <w:rPr>
          <w:rFonts w:ascii="Times New Roman" w:cs="Times New Roman" w:eastAsia="Times New Roman" w:hAnsi="Times New Roman"/>
          <w:sz w:val="18"/>
          <w:szCs w:val="18"/>
          <w:color w:val="auto"/>
        </w:rPr>
      </w:pPr>
    </w:p>
    <w:p>
      <w:pPr>
        <w:jc w:val="both"/>
        <w:ind w:left="503" w:right="28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67"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53"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certain of our product candidates consistently, and at acceptable quality levels and costs, in accordance with our protocol-specified manufacturing requirements and applicable regulatory requirements;</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any future public health crises or other serious disasters or ongoing or emerging global geopolitical tensions, including wars and other armed conflicts, or other factors;</w:t>
      </w:r>
    </w:p>
    <w:p>
      <w:pPr>
        <w:spacing w:after="0" w:line="71" w:lineRule="exact"/>
        <w:rPr>
          <w:rFonts w:ascii="Times New Roman" w:cs="Times New Roman" w:eastAsia="Times New Roman" w:hAnsi="Times New Roman"/>
          <w:sz w:val="18"/>
          <w:szCs w:val="18"/>
          <w:color w:val="auto"/>
        </w:rPr>
      </w:pPr>
    </w:p>
    <w:p>
      <w:pPr>
        <w:ind w:left="503" w:right="80" w:hanging="503"/>
        <w:spacing w:after="0" w:line="261"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may be required to condition patients for treatment with our product candidates, or certain monoclonal antibodies which are intended for administration to patients in combination with many of our product candidates in certain of our clinical trials;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distributing our product candidates to clinical trial sites, or failure to establish effective protocols for the supply and transport of our product candidates;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clinical trial design and parameters with regulatory authorities, investigators, and IRBs;</w:t>
      </w:r>
    </w:p>
    <w:p>
      <w:pPr>
        <w:spacing w:after="0" w:line="117" w:lineRule="exact"/>
        <w:rPr>
          <w:rFonts w:ascii="Times New Roman" w:cs="Times New Roman" w:eastAsia="Times New Roman" w:hAnsi="Times New Roman"/>
          <w:sz w:val="18"/>
          <w:szCs w:val="18"/>
          <w:color w:val="auto"/>
        </w:rPr>
      </w:pPr>
    </w:p>
    <w:p>
      <w:pPr>
        <w:ind w:left="503" w:right="120" w:hanging="503"/>
        <w:spacing w:after="0" w:line="25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data monitoring committees or regulatory agencies for a number of reasons, including after review of an IND submission or amendment, or equivalent application or amendment, as a result of a new safety finding that presents unreasonable risk to clinical trial participants, a negative finding from an inspection of our clinical trial operations or trial sites, developments in trials conducted by us or our competitors that raise concerns about the safety risk to patients of novel therapeutics derived from pluripotent or genome edited therapies and/or negative public perception of the same, or if the FDA or other foreign regulatory authorities find that the investigational protocol or plan is clearly deficient to meet its stated objectives;</w:t>
      </w:r>
    </w:p>
    <w:p>
      <w:pPr>
        <w:spacing w:after="0" w:line="79"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clinical trials of product candidates in oncology indications, the serious, life-threatening diseases of the patients in our oncology clinical trials, who may die or suffer adverse medical events during the course of the trials for reasons that may not be related to our product candidates;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participation in a clinical trial or adhere to study protocols;</w:t>
      </w:r>
    </w:p>
    <w:p>
      <w:pPr>
        <w:spacing w:after="0" w:line="11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competitive agents or changes in the standard of care or treatment landscape on which a clinical development plan was based, which may require new or additional trials, or render our product candidates or clinical trial designs obsolete;</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including any delays due to limitations on the availability of governmental and regulatory agency personnel to review regulatory filings, conduct site inspections or engage in discussions with us as a result of government shutdowns, any future public health crisis or other serious disaster or similar events, failure to obtain regulatory approval, or uncertainty or changes in U.S. or foreign regulatory requirements, policy or guidelines;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staffing and resources at our clinical trial sites to support our trials on a timely basis; and</w:t>
      </w:r>
    </w:p>
    <w:p>
      <w:pPr>
        <w:spacing w:after="0" w:line="117" w:lineRule="exact"/>
        <w:rPr>
          <w:rFonts w:ascii="Times New Roman" w:cs="Times New Roman" w:eastAsia="Times New Roman" w:hAnsi="Times New Roman"/>
          <w:sz w:val="18"/>
          <w:szCs w:val="18"/>
          <w:color w:val="auto"/>
        </w:rPr>
      </w:pPr>
    </w:p>
    <w:p>
      <w:pPr>
        <w:jc w:val="both"/>
        <w:ind w:left="503" w:right="4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clinical trial conduct at our clinical trial sites resulting from prioritization of hospital and other medical resources toward other efforts, such as any future public health crisis or other serious disaster or similar events, policies and procedures implemented at clinical sites with respect to the conduct of clinical trials including those relating to site</w:t>
      </w:r>
    </w:p>
    <w:p>
      <w:pPr>
        <w:spacing w:after="0" w:line="17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215" w:right="359" w:bottom="1440" w:gutter="0" w:footer="0" w:header="0"/>
        </w:sectPr>
      </w:pPr>
    </w:p>
    <w:bookmarkStart w:id="50" w:name="page51"/>
    <w:bookmarkEnd w:id="50"/>
    <w:p>
      <w:pPr>
        <w:ind w:left="1020" w:right="380"/>
        <w:spacing w:after="0" w:line="282" w:lineRule="auto"/>
        <w:rPr>
          <w:sz w:val="20"/>
          <w:szCs w:val="20"/>
          <w:color w:val="auto"/>
        </w:rPr>
      </w:pPr>
      <w:r>
        <w:rPr>
          <w:rFonts w:ascii="Times New Roman" w:cs="Times New Roman" w:eastAsia="Times New Roman" w:hAnsi="Times New Roman"/>
          <w:sz w:val="18"/>
          <w:szCs w:val="18"/>
          <w:color w:val="auto"/>
        </w:rPr>
        <w:t>initiation, study monitoring, and data collection and analysis, and other precautionary measures taken in treating patients or in practicing medicine in response to various public health concerns.</w:t>
      </w:r>
    </w:p>
    <w:p>
      <w:pPr>
        <w:spacing w:after="0" w:line="5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If there are delays in initiating or conducting any clinical trials of our product candidates or any of these clinical trials are suspended or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any future public health crisis or other public health concerns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spacing w:after="0" w:line="8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may announce the expected timing of various scientific, clinical, regulatory, or other product development milestones. These milestones may include the filing or submission of regulatory filings, such as an IND or equivalent application, the commencement or expansion of clinical trials, or the development or release of data from our clinical trials. These milestones are and will be based on a variety of assumptions. If any of the foregoing factors impairs our ability to meet the announced timing of these milestones, we may experience significant harm to our business, prospects, financial condition, results of operations, and market price of shares of our common stock.</w:t>
      </w:r>
    </w:p>
    <w:p>
      <w:pPr>
        <w:spacing w:after="0" w:line="179"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distribution of our cell product candidates, particularly our induced pluripotent stem cell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11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manufacture and supply of our cell product candidates involves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our clinical trials and the commercial viability of our product candidates.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may make changes or be required by the FDA or other regulatory authorities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manufacturing processes for any products that we may develop are subject to FDA and foreign regulatory authority approval requirements, and we and any contract manufacturing organizations (CMOs) or other third-party manufacturers that we may engage for manufacturing our product candidates will need to meet all applicable FDA and foreign regulatory authority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1" w:name="page52"/>
    <w:bookmarkEnd w:id="51"/>
    <w:p>
      <w:pPr>
        <w:spacing w:after="0" w:line="252" w:lineRule="auto"/>
        <w:rPr>
          <w:sz w:val="20"/>
          <w:szCs w:val="20"/>
          <w:color w:val="auto"/>
        </w:rPr>
      </w:pPr>
      <w:r>
        <w:rPr>
          <w:rFonts w:ascii="Times New Roman" w:cs="Times New Roman" w:eastAsia="Times New Roman" w:hAnsi="Times New Roman"/>
          <w:sz w:val="18"/>
          <w:szCs w:val="18"/>
          <w:color w:val="auto"/>
        </w:rPr>
        <w:t>on an ongoing basis. Our existing product candidates are currently manufactured by us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any CMOs or other third-party manufacturers that we may engage for manufacturing our product candidates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any CMOs or other third-party manufacturers that we may engage for manufacturing our product candidates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any third-party manufacturers that we may engage for manufacturing our product candidates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89"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to our manufacturing operations, or the inability by us or our third-party suppliers or manufacturers to manufacture sufficient quantities of our product candidates at acceptable quality levels or costs, or at all, would materially and adversely affect our business.</w:t>
      </w:r>
    </w:p>
    <w:p>
      <w:pPr>
        <w:spacing w:after="0" w:line="9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own internal manufacturing facilities in San Diego, California for the production of our product candidates, and we rely, and expect to continue to rely, on third parties for the manufacture of certain components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we rely on our own manufacturing facilities to produce our product candidates and on third parties for the manufacture of certain components,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any CMOs or third parties that we engage to manufacture our product candidates could delay the continued development of our product candidates.</w:t>
      </w:r>
    </w:p>
    <w:p>
      <w:pPr>
        <w:spacing w:after="0" w:line="1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relying on third parties for the manufacture of certain components used in the manufacture of our product candidates, we manufacture our product candidates ourselves, including all of the clinical supply of our iPSC-derived NK-cell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2" w:name="page53"/>
    <w:bookmarkEnd w:id="52"/>
    <w:p>
      <w:pPr>
        <w:ind w:right="80"/>
        <w:spacing w:after="0" w:line="256" w:lineRule="auto"/>
        <w:rPr>
          <w:sz w:val="20"/>
          <w:szCs w:val="20"/>
          <w:color w:val="auto"/>
        </w:rPr>
      </w:pPr>
      <w:r>
        <w:rPr>
          <w:rFonts w:ascii="Times New Roman" w:cs="Times New Roman" w:eastAsia="Times New Roman" w:hAnsi="Times New Roman"/>
          <w:sz w:val="18"/>
          <w:szCs w:val="18"/>
          <w:color w:val="auto"/>
        </w:rPr>
        <w:t>T-cell product candidates for our ongoing and planned clinical trials. We will need to scale up our own manufacturing operations, as we do not currently have the infrastructure or capability internally to manufacture sufficient quantities of each of our product candidates to support commercialization of each of our product candidates, if approved. Accordingly, we will be required to make significant investments to maintain and expand our existing Good Manufacturing Practice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shortages of materials and supplies, facility shutdowns, global pandemics or other public health concerns, global geopolitical tensions, including wars and other armed conflicts, natural disasters (including due to the effects of climate change)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Further, delays in regulatory inspections, commissioning and receiving regulatory approvals for our manufacturing capabilities or facilities, including any new facilities could delay our development plans, including the initiation and conduct of our ongoing and planned clinical trials. In addition, we and our third-party manufacturers may have limited manufacturing capacity for certain product candidates or components used in manufacturing our product candidates, and we may fail to locate suitable additional or replacement manufacturing capacity, including for the manufacture of our product candidates in compliance with current GMP (cGMP) or current Good Tissue Practice (cGTP), on a reasonable basis or at all. Any such failure could be the basis for the FDA or other regulatory authorities to issue a FDA Form 483,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19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standards or specifications applicable in the United States or in other countries with consistent and acceptable production yields and costs. In addition, if contaminants are discovered in our supply of product candidates or in our manufacturing facilities or those of our third-party suppliers and manufacturers, such manufacturing facilities may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185"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9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 xml:space="preserve">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The development of such complex cell therapies is a relatively new and emerging field, and the scientific research that forms the basis of our efforts to discover and develop iPSC-derived and genome edited cellular immunotherapies is ongoing; this is particularly true in relation to the development of cell therapies for the treatment of autoimmune diseases where there is limited clinical data available and where we have limited prior experience.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with any new biologic or drug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88" w:lineRule="exact"/>
        <w:rPr>
          <w:sz w:val="20"/>
          <w:szCs w:val="20"/>
          <w:color w:val="auto"/>
        </w:rPr>
      </w:pPr>
    </w:p>
    <w:p>
      <w:pPr>
        <w:ind w:left="5540" w:right="3540" w:hanging="5023"/>
        <w:spacing w:after="0" w:line="532" w:lineRule="auto"/>
        <w:tabs>
          <w:tab w:leader="none" w:pos="10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found ineffective or cause harmful side effects during preclinical studies or clinical trials;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3" w:name="page54"/>
    <w:bookmarkEnd w:id="53"/>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receive necessary regulatory approvals on a timely basis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precluded from commercialization by proprietary rights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difficult to manufacture on a large scale;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uneconomical to commercialize or fail to achieve market acceptance.</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172"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p>
    <w:p>
      <w:pPr>
        <w:spacing w:after="0" w:line="10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product candidates are being developed for use in combination with one or more other therapies, such as monoclonal antibodies, and other current or future product candidates may be used in combination with other biologics or drugs, both approved and unapproved, such as fludarabine. Our ability to develop and ultimately commercialize our current product candidates and any future product candidates used in combination with another drug or biologic will depend on our ability, or the ability of third-party clinical trial sites on which we rely, to access such drugs or biologics on commercially reasonable terms for the clinical trials and their availability for use with the commercialized product, if approved. We cannot be certain that we, or third-party clinical trial sites on which we rely, will be able to secure a steady supply of such drugs or biologics on commercially reasonable terms or at all.</w:t>
      </w:r>
    </w:p>
    <w:p>
      <w:pPr>
        <w:spacing w:after="0" w:line="18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Any failure by us, or by third-party clinical trial sites on which we rely, to secure a steady supply of such drugs or biologics may delay our development timelines, increase our costs and jeopardize our ability to develop our current product candidates and any future product candidates as commercially viable therapies. If any of these occur, our business, financial condition, results of operations, stock price and prospects may be materially harmed.</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example,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or any of our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quality, manufacturing and supply issues, and changes to the standard of care.</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any collaborator or supplier cannot continue to supply their products on commercially reasonable terms, we would need to identify alternatives for accessing such products. Additionally, should the supply of products from any collaborator or supplier be interrupted, delayed or otherwise be unavailable,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a third-party clinical trial site on which we rely sources a combination therapy itself and does not submit the costs of such therapy to government programs or patients’ insurance, the costs of such therapy may be passed on to us, which could harm our business, financial condition, results of operations, stock price and prospects.</w:t>
      </w:r>
    </w:p>
    <w:p>
      <w:pPr>
        <w:spacing w:after="0" w:line="172" w:lineRule="exact"/>
        <w:rPr>
          <w:sz w:val="20"/>
          <w:szCs w:val="20"/>
          <w:color w:val="auto"/>
        </w:rPr>
      </w:pPr>
    </w:p>
    <w:p>
      <w:pPr>
        <w:jc w:val="both"/>
        <w:ind w:right="44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encounter difficulties enrolling patients in our clinical trials, including as a result of challenges in identifying and recruiting eligible patients to participate in our trials or competition for patients, our clinical development activities could be delayed or otherwise adversely affected.</w:t>
      </w:r>
    </w:p>
    <w:p>
      <w:pPr>
        <w:spacing w:after="0" w:line="55"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4" w:name="page55"/>
    <w:bookmarkEnd w:id="54"/>
    <w:p>
      <w:pPr>
        <w:ind w:right="100"/>
        <w:spacing w:after="0" w:line="261" w:lineRule="auto"/>
        <w:rPr>
          <w:sz w:val="20"/>
          <w:szCs w:val="20"/>
          <w:color w:val="auto"/>
        </w:rPr>
      </w:pPr>
      <w:r>
        <w:rPr>
          <w:rFonts w:ascii="Times New Roman" w:cs="Times New Roman" w:eastAsia="Times New Roman" w:hAnsi="Times New Roman"/>
          <w:sz w:val="18"/>
          <w:szCs w:val="18"/>
          <w:color w:val="auto"/>
        </w:rPr>
        <w:t>potential patients who might be eligible for enrollment in one of our clinical trials may instead choose to enroll in a trial being conducted by one of our competitors. We may also face an unwillingness of sites to participate in our clinical trials. A number of cell therapy companies have recently commenced clinical trials for the treatment of autoimmune diseases, which has increased competition for investigators and for patients for our ongoing and any future clinical trials that we may initiate for the treatment of autoimmune diseases.</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ability, and the ability of investigators, to enroll patients in our ongoing and planned clinical trials of our product candidates is affected by factors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clinical trial sites and recruit clinical trial investigators with the appropriate capabilities,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solicit and recruit a sufficient number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and whether the FDA and other foreign regulatory agencies agree to the design and implementation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size and nature of the patient populations for certain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clinical trials in question;</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and parents' (for pediatric patients) perceptions as to the potential risks and benefits of the product candidate under study in relation to other available therapies, including any perceived risks associated with our iPSC-derived product candidates, which we believe are the first ever iPSC-derived cell therapies cleared by the FDA for clinical investigation in the United States, or with our chimeric antigen receptor (CAR) T-cell therapies broadly following FDA’s investigation into reports of T-cell malignancies for B-cell maturation antigen (BCMA)- and CD19-directed autologous CAR T-cell therapies, and perceived risks associated with the novel use of cell therapies for the treatment of autoimmune diseases, where there are no FDA-approved cell therapies and limited clinical precedent;</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any natural disaster or public health crisis;</w:t>
      </w:r>
    </w:p>
    <w:p>
      <w:pPr>
        <w:spacing w:after="0" w:line="6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components and agents necessary to enroll and treat prospective patients in our clinical trials, including agents which may be required to condition patients or monoclonal antibodies which are intended for administration to patients in combination with our product candidates, in certain of our clinical trials;</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including through remote monitoring if required as a result of precautionary changes implemented at clinical trial sites as a result of any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development of certain of our product candidates as treatment for autoimmune diseases represents a novel approach, and no cell therapies have been approved for commercial use for the treatment of autoimmune diseases. As a consequence, use of cell therapies such as our product candidates for the treatment of autoimmune diseases may not gain the acceptance of the public or medical community. Our ability to enroll patients in our clinical trials for treatment of autoimmune diseases will depend upon the treatment practices of physicians who specialize in the treatment of autoimmune diseases targeted by our product candidates, and enrollment in our clinical trials may be impaired if physicians are reluctant to enroll patients into our clinical trials in lieu of, or in addition to, using existing treatments with which they are more familiar and for which more clinical data may be available. In addition, patient populations targeted for autoimmune diseases by our product candidates are typically not at risk of near-term death, even if they may suffer life-threatening symptoms, so these patients will need to deem the potential benefits of our cell therapy product candidates to be worth the risk of unknown potential adverse side effects. Furthermore, autoimmune disease patients and their physicians may choose to use conventional therapies, such as corticosteroids or systemic immunosuppressive medications, rather than participate in our clinical trials.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5" w:name="page56"/>
    <w:bookmarkEnd w:id="55"/>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that are in the same therapeutic areas as our product candidates. This competition will reduce the number of clinical trial sites and patients available to us because some clinical trial sites and patients may opt to participate in a trial being conducted by a competitor rather than participate in our clinical trials.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179" w:lineRule="exact"/>
        <w:rPr>
          <w:sz w:val="20"/>
          <w:szCs w:val="20"/>
          <w:color w:val="auto"/>
        </w:rPr>
      </w:pPr>
    </w:p>
    <w:p>
      <w:pPr>
        <w:jc w:val="both"/>
        <w:ind w:right="4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may cause delays in the initiation or conduct of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spacing w:after="0" w:line="19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regulatory approval for such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or contraindications;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product candidate is approved, have regulatory authorities withdraw their approval of the product or impose restrictions on its use.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under current or future U.S. presidential administrations may result in delays in the regulatory review and approval process and cause uncertainty regarding approval pathways.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18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focus on the development of programmed cellular immunotherapies for patients,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t>abandon or delay the pursuit of opportunities with existing or future product candidates, including those that may be more advanced in development than those we ultimately elect to pursue. We have also expanded our research and development efforts into areas outside of our initial focus in oncology, such as autoimmune diseases, where we have limited experience. Due to these factors, our spending on current and future research and development programs and product candidates and the scientific innovation arising from these expenditures, may not yield commercially viable product candidates.</w:t>
      </w:r>
    </w:p>
    <w:p>
      <w:pPr>
        <w:spacing w:after="0" w:line="176"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9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conduct of clinical trials, patients may report changes in their health, including illnesses, injuries and discomforts, to their doctor. Often, it is not possible to determine whether or not the product candidate being studied caused these conditions. Regulatory authorities may draw different conclusions and may require us to pause our clinical trials or require additional testing to confirm these determinations, if they occur. Drug-related side effects could also affect patient recruitment or the ability of enrolled patients to complete the trial or result in potential product liability claims.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may be reported by subjects or patients. Many times, drug-related side effects are only detectable after investigational products are tested in large-scale pivotal trials or, in some cases, after they are made available to patients on a commercial scale after approval.</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Currently approved CAR T-cell therapies and those under development have shown frequent rates of adverse events, including infection, cytokine release syndrome (CRS), and Immune Effector Cell-Associated Neurotoxicity Syndrome (ICANS), and some adverse events have resulted in patient deaths. In clinical trials of our current product candidates, adverse events have occurred and there is a possibility that our current or future product candidates could cause similarly life threatening serious adverse events such as CRS and ICANS. Additionally, preconditioning regimens, such as those currently implemented in certain regimens of our clinical trials, may increase the risk of occurrence and severity of adverse side effects including infection, prolonged or persistent cytopenias, and ICANS. Patients in our clinical trials receiving preconditioning treatment may experience increased or more severe adverse effects specifically related to the preconditioning regimen, including allergic reactions, shortness of breath, fevers, infections, low blood counts, development of certain cancers, loss of fertility, temporary hair loss, and organ dysfunction. Furthermore, because certain autoimmune diseases we seek to treat may be less serious than the later stage cancers traditionally being treated with cell therapies or other immunotherapy products, we believe the FDA and other regulatory authorities will apply a different benefit-risk threshold such that any potential harmful side effects may outweigh the benefits of our product candidates and require us to cease clinical trials or result in denial of regulatory approval of our product candidates in autoimmune disease indications. Tolerance for adverse events in the autoimmune disease patient populations being pursued with cell-based therapies, such as in patients in our FT819 clinical trial for the treatment of SLE and other autoimmune disease indications, is expected to be lower than it is in oncology, and the risks of negative impacts from these toxicities may therefore be greater for our autoimmune programs than for our oncology programs or the oncology programs of others. Medical personnel using our product candidates may also need additional training to understand the potential side effect profile and potential toxicities associated with treatment with cellular immunotherapies, including FT819, and to appropriately recognize and manage any side effects that may occur in our clinical trials. Inadequate management of the potential side effects could result in patient deaths. Undesirable side effects, whether associated with our product candidate or with a preconditioning regimen, may delay patient enrollment in our clinical trials, and cause us or regulatory authorities to interrupt, delay, or halt clinical trials. Any undesirable side effects could result in changes to our clinical trial design and development strategy, a more restrictive label, or the delay, denial, or revocation of regulatory approval by the FDA or foreign regulatory authorities. Any such delay or failure as a result of undesirable side effects would harm our business, financial condition, results of operations and prospects.</w:t>
      </w:r>
    </w:p>
    <w:p>
      <w:pPr>
        <w:spacing w:after="0" w:line="184" w:lineRule="exact"/>
        <w:rPr>
          <w:sz w:val="20"/>
          <w:szCs w:val="20"/>
          <w:color w:val="auto"/>
        </w:rPr>
      </w:pPr>
    </w:p>
    <w:p>
      <w:pPr>
        <w:jc w:val="both"/>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be adversely affected by investigators’ limited experience with CAR-T cell therapies, including lack of familiarity with CAR-T-specific safety profiles and adverse events, which could impact patient safety, safety reporting, and the interpretation of clinical trial results.</w:t>
      </w:r>
    </w:p>
    <w:p>
      <w:pPr>
        <w:spacing w:after="0" w:line="7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are CAR-T cell therapies, which are associated with unique and potentially severe safety risks, including CRS, ICANS, prolonged cytopenias, infections, and other immune-mediated or delayed adverse events. The identification, grading, management, and timely reporting of these adverse events require specialized training and experience that differ significantly from those required for traditional therapies.</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Many clinical trial investigators, site personnel, and institutions have limited prior experience conducting clinical trials involving CAR-T cell therapies or managing their associated toxicities. As a result, investigators or site staff may not promptly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7" w:name="page58"/>
    <w:bookmarkEnd w:id="57"/>
    <w:p>
      <w:pPr>
        <w:ind w:right="20"/>
        <w:spacing w:after="0" w:line="266" w:lineRule="auto"/>
        <w:rPr>
          <w:sz w:val="20"/>
          <w:szCs w:val="20"/>
          <w:color w:val="auto"/>
        </w:rPr>
      </w:pPr>
      <w:r>
        <w:rPr>
          <w:rFonts w:ascii="Times New Roman" w:cs="Times New Roman" w:eastAsia="Times New Roman" w:hAnsi="Times New Roman"/>
          <w:sz w:val="18"/>
          <w:szCs w:val="18"/>
          <w:color w:val="auto"/>
        </w:rPr>
        <w:t>recognize, accurately grade, or appropriately manage CAR-T-related adverse events, or may inconsistently apply applicable grading criteria, management guidelines, or reporting requirements. Inadequate or delayed identification and reporting of safety events could increase risks to patients, lead to incomplete or inconsistent safety data, or result in inaccurate characterization of the safety profile of our product candidates.</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variability in investigator experience with CAR-T therapies may contribute to inconsistent safety monitoring, delayed intervention, protocol deviations, or incomplete adverse event documentation across trial sites. These factors could complicate data interpretation, limit comparability across study cohorts or sites, and negatively affect discussions with regulatory authorities. Addressing such issues may require additional investigator training, increased monitoring, site remediation, or the replacement of clinical trial sites, which could increase costs, delay trial timelines, and divert management resources.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ensure that investigators and site personnel have sufficient expertise in the administration of CAR-T cell therapies and the management and reporting of CAR-T-associated adverse events, our clinical trials may be delayed, suspended, or terminated, regulatory approvals may be delayed or denied, and the commercial prospects for our product candidates could be materially adversely affected.</w:t>
      </w:r>
    </w:p>
    <w:p>
      <w:pPr>
        <w:spacing w:after="0" w:line="172"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being developed for the treatment of patient populations with significant comorbidities, particularly in the case of oncology patients, that may result in deaths or serious adverse events or unacceptable side effects and require us to abandon or limit our clinical development activities.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Patients treated with our current product candidates, particularly in our clinical trials in oncology indications,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In particular, the oncology diseases we are studying have complex comorbidities and the patients enrolled in those studies are often critically ill.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184" w:lineRule="exact"/>
        <w:rPr>
          <w:sz w:val="20"/>
          <w:szCs w:val="20"/>
          <w:color w:val="auto"/>
        </w:rPr>
      </w:pPr>
    </w:p>
    <w:p>
      <w:pPr>
        <w:jc w:val="both"/>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 if approved.</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early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Cellular immunotherapies, and iPSC-derived cell therapies in particular, represent relatively new therapeutic areas, and the FDA has cautioned consumers about potential safety risks associated with cell therapies. For example, in January 2024, the FDA determined that new safety information related to T-cell malignancies should be included in the labeling with boxed warning language on these malignancies for all BCMA- and CD19-directed genetically modified autologous T-cell immunotherapies. To date, there are relatively few approved cell therapies as treatments for cancer, and no cell-based therapies have been approved for commercial use for the treatment of an autoimmune disease. Currently, all approved CAR T-cell immunotherapies are in oncology indications, and there can be no assurance that the FDA will find the risks of treatment with cell therapy acceptable in other indications, such as autoimmune diseases. Additionally, due to the uncertainties associated with the preclinical and clinical development, manufacture, and regulatory requirements for approval of our product candidates, we may be required to modify or change our preclinical and clinical development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8" w:name="page59"/>
    <w:bookmarkEnd w:id="58"/>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spacing w:after="0" w:line="172"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regulatory approval from the FDA or comparable foreign regulatory authorities for our product candidates, which would prevent or delay commercialization and adversely affect our business.</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development, testing, manufacture and commercialization of our product candidates are subject to extensive regulation by the FDA and comparable foreign regulatory authorities. The regulatory approval process for novel product candidates such as ours is particularly uncertain and may be more expensive and take longer than the approval process for cell therapy product candidates based on other, better known or more extensively studied technologies and therapeutic approaches. As a result, we cannot assure that any of our product candidates will receive regulatory approval in the United States or in any other jurisdiction.</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a comparable foreign regulatory authority for many reasons, including: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conduct of our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a favorable benefit-risk profile for a product candidate for its proposed 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stability, safety, purity and potency of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sites to conduct studies in accordance with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studies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studies;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data collected from clinical studies to support the submission, filing or approval of a biologics license application (BLA) or other regulatory submission;</w:t>
      </w:r>
    </w:p>
    <w:p>
      <w:pPr>
        <w:spacing w:after="0" w:line="53" w:lineRule="exact"/>
        <w:rPr>
          <w:rFonts w:ascii="Times New Roman" w:cs="Times New Roman" w:eastAsia="Times New Roman" w:hAnsi="Times New Roman"/>
          <w:sz w:val="18"/>
          <w:szCs w:val="18"/>
          <w:color w:val="auto"/>
        </w:rPr>
      </w:pPr>
    </w:p>
    <w:p>
      <w:pPr>
        <w:ind w:left="1020" w:right="460" w:hanging="503"/>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reach agreement with the FDA or comparable foreign regulatory authorities on the methodologies for, and assessment of, comparability of different versions of a product candidate used in non-pivotal studies, pivotal studies and for intended commercial use;</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our manufacturing processes or of our own manufacturing facilities;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inconsistencies in requested or required methodologies, statistical analyses, specification criteria or regulatory submission requirements for a product candidate, including changes to, or inconsistencies with, applicable industry practice or precedent; or</w:t>
      </w:r>
    </w:p>
    <w:p>
      <w:pPr>
        <w:spacing w:after="0" w:line="53"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approval policies or regulations, or changes in positions, guidance or feedback communicated by the FDA or comparable foreign regulatory authorities, that render our preclinical or clinical data insufficient to support approval or otherwise negatively impact the potential approval of a product candidate.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the development of cell therapy products and therapeutic products created with gene editing technology have changed frequently and the FDA or other regulatory bodies may change the requirements, or identify different regulatory pathways, for approval for any of our product candidates. For example, as regulatory expectations regarding cell therapy products and products created with gene editing technology continue to evolve, the FDA could require additional testing or new testing of products created with gene editing technology, including our product candidates, and any such additional FDA requirements for approval for any of our product candidates may adversely impact or slow development of our product candidates. The FDA previously established the Office of Tissues and Advanced Therapies (OTAT) within the Center for Biologics Evaluation and Research (CBER) to consolidate the review of cell therapy and related products, and to advise CBER on its review. In September 2022, the FDA announced retitling of OTAT to the Office of Therapeutic Products (OTP) and elevation of OTP to a “Super Office” to meet its growing cell and gene therapy workload and new commitments under the Prescription Drug User Fee Act agreement for fiscal years 2023-2027. It is possible that over time and with new leadership direction at the FDA that new or different divisions may be established or be granted the responsibility for regulating cell and/or gene therapy products, including iPSC-derived cell products made with gene editing technology, such as ours. The regulatory review divisions and committees, and any new guidelines they promulgate, may lengthen the regulatory review process, require us to perform additional studies or clinical trials, and delay or prevent development, approval, and commercialization of our product candidates.</w:t>
      </w:r>
    </w:p>
    <w:p>
      <w:pPr>
        <w:spacing w:after="0" w:line="18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addition, to market any product outside of the United States, we must also comply with numerous and varying regulatory requirements of other countries and jurisdictions regarding quality, safety and efficacy and governing, among other things, clinical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59" w:name="page60"/>
    <w:bookmarkEnd w:id="59"/>
    <w:p>
      <w:pPr>
        <w:ind w:right="60"/>
        <w:spacing w:after="0" w:line="255" w:lineRule="auto"/>
        <w:rPr>
          <w:sz w:val="20"/>
          <w:szCs w:val="20"/>
          <w:color w:val="auto"/>
        </w:rPr>
      </w:pPr>
      <w:r>
        <w:rPr>
          <w:rFonts w:ascii="Times New Roman" w:cs="Times New Roman" w:eastAsia="Times New Roman" w:hAnsi="Times New Roman"/>
          <w:sz w:val="18"/>
          <w:szCs w:val="18"/>
          <w:color w:val="auto"/>
        </w:rPr>
        <w:t>trials, marketing authorization, commercial sales and distribution of products. Whether or not it obtains FDA approval for a product, an applicant must obtain the necessary approvals by the comparable foreign regulatory authorities before commencing clinical trials or marketing of the product in those countries or jurisdictions. For example, the process governing approval of medicinal products in the European Union generally follows the same lines as in the United States but can differ in significant ways. It entails the satisfactory completion of preclinical studies and adequate and well-controlled clinical trials to establish the safety and efficacy of the product for each proposed indication. It also requires the submission of a marketing authorization application to the relevant competent authorities and the granting of a marketing authorization by those authorities before the product can be marketed and sold in the European Union.</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Any guidance we receive from the FDA or other foreign regulatory authorities is subject to change. These regulatory authorities could change their position, including on the acceptability of our clinical trial designs or the clinical endpoints selected in our clinical trials, which may require us to complete additional clinical trials or result in stricter conditions for obtaining regulatory approval for our product candidates.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spacing w:after="0" w:line="186"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results of our current and future clinical trials may differ from results achieved in earlier preclinical and clinical studies for a variety of reasons, including: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demonstrate the potency and efficacy benefits observed in previous studies;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study design, including differences in conditioning regimens, eligibility criteria, and patient populations;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the standard of care may affect our ability to demonstrate efficacy or achieve study endpoints in our current or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or adverse events in patients who enroll in our current or future clinical trials.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some of the data from clinical trials of our product candidates performed to date were generated from open-label studies, and these studies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clinical trials of our product candidates may not be predictive of future clinical trial results for these or other future product candidates when studied in a controlled environment or larger patient populations.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0" w:name="page61"/>
    <w:bookmarkEnd w:id="60"/>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have, from time to time, reported positive interim clinical data for certain of our clinical programs,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15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scrutiny.</w:t>
      </w:r>
    </w:p>
    <w:p>
      <w:pPr>
        <w:spacing w:after="0" w:line="22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Additionally, under the Food and Drug Omnibus Reform Act of 2022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193" w:lineRule="exact"/>
        <w:rPr>
          <w:sz w:val="20"/>
          <w:szCs w:val="20"/>
          <w:color w:val="auto"/>
        </w:rPr>
      </w:pPr>
    </w:p>
    <w:p>
      <w:pPr>
        <w:ind w:right="5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and may in the future seek regenerative medicine advanced therapy (RMAT) designation for certain of our product candidates, but such designation may not actually lead to a faster development or regulatory review or approval process and we may be unable to obtain or maintain the benefits associated with such designation.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1" w:name="page62"/>
    <w:bookmarkEnd w:id="61"/>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received RMAT designation from the FDA for FT819 for the treatment of active moderate to severe systemic lupus erythematosus (SLE), including lupus nephritis, and may seek additional RMAT designations in the future for current or future product candidates. A product candidate is eligible for RMAT designation if: (1) it is a cell therapy, therapeutic tissue engineering product, human cell or tissue product, or a combination product using any such therapies or products, with limited exceptions;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 biologics license application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Even though we obtained RMAT designation for FT819 in April 2025, such designation does not change the standards for product approval, and there is no assurance that this designation will result in expedited review or approval or that the approved indication will not be narrower than the indication covered by the RMAT designation. In addition, even if one or more of our product candidates qualifies for RMAT designation, the FDA may rescind RMAT designation if it believes the product no longer meets the conditions for qualification.</w:t>
      </w:r>
    </w:p>
    <w:p>
      <w:pPr>
        <w:spacing w:after="0" w:line="193"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rely on orphan drug exclusivity for product candidates that we may develop. Orphan drug status confers seven years of marketing exclusivity in the United States under the Federal Food Drug, and Cosmetic Act,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 frames. Furthermore, any marketing exclusivity in Europe can be reduced from ten years to six years if the initial designation criteria have significantly changed since the market authorization of the orphan product.</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any product candidate for which we may be granted orphan drug designation in a particular indication,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Even if we are the first to obtain marketing authorization for an orphan drug indication in the United States, there are circumstances under which a competing product may be approved for the same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8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cell programming technology as a designated platform technology, but we might not receive such designation, and even if we do, such designation may not lead to a faster development or regulatory review or approval process.</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seek designation for our cell programming technology as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or New Drug Application (NDA); (2) preliminary evidence submitted by the sponsor of the approved or licensed drug, or a sponsor that has been granted a right of reference to data submitted in the application for such drug, demonstrates that the platform technology has the potential to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62" w:name="page63"/>
    <w:bookmarkEnd w:id="62"/>
    <w:p>
      <w:pPr>
        <w:spacing w:after="0" w:line="253" w:lineRule="auto"/>
        <w:rPr>
          <w:sz w:val="20"/>
          <w:szCs w:val="20"/>
          <w:color w:val="auto"/>
        </w:rPr>
      </w:pPr>
      <w:r>
        <w:rPr>
          <w:rFonts w:ascii="Times New Roman" w:cs="Times New Roman" w:eastAsia="Times New Roman" w:hAnsi="Times New Roman"/>
          <w:sz w:val="18"/>
          <w:szCs w:val="18"/>
          <w:color w:val="auto"/>
        </w:rPr>
        <w:t>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or NDA for a drug or biological product that uses or incorporates the platform technology. Even if we believe our cell programming technology meets the criteria for such designation, the FDA may disagree and instead determine not to grant such designation. In addition, the receipt of such designation for a platform technology does not ensure that a drug will be developed more quickly or lead to a faster FDA review or approval process and does not assure ultimate FDA approval of a drug. Moreover, the FDA may revoke a designation if the FDA determines that a designated platform technology no longer meets the criteria for such designation.</w:t>
      </w:r>
    </w:p>
    <w:p>
      <w:pPr>
        <w:spacing w:after="0" w:line="190"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one or more of our product candidates into real-time oncology review (RTOR). This program may not lead to a faster regulatory review or approval process and does not increase the likelihood that our product candidate(s) will receive marketing approval.</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179"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 For more information, please see “Business—Government Regulation—Other Healthcare Laws and Compliance Requirements.”</w:t>
      </w:r>
    </w:p>
    <w:p>
      <w:pPr>
        <w:spacing w:after="0" w:line="19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(EU).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63" w:name="page64"/>
    <w:bookmarkEnd w:id="63"/>
    <w:p>
      <w:pPr>
        <w:ind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179"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15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plan to develop and potentially commercialize our product candidates worldwide. Accordingly, we expect that we will be subject to additional risks related to operating in foreign countries,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data privacy regulations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or comparable foreign regulations;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ongoing and emerging geopolitical tensions, including wars, armed conflicts or acts of terrorism.</w:t>
      </w:r>
    </w:p>
    <w:p>
      <w:pPr>
        <w:spacing w:after="0" w:line="225"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15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and expect to continue to conduct clinical trials for some of our product candidates outside the United States, and the FDA may not accept data from trials conducted in such locations.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conduct and expect to continue to conduct one or more of our clinical trials or include sites in current or future clinical trials outside the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w:t>
      </w:r>
    </w:p>
    <w:p>
      <w:pPr>
        <w:spacing w:after="0" w:line="207"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Although the FDA may accept data from sites or clinical trials outside the United States, acceptance of these data is subject to conditions imposed by the FDA.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w:t>
      </w:r>
    </w:p>
    <w:p>
      <w:pPr>
        <w:spacing w:after="0" w:line="2" w:lineRule="exact"/>
        <w:rPr>
          <w:sz w:val="20"/>
          <w:szCs w:val="20"/>
          <w:color w:val="auto"/>
        </w:rPr>
      </w:pPr>
    </w:p>
    <w:p>
      <w:pPr>
        <w:ind w:right="60" w:firstLine="8"/>
        <w:spacing w:after="0" w:line="253"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23" w:right="419" w:bottom="1440" w:gutter="0" w:footer="0" w:header="0"/>
        </w:sectPr>
      </w:pPr>
    </w:p>
    <w:bookmarkStart w:id="64" w:name="page65"/>
    <w:bookmarkEnd w:id="64"/>
    <w:p>
      <w:pPr>
        <w:spacing w:after="0" w:line="256" w:lineRule="auto"/>
        <w:rPr>
          <w:sz w:val="20"/>
          <w:szCs w:val="20"/>
          <w:color w:val="auto"/>
        </w:rPr>
      </w:pPr>
      <w:r>
        <w:rPr>
          <w:rFonts w:ascii="Times New Roman" w:cs="Times New Roman" w:eastAsia="Times New Roman" w:hAnsi="Times New Roman"/>
          <w:sz w:val="18"/>
          <w:szCs w:val="18"/>
          <w:color w:val="auto"/>
        </w:rPr>
        <w:t>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it would likely result in the need for additional trials, which would be costly and time-consuming and would delay or halt our development of the applicable product candidates. Additionally, recent policy proposals in the United States may make acceptance by the FDA or inclusion in a marketing application of foreign data more difficult or costly.</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jc w:val="both"/>
        <w:ind w:right="6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ongoing and planned operations, including the development of our product candidates, will require substantial additional funding, without which we will be unable to complete preclinical or clinical development of, or obtain regulatory approval for or commercialize, our product candidates.</w:t>
      </w:r>
    </w:p>
    <w:p>
      <w:pPr>
        <w:spacing w:after="0" w:line="2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are currently advancing multiple product candidates through clinical development, and conducting preclinical research and development activities in other programs. Drug development is expensive, and we expect our research and development expenses to remain significant in connection with our ongoing activities, particularly as we advance our current product candidates in clinical trials and seek to initiate clinical development for additional product candidates.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our cash, cash equivalents, and investments were $205.1 million. We intend to use our cash, cash equivalents, and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to commercialize our existing product candidates and any other 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spacing w:after="0" w:line="80" w:lineRule="exact"/>
        <w:rPr>
          <w:sz w:val="20"/>
          <w:szCs w:val="20"/>
          <w:color w:val="auto"/>
        </w:rPr>
      </w:pPr>
    </w:p>
    <w:p>
      <w:pPr>
        <w:ind w:left="1020" w:right="5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ongoing and planned clinical trials, and any additional clinical trials we may initiate, conduct or support for our product candidates;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Memorial Sloan Kettering Cancer Center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5" w:name="page66"/>
    <w:bookmarkEnd w:id="65"/>
    <w:p>
      <w:pPr>
        <w:ind w:left="1020" w:right="20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arrangements and alliances with third-party collaborators including our existing collaborations with Ono Pharmaceutical Co., Ltd. (Ono), and the University of Minnesota to advance the research, development and commercialization of therapeutic products.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and interest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ongoing and emerging geopolitical tensions, including wars and other armed conflicts, on the global economy remain unknown and difficult to predict, these events have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spacing w:after="0" w:line="7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 additional capital, or obtain adequate funds, will have a material adverse effect on our business, prospects, financial condition, results of operations, and market price of shares of our common stock.</w:t>
      </w:r>
    </w:p>
    <w:p>
      <w:pPr>
        <w:spacing w:after="0" w:line="172" w:lineRule="exact"/>
        <w:rPr>
          <w:sz w:val="20"/>
          <w:szCs w:val="20"/>
          <w:color w:val="auto"/>
        </w:rPr>
      </w:pPr>
    </w:p>
    <w:p>
      <w:pPr>
        <w:ind w:right="5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December 31, 2025, we had an accumulated deficit of $1.5 billion.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investments and may not use them effectively.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While we currently manufacture clinical supplies of our iPSC-derived cell product candidates at our cGMP facilities located in San Diego, California, we also rely on third parties to manufacture certain components required for the manufacture of our product candidates, and we may rely on third parties to conduct some or all aspects of manufacturing of our product candidates for use in conducting later stage clinical trials and for commercial sale upon approval of any of our product candidates.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176" w:lineRule="exact"/>
        <w:rPr>
          <w:sz w:val="20"/>
          <w:szCs w:val="20"/>
          <w:color w:val="auto"/>
        </w:rPr>
      </w:pPr>
    </w:p>
    <w:p>
      <w:pPr>
        <w:ind w:firstLine="50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strategic partnerships and collaboration arrangements for the development and commercialization of certain of our product candidates in certain indications or geographic territories, and if these arrangements are terminated or are unsuccessful, this could result in delays and other obstacles in the development, manufacture or commercialization of any of our product candidates and materially harm our results of operations.</w:t>
      </w:r>
    </w:p>
    <w:p>
      <w:pPr>
        <w:spacing w:after="0" w:line="15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strategy for fully developing and commercializing our product candidates is dependent upon maintaining our current arrangements and establishing new arrangements with research collaborators, corporate collaborators and other third parties.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67" w:name="page68"/>
    <w:bookmarkEnd w:id="67"/>
    <w:p>
      <w:pPr>
        <w:ind w:right="40"/>
        <w:spacing w:after="0" w:line="266" w:lineRule="auto"/>
        <w:rPr>
          <w:sz w:val="20"/>
          <w:szCs w:val="20"/>
          <w:color w:val="auto"/>
        </w:rPr>
      </w:pPr>
      <w:r>
        <w:rPr>
          <w:rFonts w:ascii="Times New Roman" w:cs="Times New Roman" w:eastAsia="Times New Roman" w:hAnsi="Times New Roman"/>
          <w:sz w:val="18"/>
          <w:szCs w:val="18"/>
          <w:color w:val="auto"/>
        </w:rPr>
        <w:t>currently have a corporate collaboration agreement with Ono. Our collaboration agreement with Ono provides for, among other things, research funding and significant future payments should certain development, regulatory and commercial milestones be achieved. Under our arrangement with Ono and any future corporate arrangements that we may form, our corporate collaborators may be responsible for:</w:t>
      </w:r>
    </w:p>
    <w:p>
      <w:pPr>
        <w:spacing w:after="0" w:line="6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advance product candidates through preclinical and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development and obtaining required regulatory approvals for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any resulting products.</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a result, we may not be able to conduct such corporate collaborations in the manner or on the time schedule we currently contemplate, which may negatively impact our business operations.</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lack of control over the research funding for, and the development and commercialization of, certain of our product candidates being developed under the collaboration and option agreement we entered into with Ono on September 14, 2018 (as amended to date, the Ono Agreement) and any other product candidates that we may develop under a future arrangement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collaborator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81" w:lineRule="exact"/>
        <w:rPr>
          <w:sz w:val="20"/>
          <w:szCs w:val="20"/>
          <w:color w:val="auto"/>
        </w:rPr>
      </w:pPr>
    </w:p>
    <w:p>
      <w:pPr>
        <w:ind w:left="1020" w:right="5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its priorities and resources away from our collaborations due to a change in business strategies, or a merger, acquisition, sale or downsizing of its company or business unit;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development in therapeutic areas which are the subject of our collaboration;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select a product candidate for advancement into preclinical development, clinical development, or subsequent clinical development into a marketed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success criteria for a particular product candidate, thereby delaying or ceasing development of such product candidate;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product candidate that competes, either directly or indirectly,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obtain the requisite regulatory approval of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successfully commercialize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encounters regulatory, resource or quality issues and is unable to meet demand requirements;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rights under the agreement to terminate the collaboration, or otherwise withdraws support for, or otherwise impairs or delays development of one or more product candidates under the collaboration;</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disagrees on the research, development or commercialization of a product candidate resulting in a delay in milestones, royalty payments or termination of such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our proprietary information or intellectual property in such a way as to jeopardize our rights in such property.</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termination of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179"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68" w:name="page69"/>
    <w:bookmarkEnd w:id="6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for the conduct of our clinical trials and the manufacture of our product candidates and do not have supply arrangements for certain of these components.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or cGTP conditions for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188" w:lineRule="exact"/>
        <w:rPr>
          <w:sz w:val="20"/>
          <w:szCs w:val="20"/>
          <w:color w:val="auto"/>
        </w:rPr>
      </w:pPr>
    </w:p>
    <w:p>
      <w:pPr>
        <w:jc w:val="both"/>
        <w:ind w:right="120" w:firstLine="509"/>
        <w:spacing w:after="0" w:line="277" w:lineRule="auto"/>
        <w:rPr>
          <w:sz w:val="20"/>
          <w:szCs w:val="20"/>
          <w:color w:val="auto"/>
        </w:rPr>
      </w:pPr>
      <w:r>
        <w:rPr>
          <w:rFonts w:ascii="Times New Roman" w:cs="Times New Roman" w:eastAsia="Times New Roman" w:hAnsi="Times New Roman"/>
          <w:sz w:val="17"/>
          <w:szCs w:val="17"/>
          <w:color w:val="auto"/>
        </w:rPr>
        <w:t>In addition, the clinical development of our product candidates depends on the availability of certain materials and agents used in our clinical trials. For example, we intend to develop certain of our product candidates as a combination therapy with other cancer therapies, such as monoclonal antibodies, requiring availability and use of these monoclonal antibodies in certain of our clinical trial protocols. Any failure or delays by us or by our clinical sites to obtain sufficient quantities of materials and agents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1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any public health crises, natural disasters (including due to the effects of climate change), ongoing and emerging global geopolitical tensions, including wars and other armed conflicts, regulatory actions, restrictions or requirements affecting the supplier, adverse financial or other strategic developments experienced by a supplier, labor disputes or shortages, unexpected demands, or quality issues,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any of the events described above could adversely affect our ability to manufacture our product candidates and our ability to conduct clinical trials, which could significantly harm our business.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3"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spacing w:after="0" w:line="1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rely upon third parties, including medical institutions, clinical investigators, and clinical research organizations (CROs) for the conduct of certain research and preclinical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9" w:name="page70"/>
    <w:bookmarkEnd w:id="6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and CROs do not successfully carry out their contractual duties or obligations, meet expected deadlines or successfully 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188"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176" w:lineRule="exact"/>
        <w:rPr>
          <w:sz w:val="20"/>
          <w:szCs w:val="20"/>
          <w:color w:val="auto"/>
        </w:rPr>
      </w:pPr>
    </w:p>
    <w:p>
      <w:pPr>
        <w:jc w:val="both"/>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also rely on certain third-party vendors located in China or who are owned by or are associated with certain Chinese companies to assist in non-clinical or clinical trials or provide laboratory services. It is unknown how current or future geopolitical relationships with China or specific Chinese-owned or associated vendors may affect our ability to complete our non-clinical or clinical trials.</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and may in the future, do business with one or more companies located in China, or that are owned or operated by Chinese companies to provide non-clinical or clinical trial support services.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particular, the United States government has proposed and, in certain cases, enacted legislation and policies intended to restrict or prohibit the use of biotechnology services or products provided by certain foreign entities that are owned by, controlled by, or associated with the government of China or other foreign adversaries. Such measures include legislation commonly referred to as the “BIOSECURE Act,” as well as related executive branch actions, which are intended to limit U.S. government funding or support for biotechnology activities involving specified foreign entities and to reduce perceived national security risks associated with reliance on such entities. If applied to our third-party vendors, these laws or policies could restrict our ability, or the ability of our collaborators, contract research organizations, manufacturers, or other third-party vendors, to engage or continue to engage certain Chinese or Chinese-affiliated service providers, even where such providers are currently permitted to operate under applicable law.</w:t>
      </w:r>
    </w:p>
    <w:p>
      <w:pPr>
        <w:spacing w:after="0" w:line="18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could experience delays in finding suitable replacement service providers located outside China or not otherwise owned by or associated with Chinese companies, which could have a material adverse effect on our development activities and our business. In addition, alternative vendors may be more expensive, may have longer lead times, or may lack the same technical capabilities or capacity, which could increase our costs or delay our development timelines.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unable to predict whether or when legislative or executive actions would be effective or applied to specific vendors, or the scope and timing of their potential implementation and whether such actions would materially and adversely affect our liquidity, access to capital, development timelines, or ability to conduct business. Any failure on our part to comply with changing government regulations and policies could result in the loss of our ability to manufacture and develop our product candidates. Even if we are able to comply with such requirements, compliance may require significant management attention, increased costs, and changes to our supply chain or development strategy, which could adversely affect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our intellectual property rights may be subject to a reservation of rights by one or more third parties. For example, the research resulting in certain of the patent rights and technology that we own or have licensed was funded in part by the U.S. government. As a result, the government has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spacing w:after="0" w:line="190"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15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 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71" w:name="page72"/>
    <w:bookmarkEnd w:id="71"/>
    <w:p>
      <w:pPr>
        <w:ind w:right="80"/>
        <w:spacing w:after="0" w:line="261" w:lineRule="auto"/>
        <w:rPr>
          <w:sz w:val="20"/>
          <w:szCs w:val="20"/>
          <w:color w:val="auto"/>
        </w:rPr>
      </w:pPr>
      <w:r>
        <w:rPr>
          <w:rFonts w:ascii="Times New Roman" w:cs="Times New Roman" w:eastAsia="Times New Roman" w:hAnsi="Times New Roman"/>
          <w:sz w:val="18"/>
          <w:szCs w:val="18"/>
          <w:color w:val="auto"/>
        </w:rPr>
        <w:t>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license agreements, we could lose rights to our product candidates or key technologies.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MSKCC License with MSKCC, in the event a licensed product achieves a specified clinical milestone,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84"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become involved in litigation or other proceedings relating to the enforcement or defense of patent and other intellectual property rights, which could cause us to divert our resources and could put our intellectual property at risk.</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To prevent infringement or unauthorized use of our intellectual property, we have in the past, and may in the future, need to file infringement claims.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 Patent and Trademark Office (the USPTO) and 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spacing w:after="0" w:line="179"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2" w:name="page73"/>
    <w:bookmarkEnd w:id="72"/>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may be planning to file patent applications 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19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3" w:name="page74"/>
    <w:bookmarkEnd w:id="73"/>
    <w:p>
      <w:pPr>
        <w:ind w:right="760"/>
        <w:spacing w:after="0" w:line="282" w:lineRule="auto"/>
        <w:rPr>
          <w:sz w:val="20"/>
          <w:szCs w:val="20"/>
          <w:color w:val="auto"/>
        </w:rPr>
      </w:pPr>
      <w:r>
        <w:rPr>
          <w:rFonts w:ascii="Times New Roman" w:cs="Times New Roman" w:eastAsia="Times New Roman" w:hAnsi="Times New Roman"/>
          <w:sz w:val="18"/>
          <w:szCs w:val="18"/>
          <w:color w:val="auto"/>
        </w:rPr>
        <w:t>obtain rights to required third-party intellectual property or to maintain the existing intellectual property rights we have, we may have to abandon development of such program and our business and financial condition could suffer.</w:t>
      </w:r>
    </w:p>
    <w:p>
      <w:pPr>
        <w:spacing w:after="0" w:line="16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2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and may from time to time initiate, litigation or administrative proceedings to enforce and/or defend our patent rights which will be costly whether we win or lose;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alleged trade secrets.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176" w:lineRule="exact"/>
        <w:rPr>
          <w:sz w:val="20"/>
          <w:szCs w:val="20"/>
          <w:color w:val="auto"/>
        </w:rPr>
      </w:pPr>
    </w:p>
    <w:p>
      <w:pPr>
        <w:jc w:val="both"/>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or former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5" w:name="page76"/>
    <w:bookmarkEnd w:id="75"/>
    <w:p>
      <w:pPr>
        <w:ind w:right="540"/>
        <w:spacing w:after="0" w:line="282" w:lineRule="auto"/>
        <w:rPr>
          <w:sz w:val="20"/>
          <w:szCs w:val="20"/>
          <w:color w:val="auto"/>
        </w:rPr>
      </w:pPr>
      <w:r>
        <w:rPr>
          <w:rFonts w:ascii="Times New Roman" w:cs="Times New Roman" w:eastAsia="Times New Roman" w:hAnsi="Times New Roman"/>
          <w:sz w:val="18"/>
          <w:szCs w:val="18"/>
          <w:color w:val="auto"/>
        </w:rPr>
        <w:t>strong as that in the United States. These products may compete with any products that we may develop and commercialize, and our patents or other intellectual property rights may not be effective or sufficient to prevent them from competing.</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rights, particularly patents. Obtaining and enforcing patents in the biotechnology industry involve both technological and legal complexity, and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not be sufficient to effectively protect our market position and products.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176"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commercial success of our product candidates will depend upon the degree of market acceptance by physicians, patients, third-party payers and others in the medical community.</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our products, if approved for marketing, will depend in part on the medical community, patients and third-party payers accepting our product candidates as effective and safe. The use of cellular immunotherapies for the potential treatment of autoimmune diseases is a recent development, and may not become widely accepted by patients, physicians, treatment centers, and third-party payors. If any of our products obtains regulatory approval but does not achieve an adequate level of acceptance, we may not generate significant product revenue and may not become profitable. For example, in January 2024, the FDA determined that new safety information related to T-cell malignancies should be included in the labeling with boxed warning language on these malignancies for all BCMA- and CD19-directed genetically modified autologous T-cell immunotherapies. FDA’s investigation into CAR T-cell therapies and other similar actions could result in increased government regulation, unfavorable public perception and publicity, potential impacts on enrollment in our clinical trials, stricter labeling requirements for those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6" w:name="page77"/>
    <w:bookmarkEnd w:id="76"/>
    <w:p>
      <w:pPr>
        <w:ind w:right="80"/>
        <w:spacing w:after="0" w:line="282" w:lineRule="auto"/>
        <w:rPr>
          <w:sz w:val="20"/>
          <w:szCs w:val="20"/>
          <w:color w:val="auto"/>
        </w:rPr>
      </w:pPr>
      <w:r>
        <w:rPr>
          <w:rFonts w:ascii="Times New Roman" w:cs="Times New Roman" w:eastAsia="Times New Roman" w:hAnsi="Times New Roman"/>
          <w:sz w:val="18"/>
          <w:szCs w:val="18"/>
          <w:color w:val="auto"/>
        </w:rPr>
        <w:t>candidates that are approved, and a decrease in demand for any such product candidates. The degree of market acceptance of our products, if approved for marketing, will depend on a number of factors, including:</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the products, and advantages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labeling of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pricing and reimbursement in the United States and/or other regions of the world;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patient populations targeted by our autoimmune product candidates are also typically not at risk of near-term death, even if they may suffer life-threatening symptoms, so those patients will need to deem the benefits of cell therapy to be worth the risk of unknown potential adverse side effects. Our success in this space will depend upon physicians who specialize in the treatment of autoimmune diseases targeted by our product candidates prescribing treatments that involve the use of our product candidates in lieu of, or in addition to, existing treatments with which they are more familiar and for which greater clinical data may be available. In addition, the target populations may be relatively small, resulting in a high degree of uncertainty regarding long-term demand for our product candidates. Even if we obtain marketing approval for a product, demand for our product may not be adequate to support commercialization.</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spacing w:after="0" w:line="172"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 For additional information regarding pricing pressures and healthcare regulatory changes, see “Business—Government Regulation— Healthcare Reform and Other Regulatory Changes.”</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15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autoimmune diseases and cancer, there is significant uncertainty as to the insurance coverage and reimbursement status of any product candidates for which we may receive regulatory approval. In the United States, the principal decisions about reimbursement for new medicines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t>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 cost-effective; and (v) neither experimental nor investigational. For additional information regarding coverage and reimbursement, see “Business—Government Regulation— Coverage and Reimbursement.”</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restricted or smaller than we believe they are, our revenues may be adversely affected and our business may suffer. Because the target patient populations of our product candidates may be small and variable, we must be able to successfully identify patients and capture a significant market share to achieve and maintain profitability.</w:t>
      </w:r>
    </w:p>
    <w:p>
      <w:pPr>
        <w:spacing w:after="0" w:line="1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focus our research and development on product candidates for rare diseases. The FDA often approves new therapies initially for use in patients with relapsed or refractory disease. We expect to initially seek approval of our product candidates in these settings. Subsequently, for those products that prove to be sufficiently beneficial, if any, we would expect to seek approval in earlier lines of treatment. There is no guarantee that our product candidates, even if approved, would be approved for earlier lines of therapy, and, prior to any such approvals, we will have to conduct additional clinical trials, including potentially comparative trials against approved therapies. Certain of our product candidates also target similar patient populations as autologous cell therapy product candidates, including approved autologous CAR T products. Our therapies may not be as safe and effective as approved autologous CAR T therapies and as a result, such product candidates may only be approved for patients who are ineligible for autologous CAR T therapy.</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projections of the number of people who have or will have the diseases we may be targeting, as well as the subset of patients with these cancers in a position to receive second or later lines of therapy and who have the potential to benefit from treatment with our product candidates, may prove to be incorrect. Further, new studies may change the estimated incidence or prevalence of these diseases. The number of patients in the United States, Europe and elsewhere may turn out to be lower than expected, or the potentially addressable patient population for our product candidates may be limited or may not be amenable to treatment with our product candidates, all of which would adversely affect our results of operations and our business. Additionally, because our target patient populations may be small and variable, we may never achieve profitability without capturing a significant market share or obtaining regulatory approval for additional indications for our products.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a more complete discussion of healthcare reform and regulatory developments that may affect our business, see “Business—Government Regulation—Healthcare Reform and Other Regulatory Changes.”</w:t>
      </w:r>
    </w:p>
    <w:p>
      <w:pPr>
        <w:spacing w:after="0" w:line="19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8" w:name="page79"/>
    <w:bookmarkEnd w:id="78"/>
    <w:p>
      <w:pPr>
        <w:ind w:right="120"/>
        <w:spacing w:after="0" w:line="282" w:lineRule="auto"/>
        <w:rPr>
          <w:sz w:val="20"/>
          <w:szCs w:val="20"/>
          <w:color w:val="auto"/>
        </w:rPr>
      </w:pPr>
      <w:r>
        <w:rPr>
          <w:rFonts w:ascii="Times New Roman" w:cs="Times New Roman" w:eastAsia="Times New Roman" w:hAnsi="Times New Roman"/>
          <w:sz w:val="18"/>
          <w:szCs w:val="18"/>
          <w:color w:val="auto"/>
        </w:rPr>
        <w:t>legislation designed to, among other things, bring more transparency to drug pricing, reduce the cost of prescription drugs under Medicare, and review the relationship between pricing and manufacturer patient programs.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Subsequent legislation, including the One Big Beautiful Bill Act of 2025, modified certain aspects of the IRA, including expanding the orphan drug exemption from Medicare drug price negotiation for the 2028 initial price applicability year.</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9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Recent executive actions and proposed regulatory initiatives in the United States have sought to further reduce prescription drug prices, including through the use of most-favored-nation pricing principles, potential changes to manufacturer distribution models, and expanded governmental oversight of pricing practices. For example, in May 2025, the Trump administration issued an executive order entitled “Delivering Most-Favored-Nation Prescription Drug Pricing to American Patients,” which, among other things, directs the HHS and other agencies to communicate most-favored-nation (MFN) price targets to pharmaceutical manufacturers to bring prices for U.S. patients in line with comparably developed nations and to facilitate direct-to-consumer purchasing programs, see “Business—Government Regulation—Health Reform and Other Regulatory Changes” for more information.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that could impact drug pricing in the U.S. political, economic and regulatory developments may further complicate developments in healthcare systems and pharmaceutical drug pricing.</w:t>
      </w:r>
    </w:p>
    <w:p>
      <w:pPr>
        <w:spacing w:after="0" w:line="19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the U.S. Supreme Court’s 2024 decision in Loper Bright Enterprises v. Raimondo overruled the Chevron doctrine, which for 40 years required federal courts to defer to permissible agency interpretations of statutes that are silent or ambiguous on a particular topic. This decision may increase regulatory uncertainty and litigation risk and could delay or complicate FDA regulatory review, policymaking, or implementation of regulatory initiatives.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the majority of which are beyond our control.</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are designed and are being developed as therapeutic entities for use as cellular immunotherapies, and all of our current product candidates are based on our novel iPSC product platform. Additionally, some of our product candidates utilize novel genome editing technologies. To date, there is limited clinical trial experience testing iPSC-derived therapeutic product candidates using genome edited cells.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Additionally, in January 2024, the FDA determined that new safety information related to T-cell malignancies should be included in the labeling with boxed warning language on these malignancies for all BCMA- and CD19-directed genetically modified autologous T-cell immunotherapies. There can be no assurance that any product candidates developed from or related to our iPSC product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such as the FDA’s investigation into CAR T-cell therapies and other similar actions, could negatively affect our ability to develop and commercialize our product candidates.</w:t>
      </w:r>
    </w:p>
    <w:p>
      <w:pPr>
        <w:spacing w:after="0" w:line="18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an environment of rapid technological and scientific progress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more cost effective, or have fewer side effects, or if they compete in various other aspects of our business, our ability to develop and successfully commercialize product candidates and to execute on our business plans will be adversely affected.</w:t>
      </w:r>
    </w:p>
    <w:p>
      <w:pPr>
        <w:spacing w:after="0" w:line="1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Additionally, several companies with experience and knowledge in the development of CAR T-cell therapies for oncology indications have now commenced the development of cell therapies for the treatment of autoimmune diseases where B cells may play a role in initiating or maintaining disease affected populations, and the product candidates these companies develop may be competitive with product candidates that we are developing for autoimmune diseases. Should one or more of these competing product candidates or other competing product candidates of which we are not aware receive regulatory approval or 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19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if we successfully obtain approval for any product candidate, we will face competition based on many different factors, including the relative safety and efficacy of our product candidates, the actual or perceived quality of patient life while undergoing treatment with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and the relative prioritization of our product candidates by physicians and healthcare providers among available therapies.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80" w:name="page81"/>
    <w:bookmarkEnd w:id="80"/>
    <w:p>
      <w:pPr>
        <w:ind w:right="60"/>
        <w:spacing w:after="0" w:line="282" w:lineRule="auto"/>
        <w:rPr>
          <w:sz w:val="20"/>
          <w:szCs w:val="20"/>
          <w:color w:val="auto"/>
        </w:rPr>
      </w:pPr>
      <w:r>
        <w:rPr>
          <w:rFonts w:ascii="Times New Roman" w:cs="Times New Roman" w:eastAsia="Times New Roman" w:hAnsi="Times New Roman"/>
          <w:sz w:val="18"/>
          <w:szCs w:val="18"/>
          <w:color w:val="auto"/>
        </w:rPr>
        <w:t>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or more commercially viable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 candidates uneconomical or obsolete and we may not be successful in marketing those product candidates, once approved, against competitors.</w:t>
      </w:r>
    </w:p>
    <w:p>
      <w:pPr>
        <w:spacing w:after="0" w:line="186"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effectively with other biotechnology and pharmaceutical companies depends on our ability to distinguish our company and our product candidates from our competitors and their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and new competitors or alliances may emerge that have, greater name and brand recognition, greater market share, a larger customer base, more widely adopted proprietary technologies, greater marketing expertise, larger sales forces, and/or significantly greater resources than we do and may be able to offer solutions competitive with ours at a more attractive price. Further,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In addition, our competitors may in the future establish cooperative relationships with vendors of complementary products, technologies or services to increase the availability of their solutions in the marketplace. Our competitors could also be better positioned to serve certain segments of our market, which could create additional price pressure. In light of these factors, even if any products that we may develop are more effective than those of our competitors, current or potential customers may accept competitive products in lieu of purchasing our products. If we are unable to successfully compete, our business, financial condition, and results of operations could be materially and adversely affected.</w:t>
      </w:r>
    </w:p>
    <w:p>
      <w:pPr>
        <w:spacing w:after="0" w:line="190"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team and other key personnel. The loss of services of any of these individuals could delay or prevent the successful development of our product pipeline, initiation or completion of our preclinical studies and clinical trials or the commercialization of our product candidates. Although we have executed offer letters with each member of our senior management team, these agreements are terminable at will without notice and, therefore, we may not be able to retain their services as expected.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on August 12, 2025, we announced a reduction in force affecting approximately 12% of our workforce. This reduction was part of a tactical operations plan intended to reduce our costs and extend funding of our operations through the end of 2027. However, this reduction may increase our dependence on the remaining key members of our senior management and executive teams and could result in other unintended consequences, such as the loss of institutional knowledge and expertise, decreased morale or attrition among our remaining employees, and the risk that we may not achieve the anticipated benefits of the reduction in force.</w:t>
      </w:r>
    </w:p>
    <w:p>
      <w:pPr>
        <w:spacing w:after="0" w:line="183"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We may also experience difficulties in attracting or retaining personnel with sufficient experience and skills in the complex and emerging field of cellular therapeutic development and manufacture to support our ongoing and planned clinical development activities. 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1" w:name="page82"/>
    <w:bookmarkEnd w:id="81"/>
    <w:p>
      <w:pPr>
        <w:ind w:right="60"/>
        <w:spacing w:after="0" w:line="255" w:lineRule="auto"/>
        <w:rPr>
          <w:sz w:val="20"/>
          <w:szCs w:val="20"/>
          <w:color w:val="auto"/>
        </w:rPr>
      </w:pPr>
      <w:r>
        <w:rPr>
          <w:rFonts w:ascii="Times New Roman" w:cs="Times New Roman" w:eastAsia="Times New Roman" w:hAnsi="Times New Roman"/>
          <w:sz w:val="18"/>
          <w:szCs w:val="18"/>
          <w:color w:val="auto"/>
        </w:rPr>
        <w:t>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Further, some of the qualified personnel that we hire and recruit are not U.S. citizens. Changes to U.S. immigration policies, particularly to H-1B and other visa programs, could restrain the flow of technical and professional talent into the United States and may inhibit our ability to hire qualified personnel.</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and restricted stock unit (RSU) awards that vest over time. The value to employees of stock options and RSU awards that vest over time has been significantly affected by movements in our stock price that are beyond our control and may at any time be insufficient to counteract more lucrative offers from other companies. A significant number of our employee options remain underwater and may not provide the intended incentive for employees to remain at our company.</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6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that would dilute our current stockholders’ percentage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that may place strains on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substantial operational, financial and management resources to integrate new businesses, technologies and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reprioritize our development programs and even cease development and commercialization of our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far in excess of our limited insurance coverage.</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18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82" w:name="page83"/>
    <w:bookmarkEnd w:id="82"/>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risks, which leaves us exposed to significant uninsured liabilities.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cybersecurity,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third party service providers may engage in misconduct or other improper activities, including noncompliance with regulatory standards and requirements and insider trading.</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or third party service provider fraud or other misconduct. Misconduct by employees or third party service providers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or third party service provider misconduct could also involve the improper use of information obtained in the course of clinical trials, which could result in regulatory sanctions and cause serious harm to our reputation. If any actions alleging such misconduct are instituted against us, and we are not successful in defending ourselves or asserting our rights, those actions could have a significant effect on our business, including the imposition of significant fines or other sanctions.</w:t>
      </w:r>
    </w:p>
    <w:p>
      <w:pPr>
        <w:spacing w:after="0" w:line="18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the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3" w:name="page84"/>
    <w:bookmarkEnd w:id="83"/>
    <w:p>
      <w:pPr>
        <w:ind w:right="120"/>
        <w:spacing w:after="0" w:line="254" w:lineRule="auto"/>
        <w:rPr>
          <w:sz w:val="20"/>
          <w:szCs w:val="20"/>
          <w:color w:val="auto"/>
        </w:rPr>
      </w:pPr>
      <w:r>
        <w:rPr>
          <w:rFonts w:ascii="Times New Roman" w:cs="Times New Roman" w:eastAsia="Times New Roman" w:hAnsi="Times New Roman"/>
          <w:sz w:val="18"/>
          <w:szCs w:val="18"/>
          <w:color w:val="auto"/>
        </w:rPr>
        <w:t>currently and/or of patients in the future) may subject us to state data privacy laws governing the processing of personal information and requiring notification of affected individuals and state regulators in the event of a breach of such personal information. These state laws include the California Consumer Privacy Act, as amended by the California Privacy Rights Act (the CCPA), which establishes data privacy rights for residents of the State of California, with corresponding obligations on businesses related to transparency, deletion rights, and opt-out of the selling or sharing of personal information, and grants a private right of action for individuals in the event of certain security breaches. Similar laws relating to data privacy and security have passed in numerous other states, which may have potentially conflicting requirements that would make compliance challenging, require us to expend significant resources to come into compliance, and restrict our ability to process certain personal information. Moreover, some states have advanced privacy laws focused on protecting consumer health information, such as Washington’s My Health My Data Act, and this remains a rapidly changing legislative and regulatory environment.</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state laws may be more stringent or broader in scope than the CCPA, or offer greater individual rights, with respect to confidential, sensitive and personal information than federal, international or other state laws, and such laws may differ from each other, which may complicate compliance efforts.</w:t>
      </w:r>
    </w:p>
    <w:p>
      <w:pPr>
        <w:spacing w:after="0" w:line="176"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An increasing number of foreign data protection laws, regulations and industry standards may also apply to personal information we obtain from individuals outside of the United States. For example, the European Union’s General Data Protection Regulation (EU GDPR) and the United Kingdom’s General Data Protection Regulation (UK GDPR) impose strict requirements for processing the personal data of individuals within the EEA and UK, including health-related data, and on the transfer of personal data out of the European Economic Area (EEA) and United Kingdom (UK) to non-adequate territories such as the United States; any inability to transfer personal data from the EEA and UK to the United States in compliance with data protection laws may impede our ability to conduct trials and may adversely affect our business and financial position. Failure to comply with the requirements of the EU GDPR may result in potential fines for companies of up to the greater of €20 million (£17.5 million for the UK GDPR) or 4% of annual global revenue and other administrative penalties. In addition, under the EU GDPR and UK GDPR, companies may face private litigation related to processing of personal data brought by classes of data subjects or consumer protection organizations authorized at law to protect their interests. Although the EU GDPR and the UK GDPR currently impose substantially similar obligations, it is possible that over time the UK GDPR could become less aligned with the EU GDPR, particularly with the introduction of the new Data Reform Bill into the UK legislative process.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and could require us to amend our processes and procedures to implement different compliance measures for the UK and the EEA.</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2024, the U.S. Department of Justice issued regulations implementing Executive Order (EO) 14117, “Preventing Access to Americans’ Bulk Sensitive Personal Data and United States Government-Related Data by Countries of Concern,” which became effective on April 8,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could also generate adverse publicity, damage our reputation, result in liabilities, fines and loss of business, and require that we devote substantial resources that could otherwise be used in other aspects of our business.</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4" w:name="page85"/>
    <w:bookmarkEnd w:id="84"/>
    <w:p>
      <w:pPr>
        <w:ind w:right="20"/>
        <w:spacing w:after="0" w:line="254" w:lineRule="auto"/>
        <w:rPr>
          <w:sz w:val="20"/>
          <w:szCs w:val="20"/>
          <w:color w:val="auto"/>
        </w:rPr>
      </w:pPr>
      <w:r>
        <w:rPr>
          <w:rFonts w:ascii="Times New Roman" w:cs="Times New Roman" w:eastAsia="Times New Roman" w:hAnsi="Times New Roman"/>
          <w:sz w:val="18"/>
          <w:szCs w:val="18"/>
          <w:color w:val="auto"/>
        </w:rPr>
        <w:t>and documentation.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prospective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or security incident.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188"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use of artificial intelligence-based software (including machine learning) may result in reputational harm or liability or could otherwise adversely affect our business.</w:t>
      </w:r>
    </w:p>
    <w:p>
      <w:pPr>
        <w:spacing w:after="0" w:line="159"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Artificial intelligence (AI)-based software is increasingly being used in the biopharmaceutical and global healthcare industries. As with many developing technologies, artificial intelligence-based software presents risks and challenges that could affect its further development, adoption, and use, and therefore our business. For example, algorithms may be flawed; data sets may be insufficient, of poor quality, or contain biased information; and inappropriate or controversial data practices by data scientists, engineers, and end-users could impair results. If the analyses that AI applications assist in producing are deficient or inaccurate, we could be subject to competitive harm, potential legal liability, and reputational harm. Furthermore, use of AI-based software may lead to the inadvertent release of confidential information which may impact our ability to realize the benefit of our intellectual property rights.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ethical standards and societal expectations. For example, the EU’s Artificial Intelligence Act (AI Act) imposes significant obligations on providers and deployers of AI systems, and encourages providers and deployers of AI systems to account for EU ethical principles in their development and use of these systems. Likewise, in the United States, several states, including Colorado and California, passed laws to regulate various uses of AI, including to make consequential decisions. In addition, various federal regulators have issued guidance and focused enforcement efforts on the use of AI in regulated sectors. The FDA, for example, issued draft guidance on the use of AI in regulatory-decision 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will need to apply significant resources to design, develop, test and maintain such systems in accordance with applicable law, regulation, or guidance, with the potential for significant enforcement or litigation in the event of any perceived non-compliance. We expect other jurisdictions will adopt similar laws. Uncertainty in the legal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5" w:name="page86"/>
    <w:bookmarkEnd w:id="85"/>
    <w:p>
      <w:pPr>
        <w:ind w:right="60"/>
        <w:spacing w:after="0" w:line="282" w:lineRule="auto"/>
        <w:rPr>
          <w:sz w:val="20"/>
          <w:szCs w:val="20"/>
          <w:color w:val="auto"/>
        </w:rPr>
      </w:pPr>
      <w:r>
        <w:rPr>
          <w:rFonts w:ascii="Times New Roman" w:cs="Times New Roman" w:eastAsia="Times New Roman" w:hAnsi="Times New Roman"/>
          <w:sz w:val="18"/>
          <w:szCs w:val="18"/>
          <w:color w:val="auto"/>
        </w:rPr>
        <w:t>regulatory regime may require significant resources to modify and maintain business practices to comply with U.S. and non-U.S. laws, the nature of which cannot be determined at this time.</w:t>
      </w:r>
    </w:p>
    <w:p>
      <w:pPr>
        <w:spacing w:after="0" w:line="16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presents risks and challenges.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also work with third parties, including patient advocacy organizations and patient recruitment firms, to raise awareness of our clinical trials, and these third parties often use social media to communicate with patients. Social media use in the biotechnology and biopharmaceutical industry continues to evolve, and applicable regulations and guidance are not always clear. This creates uncertainty and risk of noncompliance with laws governing marketing, communications, and clinical trial disclosures, which could result in regulatory actions, litigation, or heightened scrutiny by the FDA, SEC, and other regulators.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media website, or a risk that a post on a social media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9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our employees have been impersonated by bad actors, who are believed to have drawn on publicly available information from our social media, such as LinkedIn, to make fraudulent job offers. While these incidents have not been material to date, similar activity could occur in the future. Misinformation disseminated from fraudulent accounts impersonating our employees or our business could harm our business and reputation.</w:t>
      </w:r>
    </w:p>
    <w:p>
      <w:pPr>
        <w:spacing w:after="0" w:line="172"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w:t>
      </w:r>
    </w:p>
    <w:p>
      <w:pPr>
        <w:spacing w:after="0" w:line="18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from time to time experienced, and will continue to experience in the future, cyberattacks on our information technology systems, including malware and computer virus attacks, despite our best efforts to prevent them. Although such incidents have been immaterial to our business to date, investigations into and remedial efforts in connection with any security incidents, even those with immaterial impact, can be costly and time-consuming, and any future incidents could be material, or cause significant disruption, to our business. Our technologies, systems, networks, or other proprietary information, and those of our vendors, suppliers and other business partners, may become the target of cyberattacks or data breaches that could result in the unauthorized release, gathering, monitoring, misuse, loss, or destruction of proprietary and other information, or could otherwise lead to the disruption of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cybersecurity incident or data breach were to result in a loss of, or damage to, our data or systems, or inappropriate disclosure of confidential or proprietary information, we may have an obligation to provide legal notifications and disclosures, and we could incur liability and the further development and commercialization of our product candidates could be delayed.</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86" w:name="page87"/>
    <w:bookmarkEnd w:id="86"/>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Cybersecurity threats, both on premises and in the cloud, are evolving and could occur and result in information theft, data corruption, operational disruption, damage to our reputation, or financial loss. Such threats include, but are not limited to: malicious software, destructive malware, ransomware attacks, denial-of-service attacks, business email compromises, viruses, wrongful intrusions, social engineering (including phishing attacks), attempts to gain unauthorized access to systems or data, data breaches, the unauthorized release of confidential, personal or otherwise protected information, data corruption, the breakdown or damage or interruption of networks or systems from, among other things, natural disasters, terrorism, war, telecommunication and electrical failures, and harm to individuals. In addition, we could be impacted by cybersecurity threats or other disruptions or vulnerabilities found in products or services we use that are provided to us by third-parties. The risk of a security breach or disruption, particularly through cyberattacks or cyber intrusion, including by computer hackers, cyber criminals, hacktivists, foreign governments, and cyber terrorists, has generally increased as the number, intensity and sophistication of attempted attacks and intrusions from around the world have increased.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18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17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Securities Exchange Commission (SEC), the National Institutes of Health (NIH) and other government agencies, including from government shutdowns, or other disruptions to these agencies’ staffing and operations, could hinder their ability to hire, retain or deploy personnel, and substantial leadership, personnel, and policy changes or otherwise could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including substantial leadership departures, personnel cuts and policy changes, may also slow the time necessary for new product candidates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Additionally, disruptions at the NIH or changes to the NIH’s budget may negatively impact our operations, research and development activities and ongoing clinical trials. Further, future government shutdowns could impact our ability to access the public markets and obtain necessary capital in order to properly fund and continue our operations.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whether and how the leadership of the FDA and the current administration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7" w:name="page88"/>
    <w:bookmarkEnd w:id="87"/>
    <w:p>
      <w:pPr>
        <w:ind w:right="420"/>
        <w:spacing w:after="0" w:line="282" w:lineRule="auto"/>
        <w:rPr>
          <w:sz w:val="20"/>
          <w:szCs w:val="20"/>
          <w:color w:val="auto"/>
        </w:rPr>
      </w:pPr>
      <w:r>
        <w:rPr>
          <w:rFonts w:ascii="Times New Roman" w:cs="Times New Roman" w:eastAsia="Times New Roman" w:hAnsi="Times New Roman"/>
          <w:sz w:val="18"/>
          <w:szCs w:val="18"/>
          <w:color w:val="auto"/>
        </w:rPr>
        <w:t>Additionally, the administration could issue or promulgate executive orders, regulations, policies or guidance that adversely affect us or create a more challenging or costly environment to pursue the development of new therapeutic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or may decline regardless of our operating performance.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fluctuated in the past and could be subject to wide fluctuations in the future as a result of many risks listed in this section, and other risks beyond our control, including:</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of, and progress in, our current and planned clinical trials and preclinical studies;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 and the results of clinical trials and preclinical studies by others for product candidates or indications similar to ours;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 or any changes in, or termination of, any such significant arrangement or relationship, such as our announcement in January 2023 of the termination of our collaboration with Janssen;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proprietary rights including patents, litigation matters and our ability to obtain patent protection for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research and development activities and our business prospects, including in relation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technological innovations or new therapeutic products by us or others in the field of immunotherapy;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equity or debt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(including changes related to stock-based compensation from performance-based awards);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periods of widespread civil unrest, including the increasingly volatile global economic conditions resulting from the ongoing global geopolitical tensions, including wars and other armed conflicts;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inflationary pressures, tariffs and stock market volatility.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including the effects of any future public health crises or other public health concerns, wars or other armed conflicts, changes in the regulatory landscape and governmental agency personnel in the United States or similar events resulting from the change in the U.S. presidential administration,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Changes in our stock price may also trigger financial obligations under our licensing arrangements. For example, pursuant to the terms of the Amended MSKCC License,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a specified clinical milestone. In July 2021, we achieved the specified clinical milestone for a licensed product under the Amended MSKCC License and our ten-trading day trailing average common stock price exceeded the first, pre-specified threshold. Accordingly, MSKCC received the first milestone payment of $20.0 million in November 2021; however, uncertainty of the price of our common stock results in an inability to ascertain the precise timing of any remaining future milestone payments in advance.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88" w:name="page89"/>
    <w:bookmarkEnd w:id="88"/>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is delisted from the Nasdaq Global Market, the liquidity of our common stock would be adversely affected and the market price of our common stock could decrease.</w:t>
      </w:r>
    </w:p>
    <w:p>
      <w:pPr>
        <w:spacing w:after="0" w:line="15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(Nasdaq), which has minimum requirements that a company must meet in order to remain listed such market, including that we maintain a minimum closing bid price of $1.00 per share. If we fail to maintain such minimum requirements and a final determination is made by Nasdaq that our common stock must be delisted, our ability to raise additional funds and the liquidity of our common stock would be adversely affected, and the market price of our common stock could decrease. Our failure to be listed on Nasdaq or another national securities exchange would have a material adverse effect on the value of your investment in us.</w:t>
      </w:r>
    </w:p>
    <w:p>
      <w:pPr>
        <w:spacing w:after="0" w:line="17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exercise significant control over our company.</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February 19, 2026 our executive officers, directors and entities affiliated with our five percent stockholders beneficially own, in the aggregate, shares representing approximately 40.1% of our outstanding voting stock. If, in accordance with the CoD (as such term is defined in Note 9 of the notes to the consolidated financial statements herewith) relating to the Class A Convertible Preferred Stock, Redmile (as such term is defined in Note 9 of the notes to the consolidated financial statements herewith) elects to remove certain limitations on the percentage of our outstanding common stock that it may own such that the 2,755,086 shares of Class A Convertible Preferred Stock currently held by Redmile become fully convertible at Redmile’s option into 13,775,430 shares of common stock, the beneficial ownership of our executive officers, directors and entities affiliated with our five percent stockholders would increase to 43.9%.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193"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 Issuances of common stock or rights to purchase common stock under our equity incentive plans could result in additional dilution of the percentage ownership of our stockholders and could cause our stock price to fall.</w:t>
      </w:r>
    </w:p>
    <w:p>
      <w:pPr>
        <w:spacing w:after="0" w:line="1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2023, we filed a registration statement on Form S-3 pursuant to which we were initially eligible to issue and sell up to $300.0 million in common stock, preferred stock, debt securities, warrants and/or units, in one or more series or classes, including up to $100.0 million in shares of common stock that may be issued in sales deemed to be an “at the market offering” as defined by the Securities Act of 1933, as amended (the Securities Act). In March 2024, we issued and sold 14,545,454 shares of our common stock at a purchase price of $5.50 per share in an underwritten offering pursuant to the shelf registration statement for aggregate gross proceeds of approximately $80.0 million. Accordingly, we are currently eligible to issue an aggregate of approximately $220.0 million under the shelf registration statement (including the $100.0 million issuable in “at the market offerings”).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spacing w:after="0" w:line="19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Pursuant to our 2022 Stock Option and Incentive Plan (as amended and restated, the 2022 Plan) we are authorized to grant stock options and other equity-based awards to our employees, officers, directors and consultants. The 2022 Plan currently authorizes the issuance of up to 24.5 million shares following stockholder approval of an increase in the number of shares authorized for issuance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89" w:name="page90"/>
    <w:bookmarkEnd w:id="89"/>
    <w:p>
      <w:pPr>
        <w:ind w:right="80"/>
        <w:spacing w:after="0" w:line="261" w:lineRule="auto"/>
        <w:rPr>
          <w:sz w:val="20"/>
          <w:szCs w:val="20"/>
          <w:color w:val="auto"/>
        </w:rPr>
      </w:pPr>
      <w:r>
        <w:rPr>
          <w:rFonts w:ascii="Times New Roman" w:cs="Times New Roman" w:eastAsia="Times New Roman" w:hAnsi="Times New Roman"/>
          <w:sz w:val="18"/>
          <w:szCs w:val="18"/>
          <w:color w:val="auto"/>
        </w:rPr>
        <w:t>under the 2022 Plan in May 2025. We also make equity grants to new employees joining our company pursuant to our inducement plan, and our board of directors may elect to increase the number of shares available for future grants under the inducement plan without stockholder approval. If our board of directors elects in the future to increase the number of shares available for future grant and, in the case of the 2022 Plan, if our stockholders approve of any such future increase, our stockholders may experience additional dilution, and our stock price may fall.</w:t>
      </w:r>
    </w:p>
    <w:p>
      <w:pPr>
        <w:spacing w:after="0" w:line="176"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registered all of the 5,380,117 shares of common stock issued by us and all of the 257,310 prefunded warrants to purchase common stock in our public offering in January 2021. We registered all of the 14,545,454 shares of common stock issued by us in our underwritten offering in March 2024. In addition, we registered for resale all of the 3,636,364 shares of common stock issuable upon exercise of the pre-funded warrants sold in the concurrent private placement in March 2024.</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directors, employees and affiliates have established and may in the future establish programmed selling plans under Rule 10b5-1 of the Securities Exchange Act of 1934, as amended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0" w:name="page91"/>
    <w:bookmarkEnd w:id="90"/>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 While the Delaware courts have determined that these types of forum provisions are facially valid, a stockholder may nevertheless seek to bring a claim in a venue other than those designated in the exclusive forum provisions. In such instance, we may incur significant additional costs associated with resolving the dispute in other jurisdictions, and there can be no assurance that the provisions will be enforced by a court in those other jurisdictions.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sustained decline in our stock price may result in an impairment indicator which could have an adverse impact on our results of operations.</w:t>
      </w:r>
    </w:p>
    <w:p>
      <w:pPr>
        <w:spacing w:after="0" w:line="22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Any significant change in market conditions, including a sustained decline in our stock price, may give rise to indicators of impairment in the period that the change becomes known. For example, during the year ended December 31, 2024, we identified an indicator of impairment of our long-lived assets due to a sustained decline in the trading price of our common stock over the preceding year, resulting in our market capitalization being below our net asset value. As a result of the fair value analysis, we recorded a $13.4 million impairment charge against property and equipment and a $1.3 million impairment charge against the right-of-use asset in the statement of operations during the year ended December 31, 2024.</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qualify as a “smaller reporting company” and a “non-accelerated filer,” and any decision on our part to comply only with certain reduced reporting and disclosure requirements applicable to such companies could make shares of our common stock less attractive to investors.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design and operating effectiveness of our internal controls over financial reporting under Section 404(b) of the Sarbanes-Oxley Act.</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choose to rely on any of these reporting and disclosure exemptions, the information we provide stockholders will be different than the information that is available with respect to many other public companies. Moreover, if some investors find our common stock less attractive as a result of any choices to reduce future disclosure or have an independent review and attestation of our internal control over financial reporting, there may be a less active trading market for our common stock and the market price of our common stock may be more volatile.</w:t>
      </w:r>
    </w:p>
    <w:p>
      <w:pPr>
        <w:spacing w:after="0" w:line="176"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$879.1 million and $773.3 million, respectively, some of which begin to expire in various amounts in 2027 and 2028, respectively. As of December 31, 2025, we also had federal and California research and development tax credit carryforwards of $48.5 million and $40.1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 than 50 percentage points in the ownership of a corporation’s stock, by value, over a three-year period constitutes an ownership</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1" w:name="page92"/>
    <w:bookmarkEnd w:id="91"/>
    <w:p>
      <w:pPr>
        <w:spacing w:after="0" w:line="255" w:lineRule="auto"/>
        <w:rPr>
          <w:sz w:val="20"/>
          <w:szCs w:val="20"/>
          <w:color w:val="auto"/>
        </w:rPr>
      </w:pPr>
      <w:r>
        <w:rPr>
          <w:rFonts w:ascii="Times New Roman" w:cs="Times New Roman" w:eastAsia="Times New Roman" w:hAnsi="Times New Roman"/>
          <w:sz w:val="18"/>
          <w:szCs w:val="18"/>
          <w:color w:val="auto"/>
        </w:rPr>
        <w:t>change for U.S. federal income tax purposes. We have determined that we triggered an ownership change limitation in November 2009 and again in May 2015. We have determined that we do not believe there were any ownership changes from May 2015 through December 2025. We have not analyzed periods subsequent to December 2025.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2025,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and could be further subject to securities class action litigation and other types of stockholder litigation.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stock market in general, and Nasdaq and biotechnology companies in particular, have experienced extreme price and volume fluctuations that have often been unrelated or disproportionate to the operating performance of these companies. Securities class action litigation has often been instituted against companies following periods of volatility in the market price of a company’s securities. For example, in January 2023, a purported stockholder filed a lawsuit against us and certain of our officers captioned Hadian v. Fate Therapeutics, Inc. et al. in the U.S. District Court for the Southern District of California and two derivative actions were filed in the same court in June 2023 and June 2024, respectively. An additional derivative action was filed in the Court of Chancery of the State of Delaware in December 2025 (see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for a more detailed description of these matters).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88"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disputes, claims and lawsuits relating to our business operations. For example, we have in the past and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underemployment or the repeal of certain provisions of the ACA and changes to other federal healthcare programs may decrease the demand for healthcare services and pharmaceuticals. These changes could adversely impact our clinical trial recruitment, particularly in underserved populations. In addition,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spacing w:after="0" w:line="19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92" w:name="page93"/>
    <w:bookmarkEnd w:id="92"/>
    <w:p>
      <w:pPr>
        <w:ind w:right="20"/>
        <w:spacing w:after="0" w:line="256" w:lineRule="auto"/>
        <w:rPr>
          <w:sz w:val="20"/>
          <w:szCs w:val="20"/>
          <w:color w:val="auto"/>
        </w:rPr>
      </w:pPr>
      <w:r>
        <w:rPr>
          <w:rFonts w:ascii="Times New Roman" w:cs="Times New Roman" w:eastAsia="Times New Roman" w:hAnsi="Times New Roman"/>
          <w:sz w:val="18"/>
          <w:szCs w:val="18"/>
          <w:color w:val="auto"/>
        </w:rPr>
        <w:t>past, global financial crises have caused extreme volatility and disruptions in the capital and credit markets. A severe or prolonged economic downturn, ongoing and emerging global geopolitical tensions, including wars or other armed conflicts, interest rate fluctuations, rising inflation rates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ongoing wars and other armed conflicts, current economic climate and financial market conditions could adversely impact our business.</w:t>
      </w:r>
    </w:p>
    <w:p>
      <w:pPr>
        <w:spacing w:after="0" w:line="183"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intend to expand our clinical operations to countries other than the U.S., and are developing products for regulatory approval and sale in countries throughout the world. Significant political, trade, or regulatory developments in the jurisdictions in which we may conduct clinical trials, develop, or sell our products, such as those stemming from the change in U.S. federal administration, are difficult to predict and may have a material adverse effect on us. Similarly, changes in U.S. federal policy that affect the geopolitical landscape, such as supply chain disruptions and delays as a result of any new tariff policies or trade restrictions, could give rise to circumstances outside our control that could have negative impacts on our business operations. For example, in early 2025, the U.S. imposed and adjusted a series of tariffs on imports from key trading partners, including Canada, Mexico, China and the European Union. Since then, tariff activity has continued to escalate, with new rounds of increases, expanded coverage to additional goods and materials, pauses, and shifting implementation timelines. In response to tariffs, other countries have implemented retaliatory tariffs on imports from the United States. Historically, tariffs have led to increased trade and political tensions.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current U.S. presidential administration has threatened to impose additional significant tariffs on pharmaceutical products, which could lead to corresponding punitive actions by countries outside the United States. Any changes in political, trade, regulatory, and economic conditions, including U.S. trade policies, could have a material adverse effect on our financial condition or results of operations.</w:t>
      </w:r>
    </w:p>
    <w:p>
      <w:pPr>
        <w:spacing w:after="0" w:line="19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or our existing product candidates and develop or enhance our technological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in-licenses or other strategic relationships;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93" w:name="page94"/>
    <w:bookmarkEnd w:id="93"/>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meet our liquidity needs, we have previously relied, in part, on borrowed funds, and may do so again in the future. Continued volatility in interest rates will impact the cost of new indebtedness and could materially and adversely affect our results of operations, financial condition, liquidity and cash flows.</w:t>
      </w:r>
    </w:p>
    <w:p>
      <w:pPr>
        <w:spacing w:after="0" w:line="17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governments and third-parties relating to environmental, social and governance (ESG) policies and practices may cause us to incur additional costs, expose us to additional risks or impact our reputation.</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 and business partners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 Third-party providers of ESG ratings and reports on companies have increased in number, resulting in varied and, in some cases, inconsistent standards and frameworks. Topics taken into account in such assessments include, among others, our efforts and impacts with respect to climate change and the role of our board of directors in supervising various sustainability issues.</w:t>
      </w:r>
    </w:p>
    <w:p>
      <w:pPr>
        <w:spacing w:after="0" w:line="188"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current U.S. presidential administration having recently issued an executive order opposing diversity equity and inclusion (DEI) initiatives in the private sector. Such anti-ESG and anti-DEI-related policies, legislation, initiatives, litigation, legal opinions, and scrutiny could result in our facing additional compliance obligations, becoming the subject of investigations and enforcement actions, or sustaining reputational harm.</w:t>
      </w:r>
    </w:p>
    <w:p>
      <w:pPr>
        <w:spacing w:after="0" w:line="1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spacing w:after="0" w:line="179" w:lineRule="exact"/>
        <w:rPr>
          <w:sz w:val="20"/>
          <w:szCs w:val="20"/>
          <w:color w:val="auto"/>
        </w:rPr>
      </w:pPr>
    </w:p>
    <w:p>
      <w:pPr>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other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4" w:name="page95"/>
    <w:bookmarkEnd w:id="94"/>
    <w:p>
      <w:pPr>
        <w:ind w:right="40"/>
        <w:spacing w:after="0" w:line="254" w:lineRule="auto"/>
        <w:rPr>
          <w:sz w:val="20"/>
          <w:szCs w:val="20"/>
          <w:color w:val="auto"/>
        </w:rPr>
      </w:pPr>
      <w:r>
        <w:rPr>
          <w:rFonts w:ascii="Times New Roman" w:cs="Times New Roman" w:eastAsia="Times New Roman" w:hAnsi="Times New Roman"/>
          <w:sz w:val="18"/>
          <w:szCs w:val="18"/>
          <w:color w:val="auto"/>
        </w:rPr>
        <w:t>financial institutions were also swept into receivership. In some cases, borrowers under credit agreements, letters of credit and certain other financial instruments with a financial institution that was placed into receivership by the FDIC were unable to access undrawn amounts thereunder. We currently use deposit accounts to fund our operations and other financial instruments such as cash-collateralized letters of credit associated with our facilities leases. Our excess cash is invested according to a restrictive investment policy within custodial accounts at various financial institutions. If any of the financial institutions that hold our deposit accounts were to be placed into receivership, we may be unable to access the funds in those accounts, which could result in liquidity constraints or failures. In addition, if any of our collaboration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 or</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or reductions in borrowings available under working capital sources and/or delays, inability or reductions in our ability to refund, roll over or extend the maturity of, or enter into new working capital resources.</w:t>
      </w:r>
    </w:p>
    <w:p>
      <w:pPr>
        <w:spacing w:after="0" w:line="162"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collaboration partners, suppliers or other parties with whom we do business, which in turn, could have a material adverse effect on our current and/or projected business operations and results of operations and financial condition. Any bankruptcy or insolvency of a collaboration partner, supplier or other party with whom we do business, or the failure of any such party to make payments when due, or any breach or default by any such party, or the loss of any significant commercial relationships, could result in material losses to us and may have a material adverse impact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5" w:name="page96"/>
    <w:bookmarkEnd w:id="95"/>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associated with ongoing wars and armed conflicts could have an adverse impact on our business, financial condition and results of operations, including our clinical trials.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are ongoing and emerging geopolitical tensions, including wars and other armed conflicts, and although the conflicts have had little direct impact on our business to date, the uncertainty and ripple effects created by these conflicts may have unknown indirect impacts. For instance, the ongoing conflicts have resulted in significant volatility in certain equity, debt and currency markets, material increases in certain commodity prices, and economic uncertainty. Global conflicts, including Russia’s invasion of Ukraine, conflicts in the Middle East, and heightened tensions in the Pacific region, have significantly elevated global geopolitical tensions and security concerns. It is not possible to predict the broader or longer-term consequences of these conflicts, although a prolonged conflict may result in adverse effects on microeconomic conditions including inflation; disruptions to our global technology infrastructure, including through cyberattack, ransom attack, or cybersecurity-intrusion; adverse changes in international trade policies and relations; disruptions in global supply chains; our exposure to foreign currency fluctuations; and constraints, volatility, or disruption in the capital markets, any of which could negatively impact our business, financial performance and financial condition. Tariffs and economic sanctions imposed by the United States, Canada, EU, and other countries in response to the ongoing conflicts and the potential response to such sanctions may also have an adverse impact our business, including our clinical trials and supply chain, the financial markets and the global economy.</w:t>
      </w:r>
    </w:p>
    <w:p>
      <w:pPr>
        <w:spacing w:after="0" w:line="192"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spacing w:after="0" w:line="172" w:lineRule="exact"/>
        <w:rPr>
          <w:sz w:val="20"/>
          <w:szCs w:val="20"/>
          <w:color w:val="auto"/>
        </w:rPr>
      </w:pPr>
    </w:p>
    <w:p>
      <w:pPr>
        <w:ind w:right="30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earthquakes, wildfires, power outages, or other natural disasters, including public health crises, and our business continuity and disaster recovery plans may not adequately protect us from a serious disaster.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historically has been subject to wildfires and electrical blackouts. Earthquakes, wildfires, power outages, or other natural disasters (including due to the effects of climate change or any public health crises) could severely disrupt our operations, or the operations of third parties upon whom we depend,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clinical supplies of our NK and T-cell therapeutic product candidates, as well as the working and master cell banks from which these product candidates are manufactured, are maintained in freezers at our manufacturing facility and at third-party biorepositories. If these materials are damaged at our facility or at the facilities of our third-party repositories, including as a result of a power outage or natural disaster, clinical supply of our product candidates may be impacted and our clinical trials may be delayed. Further, any measures taken by governmental authorities or businesses in response to any public health crisis, such as quarantines, stay-at-home orders or travel restrictions,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and our third-party biorepositories have in place currently may be limited and may not prove adequate for protecting and continuing our business in the event that our business is disrupted as a result of a public health crisis or other serious disaster or similar event. We may incur substantial expenses as a result of the limited nature of our disaster recovery and business continuity plans, which could have a material adverse effect on our business. Any insurance we maintain against such risks may not be adequate to cover losses in any particular case.</w:t>
      </w:r>
    </w:p>
    <w:p>
      <w:pPr>
        <w:spacing w:after="0" w:line="189"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96" w:name="page97"/>
    <w:bookmarkEnd w:id="96"/>
    <w:p>
      <w:pPr>
        <w:ind w:right="600"/>
        <w:spacing w:after="0" w:line="282" w:lineRule="auto"/>
        <w:rPr>
          <w:sz w:val="20"/>
          <w:szCs w:val="20"/>
          <w:color w:val="auto"/>
        </w:rPr>
      </w:pPr>
      <w:r>
        <w:rPr>
          <w:rFonts w:ascii="Times New Roman" w:cs="Times New Roman" w:eastAsia="Times New Roman" w:hAnsi="Times New Roman"/>
          <w:sz w:val="18"/>
          <w:szCs w:val="18"/>
          <w:color w:val="auto"/>
        </w:rPr>
        <w:t>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158"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to tax laws have been made and changes are likely to continue to occur in the future. For example, the Tax Cuts and Jobs Act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In addition, the One Big Beautiful Bill Act (OBBBA) was signed into law on July 4, 2025 and made significant changes to U.S. federal tax law. The OBBBA provides that for taxable years beginning after December 31, 2024, expenses that are incurred for research and development performed in the U.S. may, at the taxpayer’s election, be immediately deducted or capitalized and amortized. The OBBBA further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and maintain a cybersecurity risk management program that includes processes for the identification, assessment, and mitigation of cybersecurity risks. We conduct annual cybersecurity training for all of our employees and periodically engage third-party consultants to conduct penetrating testing and vulnerability assessments. Additionally, we use automated tools designed to monitor, identify, and address cybersecurity risks. Further, we have a process to evaluate and review the cybersecurity practices of our key vendors prior to onboarding, including through a general security assessment and contractual requirements, as appropriate.</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such risks have not materially affected us, including our business strategy, results of operations or financial condition, to date, we have, from time to time, experienced threats to and breaches of our data and systems, including malware and computer virus attacks. For more information about the cybersecurity risks we face, see the risk factor titled, “Our internal computer systems, or those used by our third-party research institution collaborators, CROs or other contractors or consultants, may fail or suffer security breaches” in 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cybersecurity process is overseen by our Information Technology department, which is managed by our Head of IT. The Head of IT role is currently held by an individual who has approximately two decades of professional IT management experience. In addition, our Security Leadership Team (SLT), which is comprised of the Head of IT as well as leaders from our operations, finance, and legal departments, is responsible for documenting, reviewing, and assessing our cybersecurity processes, monitoring for cybersecurity incidents, and periodically reporting on cybersecurity risks and risk management to a committee of our executive team (Executive Committee). The Executive Committee, which is led by our Chief Executive Officer, undertakes reviews of our cybersecurity program and assesses any security incident updates from the SLT on a quarterly basis.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Executive Committee meets with the Audit Committee of our Board of Directors on a quarterly basis to report on and discuss material updates to our cybersecurity program. The Audit Committee provides oversight of our cybersecurity program as part of its periodic review of enterprise risk management and provides regular reports to our Board of Directors regarding our cybersecurity processes, including updates on the status of ongoing cybersecurity projects, the results of cybersecurity risk assessments, and the emerging cybersecurity threat landscape. Additionally, the Board of Directors reviews the enterprise risk management program on at least an annual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occupied approximately 200,000 square feet of office, laboratory and Good Manufacturing Practice (GMP) manufacturing space at our corporate headquarters in San Diego, California under a non-cancelable operating lease through May 2036. We believe that this facility is adequate for our current needs. In addition, we have additional operating leases for office and laboratory space in San Diego, California.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a purported stockholder of the Company filed a securities class action lawsuit against the Company and certain of its officers captioned Hadian v. Fate Therapeutics, Inc. et al. in the U.S. District Court for the Southern District of California (the Securities Action). On May 4, 2023, the court appointed a different purported stockholder of the Company to serve as lead plaintiff in the Securities Action. On July 24, 2023, the lead plaintiff filed an amended complaint. The amended complaint alleged that the Company violated the federal securities laws by making allegedly false and/or misleading statements and/or omissions in its public disclosures dating back to August 2020 relating to our collaboration agreement with Janssen Biotech, Inc. (the Janssen Agreement), potential product candidates subject to the Janssen Agreement, and the termination of the Janssen Agreement. On September 22, 2023, we filed a motion to dismiss the amended complaint. On September 19, 2024, the court granted our motion to dismiss the amended complaint, with leave for plaintiff to file a second amended complaint. On October 18, 2024, the lead plaintiff filed a second amended complaint alleging substantially similar facts and claims as in the prior amended complaint. We filed a motion to dismiss the second amended complaint on November 18, 2024, and briefing on the motion was completed on January 21, 2025. On September 22, 2025, the court granted our motion to dismiss the second amended complaint, with leave for plaintiff to file a third amended complaint. On October 17, 2025, the plaintiff filed a third amended complaint. We filed a motion to dismiss the third amended complaint on November 17, 2025. Plaintiff filed an opposition brief on December 18, 2025. On January 15, 2026, we filed our reply in support of our motion to dismiss. We intend to continue to vigorously defend against this action.</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June 2, 2023, a derivative complaint, captioned Guarino v. Wolchko, et al., was filed by a purported stockholder of the Company in the U.S. District Court for the Southern District of California (the Guarino Action). On June 12, 2024, an additional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98" w:name="page99"/>
    <w:bookmarkEnd w:id="98"/>
    <w:p>
      <w:pPr>
        <w:spacing w:after="0" w:line="253" w:lineRule="auto"/>
        <w:rPr>
          <w:sz w:val="20"/>
          <w:szCs w:val="20"/>
          <w:color w:val="auto"/>
        </w:rPr>
      </w:pPr>
      <w:r>
        <w:rPr>
          <w:rFonts w:ascii="Times New Roman" w:cs="Times New Roman" w:eastAsia="Times New Roman" w:hAnsi="Times New Roman"/>
          <w:sz w:val="18"/>
          <w:szCs w:val="18"/>
          <w:color w:val="auto"/>
        </w:rPr>
        <w:t>derivative complaint, captioned Horrobin v. Wolchko, et al., was filed by a purported stockholder of the Company in the same district (the Horrobin Action). On December 2, 2024, the court entered an order consolidating the Guarino Action and the Horrobin Action under the caption In re Fate Therapeutics, Inc. Derivative Litigation (the Derivative Action) and staying the Derivative Action pending the court’s decision on our motion to dismiss the second amended complaint in the Securities Action. On September 22, 2025, the stay of the consolidated case automatically expired when the decision dismissing the second amended complaint in the Securities Action was issued. On October 24, 2025, the court extended the stay pending the court’s decision on our anticipated motion to dismiss the third amended complaint. The court's ruling on the motion is pending. The Derivative Action names members of our board of directors and certain officers as defendants. The Company is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We intend to vigorously defend against the Derivative Action.</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17, 2025, a derivative complaint, captioned West v. Wolchko, et al., was filed by a purported stockholder of the Company in the Court of Chancery of the State of Delaware (the West Action). The West Action names certain current and former members of our board of directors and certain current and former officers as defendants. The Company is also named as a nominal defendant. The plaintiff in the West Action asserts derivative claims for breach of fiduciary duty and insider trading arising out of substantially the same alleged facts and circumstances as the Securities Action. On January 16, 2026, the court entered an order staying the West Action until the earliest of the following events: (i) the public announcement of any settlement in the Securities Action; (ii) a ruling on the motion to dismiss the second amended complaint in the Securities Action; or (iii) the dismissal of the Securities Action with prejudice and exhaustion of all related appeals. We intend to vigorously defend against the West Action.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From time to time, we may be subject to various other legal proceedings and claims that arise in the ordinary course of our business activities.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9" w:name="page100"/>
    <w:bookmarkEnd w:id="9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7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Times New Roman" w:cs="Times New Roman" w:eastAsia="Times New Roman" w:hAnsi="Times New Roman"/>
          <w:sz w:val="18"/>
          <w:szCs w:val="18"/>
          <w:color w:val="auto"/>
        </w:rPr>
        <w:t>Our ticker symbol is “FATE”, as traded and reported by The NASDAQ Global Market.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February 19, 2026, there were approximately 15 stockholders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did not issue or sell any unregistered securities not previously disclosed in a Quarterly Report on Form 10-Q or in a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securities during the year 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3"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under Item 8 of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bringing a transformative pipeline of off-the shelf cellular immunotherapies to patients.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pioneered a therapeutic approach that we generally refer to as cellular programming: we create and engineer human induced pluripotent stem cells (iPSCs) to incorporate novel synthetic controls of cell function; after the engineering step that incorporates multiple functional elements into the iPSCs, we generate a clonal master iPSC line for use as a renewable source of starting materials for the manufacture of cell therapies; through the manufacturing process, we direct the fate of the clonal master iPSC line to produce our cell therapy product candidates that are uniform in composition. Analogous to master cell lines used to manufacture biopharmaceutical drug products such as monoclonal antibodies, we believe our proprietary clonal master iPSC lines can be used to mass produce multiplexed-engineered cellular immunotherapies which have off-the-shelf availability and on-demand availability, and that can be combined and administered alone or in combination with standard-of-care therapies, to make cell therapies accessible to all.</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Utilizing our iPSC product platform, we are developing off-the-shelf, multiplexed-engineered T-cell and natural killer (NK) cell product candidates which are selectively designed and incorporate novel synthetic controls of cell function to uniquely enhance the therapeutic capacity of the drug product to deliver multiple therapeutic mechanisms to patients. We have a pipeline of iPSC-derived, chimeric antigen receptor (CAR)-targeted T-cell and NK cell product candidates currently under development. In addition, we have entered into research collaborations and license agreements with academic institutions to support the development of our iPSC product platform and our off-the-shelf product candidates.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also entered into collaborations with pharmaceutical companies to research, develop and commercialize off-the-shelf, multiplexed-engineered, iPSC-derived CAR T-cell and CAR NK cell product candidates for the treatment of cancer. In September 2018, we entered into a collaboration and option agreement (Ono Agreement) with Ono Pharmaceutical Co., Ltd. (Ono), under which we are currently researching and developing iPSC-derived CAR T-cell and CAR NK cell product candidates for the treatment of solid tumors.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2007 and are headquartered in San Diego, California.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and warrants, the private placement of preferred stock and convertible notes, commercial bank debt and revenues from collaboration activities and grants.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remain significant in connection with our ongoing and planned activities as we:</w:t>
      </w:r>
    </w:p>
    <w:p>
      <w:pPr>
        <w:spacing w:after="0" w:line="72" w:lineRule="exact"/>
        <w:rPr>
          <w:sz w:val="20"/>
          <w:szCs w:val="20"/>
          <w:color w:val="auto"/>
        </w:rPr>
      </w:pPr>
    </w:p>
    <w:p>
      <w:pPr>
        <w:ind w:left="1020" w:right="10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and planned preclinical studies and clinical trials of our product candidates, which may include higher clinical trial expenses associated with arrangements we may enter into with clinical research organizations (CROs) for the execution and management of certain clinical trials, including trials outside of the United States;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Good Manufacturing Practice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Investigational New Drug (IND) application-enabling preclinical development;</w:t>
      </w:r>
    </w:p>
    <w:p>
      <w:pPr>
        <w:spacing w:after="0" w:line="71"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laboratory equipment, materials and supplies for the manufacture of our product candidates to support our clinical trials and the conduct of our research activities;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01" w:name="page102"/>
    <w:bookmarkEnd w:id="101"/>
    <w:p>
      <w:pPr>
        <w:ind w:left="1020" w:right="1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development and manufacturing activities, including under our sponsored research and collaboration agreement with Ono;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prosecute, protect, expand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regulatory authorities for the development of, and seek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business operations at our corporate headquarters, including maintaining internal GMP production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operating as a public company and support our operations.</w:t>
      </w:r>
    </w:p>
    <w:p>
      <w:pPr>
        <w:spacing w:after="0" w:line="11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meaningful revenues from product sales, royalties,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collaboration arrangements,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 We believe we have sufficient funding to operate for at least twelve months from the date of issuance of the financial statements appearing elsewhere in this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activities through Fate Therapeutics, Inc., a Delaware corporation, at our facilities headquartered in San Diego, California. Our results of operations include the operations of the Company and its subsidiaries. To date, the aggregate operations of our subsidiaries have not been significant and all intercompany transactions and balances have been eliminated in consolidation.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therapeutic product sales or royalties. Our revenues have been derived from collaboration agreements and government grants.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Ono Pharmaceutical Co., Ltd.</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September 14, 2018, we entered into the Ono Agreement for the joint development and commercialization of two iPSC-derived CAR T-cell product candidates (Candidate 1 and Candidate 2). Pursuant to the terms of the Ono Agreement, we received an upfront, non-refundable and non-creditable payment of $10.0 million. Additionally, we were entitled to receive fees for the conduct of research and preclinical development under a joint development plan, which fees were estimated to be $20.0 million in aggregate.</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letter agreement with Ono (the Ono Letter Agreement) pursuant to which Ono delivered proprietary antigen binding domains targeting an antigen expressed on certain solid tumors for incorporation into Candidate 2 and paid us a milestone fee of $10.0 million for further research and preclinical development of Candidate 2. In addition, Ono terminated all further research and preclinical development with respect to Candidate 1, and we retained all rights to research, develop and commercialize Candidate 1 throughout the world without any obligation to Ono.</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2022, we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the companies expanded the scope of the collaboration to include the research and preclinical development of iPSC-derived CAR NK cell product candidates (in addition to iPSC-derived CAR T-cell product candidates) targeting the designated solid tumor antigens. Similar to Candidate 2, we granted to Ono, during a specified period of time, a preclinical option (Candidate 3 Development Option) to obtain an exclusive license under certain intellectual property rights, subject to payment of an option exercise fee to us by Ono, to further develop and commercialize Candidate 3 in all territories of the world, where we retain rights to co-develop and co-commercialize Candidate 3 in the United States and Europe under a joint arrangement with Ono pursuant to which we are eligible to share at least 50% of the profits and losses. The Candidate 3 Development Option represents an option with no material right. Under the 2022 Ono Amendment, aggregate estimated research and preclinical development fees have been increased by approximately $9.3 million, for a total estimated $29.3 million in aggregate research and preclinical development fees over the course of the joint research plan.</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and we exercised our option to co-develop and co-commercialize Candidate 2 in the United States and Europe.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2" w:name="page103"/>
    <w:bookmarkEnd w:id="102"/>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we received and recognized an option exercise fee of $12.5 million from Ono during the year ended December 31, 2022. We and Ono are proceeding under a joint development plan for the ongoing development of Candidate 2, and, as such, we have initiated clinical studies for Candidate 2. The costs of this joint development plan are accounted for in accordance with ASC 808, and cost sharing payments to us from Ono are recorded as contra-research and development expenses.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November 2023, we entered into an amendment with Ono to the Ono Agreement (the 2023 Ono Amendment). Under the 2023 Ono Amendment, aggregate estimated research and preclinical development fees payable to us by Ono for Candidate 3 have been increased by approximately $1.4 million, for a total estimated $30.7 million in aggregate research and preclinical development fees over the course of the joint research plan.</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2024, following Ono’s exercise of the Candidate 2 Development Option and grant of the development and commercialization license, we achieved a $5.0 million clinical development milestone for Candidate 2. We determined that we had completed our performance obligation with respect to such milestone during the year ended December 31, 2024 and accordingly, recognized such amount as revenue during that period.</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August 2024, we entered into an amendment with Ono to the Ono Agreement (the 2024 Ono Amendment). Under the 2024 Ono Amendment, the aggregate estimated research and preclinical development fees payable by Ono to us for Candidate 3 were increased by approximately $7.3 million, for a total estimated $38.0 million in aggregate research and preclinical development fees over the course of the joint development plan.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2025, we entered into an amendment with Ono to the Ono Agreement (the 2025 Ono Amendment, and collectively with the 2024 Ono Amendment, 2023 Ono Amendment, and 2022 Ono Amendment, the Ono Amendments). Under the 2025 Ono Amendment, aggregate estimated research and preclinical development fees payable by Ono to us for Candidate 3 were increased by approximately $6.5 million, for a total estimated $44.5 million in aggregate research and preclinical development fees over the course of the joint development plan. We will continue to receive committed funding under the joint development plan from Ono through June 2026. The Candidate 3 Development Option expires upon the achievement of the pre-defined preclinical milestone under the joint development plan.</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the Ono Agreement, Ono Letter Agreement, and Ono Amendments (collectively, the Ono Arrangement) under ASC 808. We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The initial transaction price under the Ono Arrangement was determined to be $54.5 million, consisting of the upfront, non-refundable and non-creditable payment of $10.0 million, the aggregate estimated research and preclinical development fees of $44.5 million. We also concluded that the Candidate 2 milestone fee of $10.0 million for further research and preclinical development of Candidate 2 represented a variable consideration that was previously constrained. We identified our promised goods and services under the Ono Arrangement to include our grant to Ono of a research license to certain of our intellectual property subject to certain conditions, our conduct of research and preclinical development services, and our participation in a joint steering committee. We determined that the promised goods and services should be accounted for as one combined performance obligation. We recognize revenue for the combined performance obligation over time as the research and preclinical development services are performed.</w:t>
      </w:r>
    </w:p>
    <w:p>
      <w:pPr>
        <w:spacing w:after="0" w:line="8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we recognized $6.6 million and $13.6 million of collaboration revenue, respectively, and $5.7 million and $5.1 million of contra-research and development expense, respectively, under the Ono Arrangement. As of December 31, 2025, aggregate deferred revenue related to the Ono Arrangement was $0.4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employee-related costs, including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clinical trial agreements with investigative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preclinical study and clinical trial materials, including our product candidates;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conducting, executing and managing our preclinical, process and scale-up development, manufacturing, clinical and regulatory activities, including fees paid to third-party professional consultants, service providers and suppliers, including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our research, development and manufacturing activities, including under our collaboration agreements;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3" w:name="page104"/>
    <w:bookmarkEnd w:id="103"/>
    <w:p>
      <w:pPr>
        <w:ind w:left="1020" w:right="3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equipment, materials and supplies for the manufacture of our product candidates to support our clinical trials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license and maintain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including allocated expenses for rent and maintenance of facilities.</w:t>
      </w:r>
    </w:p>
    <w:p>
      <w:pPr>
        <w:spacing w:after="0" w:line="22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significantly invest in our current level of research and development activities for the foreseeable future as we continue the clinical and preclinical development and manufacture of our product candidates, research and develop our iPSC product platform, and perform our obligations under collaboration agreements including under our agreements with Ono and University of Minnesota. Our current planned research and development activities over the next twelve months consist primarily of the following:</w:t>
      </w:r>
    </w:p>
    <w:p>
      <w:pPr>
        <w:spacing w:after="0" w:line="72" w:lineRule="exact"/>
        <w:rPr>
          <w:sz w:val="20"/>
          <w:szCs w:val="20"/>
          <w:color w:val="auto"/>
        </w:rPr>
      </w:pPr>
    </w:p>
    <w:p>
      <w:pPr>
        <w:ind w:left="1020" w:right="3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of our product candidates, including through the engagement of CROs to manage various aspects of our clinical trials;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GMP production, process and scale-up development and technology transfer activities for the manufacture of our product candidates, including those undergoing clinical investigation and IND-enabling preclinical development;</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preclinical and clinical research to investigate the therapeutic activity of our product candidates;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development and manufacturing activities, including under our sponsored research and collaboration agreement with Ono.</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global economic and market conditions, including wars and other armed conflicts, or any continued and prolonged public health emergency, on our business and operations, and our expenditures may be increased by delays or disruptions due to these or other factors, including as a result of actions we take in the near term to ensure business continuity and protect against possible supply chain shortages.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remain significant in the future as we maintain our focus on innovation, and research and development activities, maintain compliance with exchange listing and SEC requirements, protect and enforce our intellectual property, and continue to operate as a public company.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consists of changes in the fair value of stock price appreciation milestones associated with the Amended and Restated Exclusive License Agreement dated May 15, 2018 (Amended MSKCC License) with MSKCC, interest income earned on cash and cash equivalents and interest income from investments (including the amortization of discounts and premiums).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Institute for Regenerative Medicine Awards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 CIRM Award</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were awarded $7.9 million from the California Institute for Regenerative Medicine (CIRM) to support the conduct of our Phase 1 study of FT819 in patients with systemic lupus erythematosus and, in April 2024, we executed an award agreement with CIRM (the FT819 CIRM Award). Pursuant to the terms of the FT819 CIRM Award, we are eligible to receive five disbursements in varying amounts from CIRM, with one disbursement receivable upon the execution of the award and four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104" w:name="page105"/>
    <w:bookmarkEnd w:id="104"/>
    <w:p>
      <w:pPr>
        <w:spacing w:after="0" w:line="266" w:lineRule="auto"/>
        <w:rPr>
          <w:sz w:val="20"/>
          <w:szCs w:val="20"/>
          <w:color w:val="auto"/>
        </w:rPr>
      </w:pPr>
      <w:r>
        <w:rPr>
          <w:rFonts w:ascii="Times New Roman" w:cs="Times New Roman" w:eastAsia="Times New Roman" w:hAnsi="Times New Roman"/>
          <w:sz w:val="18"/>
          <w:szCs w:val="18"/>
          <w:color w:val="auto"/>
        </w:rPr>
        <w:t>disbursements receivable based upon the completion of certain development milestones throughout the period of the award, which is estimated to be from April 1, 2024 to March 31, 2028 (the Award Period). Under the FT819 CIRM Award, we have certain obligations of co-funding and are required to provide CIRM progress and financial update reports throughout the Award Period.</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we, in our sole discretion, have the option to treat the FT819 CIRM Award either as a loan or as a grant. If we do not elect to treat the FT819 CIRM Award as a loan within 10 years of the award date, the award will be considered a grant and we will be obligated to pay CIRM, on a quarterly basis, a low single-digit royalty on commercial sales of FT819 until such aggregate royalty payments equal nine times the total amount awarded to us under the FT819 CIRM Award.</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Since we may, at our election, repay some or all of the FT819 CIRM Award, we account for the award as a liability until the time of election. As of December 31, 2025, we have received three disbursements under the award in the aggregate amount of $6.6 million, which is recorded as a liability on the accompanying consolidated balance sheets. As of December 31, 2025, the total amount received is recorded as a CIRM liability in the consolidated balance sheets, with $5.3 million classified as current and the remaining $1.3 million as non-current, based on the portion we expect to be payable within twelve months from the balance sheet date.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2025, we were awarded $4.0 million from CIRM to support the conduct of preclinical and IND-enabling activities for FT836, and in May 2025, we executed an award agreement with CIRM (the FT836 CIRM Award). Pursuant to the terms of the FT836 CIRM Award, we are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we have certain obligations of co-funding and are required to provide CIRM progress and financial update reports throughout the FT836 Award Period.</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in our sole discretion, have the option to treat the FT836 CIRM Award either as a loan or as a grant. If we do not elect to treat the FT836 CIRM Award as a loan within 10 years of the award date, the award will be considered a grant and we will be obligated to pay CIRM, on a quarterly basis, a low single-digit royalty on commercial sales of FT836 until such aggregate royalty payments equal nine times the total amount awarded to us under the FT836 CIRM Award.</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Since we may, at our election, repay some or all of the FT836 CIRM Award, we account for the award as a liability until the time of election. As of December 31, 2025, we have received four disbursements under the FT836 CIRM Award in the aggregate amount of $4.0 million. As of December 31, 2025, the total amount received is recorded as a CIRM liability in the consolidated balance sheets, with $3.2 million classified as current and the remaining $0.8 million as non-current, based on the portion we expect to be payable within twelve months from the balance sheet date.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MSKCC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on Form 10-K, we believe that the following critical accounting policies reflect the more significant procedures, estimates and assumptions used in the preparation of our consolidated financial statements.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analyze our collaboration arrangements to assess whether they are within the scope of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we assess whether aspects of the arrangement between us and our collaboration partner are within the scope of other accounting literature, including ASC Topic 606, Revenue from Contracts with Customers (ASC 606). If it is concluded that some or all aspects of the arrangement represent a transaction with a customer, we will account for those aspects of the arrangement within the scope of ASC 606.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5" w:name="page106"/>
    <w:bookmarkEnd w:id="105"/>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we conclude a counterparty to a transaction is not a customer or otherwise not within the scope of ASC 606, we consider the guidance in other accounting literature as applicable or by analogy to account for such transaction. The classification of transactions under our arrangements is determined based on the nature and contractual terms of the arrangement along with the nature of the operations of the participants.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 We apply the revenue recognition standard, including the use of any practical expedients, consistently to contracts with similar characteristics and in similar circumstances.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performance obligation is defined as a promise to transfer a product or a service to a customer. If a promise to transfer a product or a service is not separately identifiable from other promises in the contract, such promises should be combined into a single performance obligation. We determined that the promised goods and services for our collaboration agreements should be accounted for as one combined performance obligation. We recognize revenue for the combined performance obligation over time as the research services are performed.</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For our collaboration agreements, we calculate the transaction price as an estimate of the total research and development plan reimbursement.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Price Appreciation Milestones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estimate the fair value of the stock price appreciation milestones under the Amended MSKCC License using a Monte Carlo simulation model, which relies on our current stock price at the end of each quarter as well as significant estimates and assumptions to determine the estimated liability associated with the contingent milestone payments. We account for the fair value of the stock price appreciation milestones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with fair value marked to market. The assumptions used to calculate the fair value of the stock price appreciation milestones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significant amount of judgment including the assessment of achieving a specified clinical milestone, the expected volatility of our common stock, the risk-free interest rate and the estimated term, which is based in part on the last valid patent claim date in 2038. We achieved the specified clinical milestone in July 2021 and met the first milestone during fiscal 2021. Accordingly, we remitted a payment to MSKCC of $20.0 million during the year ended December 31, 2021. We remeasure the fair value of the remaining stock price appreciation milestones at each balance sheet date, with changes in fair value recorded in earnings as a non-operating income or expense.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The long-lived asset evaluation is performed at the asset group level (i.e.,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their use and eventual disposition. If the carrying amount is not recoverable, the carrying amount of such assets is reduced to fair value. During 2024, we identified an indicator of impairment of its long-lived assets due to a sustained decline in the trading price of the Company’s common stock over the preceding year, resulting in our market capitalization being below our net asset value. There have been no changes in the intended use of our long-lived assets. We utilized observed market lease rates for comparable properties to estimate the fair value of the right-of-use asset and leasehold improvements. We utilized trend factors applied to historical costs, estimates of economic depreciation, normal useful lives, and benchmark values for orderly liquidations of the assets in secondary markets to estimate the fair value of our property and equipment. As a result of the fair value analysis, we recorded a $13.4 million impairment charge against property and equipment and a $1.3 million impairment charge against the right-of-use asset in the statement of operations during the year ended December 31, 2024. No impairment was recorded during the year ended December 31, 2025.</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06" w:name="page107"/>
    <w:bookmarkEnd w:id="10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accrued research and development expenses include amounts owed to clinical research organizations, to investigative sites in connection with clinical trials, to sponsored research organizations, to service providers in connection with preclinical development activities and to service providers related to product manufacturing, development and distribution of clinical supplies.</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base our accrued expenses related to clinical trials on our estimates of the services performed and efforts expended pursuant to our contractual arrangements, including those with clinical research organizations. The financial terms of these agreements are sometimes subject to negotiation, vary from contract to contract and may result in uneven payment flows. There may be instances in which payments made to our service providers will exceed the level of services performed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8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expenses actually incurred, if 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amounts actually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common stock based on the achievement of corporate performance goals and continued employment during the vesting period. At each reporting period, and to the extent achievement of one or any of the performance conditions is probable, we reassess the probability of the achievement of such corporate performance goals and any increase or decrease in stock-based compensation expense resulting from an adjustment in the estimated shares to be released is treated as a cumulative catch-up in the period of adjustment.</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estimate the fair value of stock option grants using the Black-Scholes option pricing model, with the exception of option grants with both performance-based milestones and market conditions, which are valued using a lattice-based model. These models require the use of highly subjective and complex assumptions which determine the fair value of stock-based awards, (a) the risk-free interest rate, (b) the expected volatility of our stock, (c) the expected term of the award and (d) the expected dividend yield. The expected volatility is based on the historical volatility of our common stock over the most recent period commensurate with the estimated expected term of our stock options which is derived from historical experience and anticipated future exercise behavior. The risk-free interest rates for periods within the expected life of the option are based on the yields of zero-coupon U.S. Treasury securities. See Note 9 of the notes to the consolidated financial statements for additional information.</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our restricted stock units, including performance-based restricted stock units, is based on the closing price of our common stock as reported on The NASDAQ Global Market on the date of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discussion of recently issued accounting pronouncements, please see Note 1 of the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r>
      <w:tr>
        <w:trPr>
          <w:trHeight w:val="210"/>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(6,985)</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(27,172)</w:t>
            </w: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46,521</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(27,648)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(14,737)</w:t>
            </w: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(12,625)</w:t>
            </w:r>
          </w:p>
        </w:tc>
      </w:tr>
    </w:tbl>
    <w:p>
      <w:pPr>
        <w:spacing w:after="0" w:line="23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During the year ended December 31, 2025, we recognized revenue of $6.6 million under our collaboration agreement with Ono.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we recognized revenue of $13.6 million under our collaboration agreement with Ono. The decrease in revenue was primarily due to our achievement of a clinical development milestone during the year ended December 31, 2024, resulting in the recognition of $5.0 million in revenue during that period.</w:t>
      </w:r>
    </w:p>
    <w:p>
      <w:pPr>
        <w:spacing w:after="0" w:line="72"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$107.8 million for the year ended December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$135.0 million for the year ended December 31, 2024. The decrease in research and development expenses was attributable primarily to the following:</w:t>
      </w:r>
    </w:p>
    <w:p>
      <w:pPr>
        <w:spacing w:after="0" w:line="52"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decrease in employee-stock 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decrease in depreciation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decrease in third-party professional consultant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decrease in laboratory materials and supplies expenses relating to the manufacture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decrease in sub-licensing fees.</w:t>
      </w:r>
    </w:p>
    <w:p>
      <w:pPr>
        <w:spacing w:after="0" w:line="115"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$46.5 million for the year ended December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$74.2 million for the year ended December 31, 2024. The decrease in general and administrative expenses was attributable primarily to a $20.0 million decrease in patent and legal expense and a $7.1 million decrease in employee stock-based compensation expense.</w:t>
      </w:r>
    </w:p>
    <w:p>
      <w:pPr>
        <w:spacing w:after="0" w:line="65"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was $11.4 million and $24.0 million for the years ended December 31, 2025 and 2024, respectively. Other income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 primarily consisted of $11.1 million interest income earned on cash, cash equivalents, and investments (including the amortization of discounts and premiums). During the year ended December 31, 2024, we recorded proceeds from a settlement agreement, and $0.8 million in other income attributable to the decrease in fair value of stock price appreciation milestone under the Amended MSKCC License. Other income for the year ended December 31, 2024 also consisted of $17.3 million of interest income earned on cash, cash equivalents, and investments (including the amortization of discounts and premiums).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As of December 31, 2025, we had an accumulated deficit of $1.5 billion and anticipate that we will continue to incur net losses for the foreseeable future.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each of the years ended December 31: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(106,084)</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(122,874)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111,166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12,218</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10,572</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net cash used in operating activities was $106.1 million for the year ended December 31, 2025 and primarily consisted of a net loss of $136.3 million adjusted for non-cash items including stock-based compensation of $24.9 million and depreciation and amortization of $12.9 million. Operating cash inflows were primarily from cash receipts under the Ono Arrangement. See section </w:t>
      </w:r>
      <w:r>
        <w:rPr>
          <w:rFonts w:ascii="Times New Roman" w:cs="Times New Roman" w:eastAsia="Times New Roman" w:hAnsi="Times New Roman"/>
          <w:sz w:val="18"/>
          <w:szCs w:val="18"/>
          <w:i w:val="1"/>
          <w:iCs w:val="1"/>
          <w:color w:val="auto"/>
        </w:rPr>
        <w:t>Agreement with Ono Pharmaceutical Co., Ltd.</w:t>
      </w:r>
      <w:r>
        <w:rPr>
          <w:rFonts w:ascii="Times New Roman" w:cs="Times New Roman" w:eastAsia="Times New Roman" w:hAnsi="Times New Roman"/>
          <w:sz w:val="18"/>
          <w:szCs w:val="18"/>
          <w:color w:val="auto"/>
        </w:rPr>
        <w:t xml:space="preserve"> above and Note 2 of the consolidated financial statements for additional detail.</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net cash used in operating activities was $122.9 million for the year ended December 31, 2024 and primarily consisted of a net loss of $186.3 million adjusted for non-cash items including stock based compensation of $41.5 million and depreciation and amortization of $19.0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investing activities provided cash of $111.2 million and $12.2 million, respectively. During the year ended December 31, 2025, we purchased $195.1 million of investments, which were offset by $311.9 million in maturities of investments. During the year ended December 31, 2024, we purchased $317.8 million of investments, which were offset by $330.7 million in maturities of investments. The remaining investing activities for the periods presented were primarily attributable to the purchase of property and equipment.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Financing activities provided cash of $5.5 million for the year ended December 31, 2025 from proceeds from the FT819 CIRM Award and the FT836 CIRM Award.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Financing activities provided cash of $99.9 million for the year ended December 31, 2024, which primarily consisted of (i) the issuance of 14,545,454 shares of common stock at a purchase price of $5.50 per share in an underwritten public offering of common stock in March 2024, (ii) the issuance of pre-funded warrants to purchase an aggregate of 3,636,364 shares of common stock at a purchase price of $5.499 per pre-funded warrant, which represents the offering price per share of common stock in the underwritten public offering less the $0.001 exercise price per share of each pre-funded warrant, in a private placement concurrent with the underwritten public offering in March 2024, and (iii) the issuance of common stock from equity incentive plans pursuant to the exercise of employee stock options.</w:t>
      </w:r>
    </w:p>
    <w:p>
      <w:pPr>
        <w:spacing w:after="0" w:line="79"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From our inception through December 31, 2025, we have funded our consolidated operations primarily through the public and private sale of common stock and pre-funded warrants, the private placement of preferred stock and convertible notes, commercial bank debt and revenues from collaboration activities and grants. As of December 31, 2025, we had aggregate cash, cash equivalents, and investments of $205.1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Registration Statements on Form S-3</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SEC declared effective a shelf registration statement on Form S-3 filed by us in November 2023 (File No. 333-275402). The shelf registration statement allows us to issue certain securities, including shares of our common stock, from time to time. The specific terms of any offering under the shelf registration statement would be established at the time of such offering. We were initially eligible to issue an aggregate of $300.0 million in securities under the shelf registration statement. Additionally, we entered into a sales agreement with Jefferies Group LLC (Jefferies) with respect to an at-the-market offering program, under which we may offer and sell, from time to time at our sole discretion, shares of our common stock having an aggregate offering price of up to $100.0 million (which is included in the $300.0 million registered under the shelf registration statement) through Jefferies as the sales agent.</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March 2024, we entered into an underwriting agreement with BofA Securities, Inc., Jefferies, and Leerink Partners LLC with respect to an underwritten public offering, under which we sold 14,545,454 shares of our common stock at a purchase price of $5.50 per share pursuant to the shelf registration statement. To date, we have not sold any securities pursuant to the sales agreement with Jefferies and are eligible to issue an aggregate of approximately $220.0 million under the shelf registration statement (including the $100.0 million issuable pursuant to the sales agreement with Jefferies).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March 2024, concurrent with the underwritten public offering, we entered into a securities purchase agreement with a fund affiliated with Redmile Group, LLC under which we sold pre-funded warrants to purchase up to 3,636,364 shares of our common stock, at a purchase price of $5.499 per pre-funded warrant, in a private placement exempt from the registration requirements pursuant to Section 4(a)(2) of the Securities Act of 1933, as amended (the Securities Act). Pursuant to the terms of the purchase agreement, we agreed to register for resale the shares of common stock issuable upon the exercise of the pre-funded warrants (Warrant Shares). On April 18, 2024, we filed a resale registration statement on Form S-3 (File No. 333-278792), registering the Warrant Shares. The resale registration statement on Form S-3 was declared effective on April 29, 2024.</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8"/>
          <w:szCs w:val="18"/>
          <w:i w:val="1"/>
          <w:iCs w:val="1"/>
          <w:color w:val="auto"/>
        </w:rPr>
        <w:t>Operating Capital Requirements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we will continue to incur losses for the foreseeable future, and we expect the losses to remain significant as we continue the research, manufacture and development of, and seek regulatory approvals for, our product candidates and conduct additional research, manufacturing and development activities pursuant to our collaboration agreement with Ono. Our product candidates have not yet achieved regulatory approval and we may not be successful in achieving commercialization of our product candidates.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all the risks and uncertainties incident in the research, manufacture and development of therapeutic products, and cell therapy product candidates in particular.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inflation rates and global economic conditions, and wars or other armed conflicts. We expect to finance our capital requirements in the foreseeable future through the sale of public or private equity, debt securities, or through existing or future potential collaborations.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the full impact of inflation rates, global political and economic instability, a continued and prolonged public health emergency, and wars and other armed conflicts, on our business, operations, financial condition and prospects, and on the global economy, are currently unknown and difficult to predict, and these events could materially and adversely affect our ability to raise capital through equity or debt financings in the future.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9" w:right="359" w:bottom="1440" w:gutter="0" w:footer="0" w:header="0"/>
        </w:sectPr>
      </w:pPr>
    </w:p>
    <w:bookmarkStart w:id="110" w:name="page111"/>
    <w:bookmarkEnd w:id="110"/>
    <w:p>
      <w:pPr>
        <w:ind w:firstLine="509"/>
        <w:spacing w:after="0" w:line="258" w:lineRule="auto"/>
        <w:rPr>
          <w:sz w:val="20"/>
          <w:szCs w:val="20"/>
          <w:color w:val="auto"/>
        </w:rPr>
      </w:pPr>
      <w:r>
        <w:rPr>
          <w:rFonts w:ascii="Times New Roman" w:cs="Times New Roman" w:eastAsia="Times New Roman" w:hAnsi="Times New Roman"/>
          <w:sz w:val="18"/>
          <w:szCs w:val="18"/>
          <w:color w:val="auto"/>
        </w:rPr>
        <w:t>Our forecast of the period of time through which our existing cash,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75" w:lineRule="exact"/>
        <w:rPr>
          <w:sz w:val="20"/>
          <w:szCs w:val="20"/>
          <w:color w:val="auto"/>
        </w:rPr>
      </w:pPr>
    </w:p>
    <w:p>
      <w:pPr>
        <w:ind w:left="1020" w:right="5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size, duration, costs and results of our clinical trials and preclinical studies for our product candidates, including the timing and costs of manufacturing activities to support such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nature of product candidates that we pursue;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internal GMP production capabilities to support the clinical and potential commercial manufacture of our product candidates at our corporate headquarters;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outcome of seeking and obtaining regulatory approvals;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milestones are achieved under our collaboration agreement with Ono, and any other strategic partnership or collaboration agreements that we may enter into in the future, and the time to achievement of such milestones and our receipt of any associated milestone payments;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 and the cost of enforcing any of our other contractual rights;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including our need and ability to hire additional employees and procure additional equipment, materials and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continuation of collaborations and strategic alliances;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manufacturing and distribution capabilities for, and the pricing and reimbursement of, any products for which we may receive regulatory approval.</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closely monitoring inflation rates and global political and economic conditions, including the impact of tariffs, wars and other armed conflicts,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laboratory, and manufacturing space under non-cancelable operating leases. In addition to rent, our leases are subject to certain fixed amenities fees. These leases are also subject to additional variable charges for common area maintenance, property taxes, property insurance and other variable costs. See Note 8 of the consolidated financial statements for additional detail.</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Total undiscounted aggregate future operating lease obligations under all of our operating leases as of December 31, 2025 are $119.3 million.</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May 15, 2018, we entered into the Amended MSKCC License with MSKCC. In the event a licensed product achieves a specified clinical milestone, MSKCC is then eligible to receive certain milestone payments totaling up to $75.0 million based on the price of our common stock, where the amount of such payments owed to MSKCC is contingent upon certain increases in the price of our common stock following the date of achievement of such clinical milestone. See Note 2 of the consolidated financial statements for additional detail.</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contractual obligations not fully recorded on our consolidated balance sheets or fully disclosed in the notes to the financial statements.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111" w:name="page112"/>
    <w:bookmarkEnd w:id="111"/>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obligations under various license agreements to make future payments to third parties that become due and payable on the achievement of certain development, regulatory and commercial milestones (such as the start of a clinical trial, filing for product approval with the FDA or other regulatory agencies, product approval by the FDA or other regulatory agencies, product launch or product sales) or on the sublicense of our rights to another party. We have not included these commitments on our balance sheet because the achievement and timing of these events is not fixed and determinable. Certain milestones are in advance of receipt of revenue from the sale of products and, therefore, we may require additional debt or equity capital to make such payments. These commitments include:</w:t>
      </w:r>
    </w:p>
    <w:p>
      <w:pPr>
        <w:spacing w:after="0" w:line="79" w:lineRule="exact"/>
        <w:rPr>
          <w:sz w:val="20"/>
          <w:szCs w:val="20"/>
          <w:color w:val="auto"/>
        </w:rPr>
      </w:pPr>
    </w:p>
    <w:p>
      <w:pPr>
        <w:ind w:left="1020" w:right="2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the Whitehead Institute for Biomedical Research, pursuant to which we license certain patents relating to our iPSC product platform, we are required to make annual maintenance payments and payments based upon development, regulatory and commercial milestones for any products covered by the in-licensed intellectual property. The maximum aggregate milestone payments we may be obligated to make per product are $2.3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license agreements with The Scripps Research Institute (TSRI), pursuant to which we license certain patents relating to our iPSC product platform, we are required to make annual maintenance payments and payments based upon development, regulatory and commercial milestones for any products covered by the in-licensed intellectual property. The maximum aggregate milestone payments we may be obligated to make are $1.8 million. We will also be required to pay a royalty on net sales of products covered by the in-licensed intellectual property in the low- to mid-single digits. The royalty is subject to reduction for any third-party payments required to be made, with a minimum floor in the low single digits. We have the right to sublicense our rights under these agreements,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the Regents of the University of Minnesota, pursuant to which we license certain patents relating to compositions and uses of NK cells and to compositions of engineered receptors and immune cells expressing such receptors, we are required to make annual maintenance payments and payments based upon development, regulatory and commercial milestones for any products covered by the in-licensed intellectual property. The maximum aggregate milestone payments we may be obligated to make per product are $4.6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MSKCC, pursuant to which we license certain patents relating to compositions and uses of T-cells derived from iPSCs, CARs and genetic modifications using CRISPR, we are required to make annual maintenance payments and payments based upon development, regulatory and commercial milestones for any products covered by the in-licensed intellectual property. The maximum aggregate milestone payments we may be obligated to make per product are $12.5 million. We will also be required to pay a royalty on net sales of products covered by the in-licensed intellectual property up to the high-single digits. The royalty is subject to reduction for any third-party payments required to be made, with a minimum floor in the low- to mid-single digits. We have the right to sublicense our rights under this agreement, and we will be required to pay a percentage of any sublicense income. Additionally, in the event a licensed product achieves a specified clinical milestone, MSKCC is then eligible to receive additional milestone payments, where the amount of such payments owed to MSKCC are contingent upon certain increases in the price of our common stock following the date of achievement of such clinical milestone. See Note 2 of the notes to the consolidated financial statements for additional detail related to the stock price appreciation milestone payments.</w:t>
      </w:r>
    </w:p>
    <w:p>
      <w:pPr>
        <w:spacing w:after="0" w:line="83" w:lineRule="exact"/>
        <w:rPr>
          <w:rFonts w:ascii="Times New Roman" w:cs="Times New Roman" w:eastAsia="Times New Roman" w:hAnsi="Times New Roman"/>
          <w:sz w:val="18"/>
          <w:szCs w:val="18"/>
          <w:color w:val="auto"/>
        </w:rPr>
      </w:pPr>
    </w:p>
    <w:p>
      <w:pPr>
        <w:ind w:left="1020" w:right="24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Dana Farber Cancer Institute, pursuant to which we license certain patent applications relating to novel antibody fragments that bind the alpha-3 domain of MICA/B, we are required to make annual maintenance payments and payments based upon development, regulatory and commercial milestones for any products covered by the in-licensed intellectual property. The maximum aggregate milestone payments we may be obligated to make per product are $25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these agreements, and we will be required to pay a percentage of any sublicense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2" w:name="page113"/>
    <w:bookmarkEnd w:id="112"/>
    <w:p>
      <w:pPr>
        <w:ind w:left="1020" w:right="20" w:hanging="503"/>
        <w:spacing w:after="0" w:line="255"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Baylor College of Medicine, pursuant to which we license certain patents relating to the composition and use of a novel allo-immune defense receptor (ADR), we are required to make annual maintenance payments and payments based upon development, regulatory and commercial milestones for any products covered by the in-licensed intellectual property. The maximum aggregate milestone payments we may be obligated to make per product are $7.0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 license agreement with Max Delbruck Center for Molecular Medicine (MDC), pursuant to which we license certain patents relating to novel humanized antibody fragments, antigen-binding domains and CAR constructs that </w:t>
      </w:r>
      <w:r>
        <w:rPr>
          <w:rFonts w:ascii="Times New Roman" w:cs="Times New Roman" w:eastAsia="Times New Roman" w:hAnsi="Times New Roman"/>
          <w:sz w:val="18"/>
          <w:szCs w:val="18"/>
          <w:color w:val="222222"/>
        </w:rPr>
        <w:t>uniquely target and specifically bind B-cell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Maturation Antigen, w</w:t>
      </w:r>
      <w:r>
        <w:rPr>
          <w:rFonts w:ascii="Times New Roman" w:cs="Times New Roman" w:eastAsia="Times New Roman" w:hAnsi="Times New Roman"/>
          <w:sz w:val="18"/>
          <w:szCs w:val="18"/>
          <w:color w:val="000000"/>
        </w:rPr>
        <w:t>e are required to make annual maintenance payments and payments based upon development, regulatory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commercial milestones for any products covered by the in-licensed intellectual property. The maximum aggregate milestone payments we may be obligated to make per product are $11.0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including with clinical sites, CROs, and other professional service providers for the conduct of clinical trials, contract manufacturers for the production of our product candidates, contract research service providers for preclinical research studies, professional consultants for expert advice and vendors for the sourcing of clinical and laboratory supplies and materials. These contracts generally provide for termination on notice, and therefore are cancelable contracts and not included in the table of contractual obligations and commitments.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Inflation has increased during the periods covered by this Annual Report on Form 10-K, and may continue to increase or remain elevated for the near future. Inflationary factors, such as increases in the prices of material, interest rates and cost of labor may adversely affect our operating results. Although we do not believe that inflation has had a material impact on our financial position or results of operations to date, we may experience some effect in the near future, especially if inflation rates 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Fate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Fate Therapeutics, Inc. (the Company) as of December 31, 2025 and 2024, the related consolidated statements of operations and comprehensive loss, convertible preferred stock and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4" w:name="page115"/>
    <w:bookmarkEnd w:id="114"/>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 – clinical trials</w:t>
      </w:r>
    </w:p>
    <w:p>
      <w:pPr>
        <w:spacing w:after="0" w:line="227" w:lineRule="exact"/>
        <w:rPr>
          <w:sz w:val="20"/>
          <w:szCs w:val="20"/>
          <w:color w:val="auto"/>
        </w:rPr>
      </w:pPr>
    </w:p>
    <w:p>
      <w:pPr>
        <w:ind w:left="2260" w:right="200" w:hanging="2253"/>
        <w:spacing w:after="0" w:line="261" w:lineRule="auto"/>
        <w:tabs>
          <w:tab w:leader="none" w:pos="22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The Company recorded research and development expenses of $107.8 million for the year ended December 31, 2025. Research and development costs are expensed as incurred. Research and development costs include fees paid to contract research organizations, investigative sites and sponsored research organizations that conduct certain research and development activities on the Company’s behalf for clinical trials.</w:t>
      </w:r>
    </w:p>
    <w:p>
      <w:pPr>
        <w:spacing w:after="0" w:line="182" w:lineRule="exact"/>
        <w:rPr>
          <w:sz w:val="20"/>
          <w:szCs w:val="20"/>
          <w:color w:val="auto"/>
        </w:rPr>
      </w:pPr>
    </w:p>
    <w:p>
      <w:pPr>
        <w:ind w:left="2260"/>
        <w:spacing w:after="0" w:line="261" w:lineRule="auto"/>
        <w:rPr>
          <w:sz w:val="20"/>
          <w:szCs w:val="20"/>
          <w:color w:val="auto"/>
        </w:rPr>
      </w:pPr>
      <w:r>
        <w:rPr>
          <w:rFonts w:ascii="Times New Roman" w:cs="Times New Roman" w:eastAsia="Times New Roman" w:hAnsi="Times New Roman"/>
          <w:sz w:val="18"/>
          <w:szCs w:val="18"/>
          <w:color w:val="auto"/>
        </w:rPr>
        <w:t>Auditing the Company’s research and development expenses and related accruals was challenging due to the complex nature of evaluating the completeness and accuracy of the expenses and accruals. Research and development expenses are recognized as the services are being performed by the vendors, which requires management to accurately reflect the cost of services performed by vendors, such as patient enrollment and treatment at several investigative sites.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w:t>
      </w:r>
      <w:r>
        <w:rPr>
          <w:rFonts w:ascii="Times New Roman" w:cs="Times New Roman" w:eastAsia="Times New Roman" w:hAnsi="Times New Roman"/>
          <w:sz w:val="18"/>
          <w:szCs w:val="18"/>
          <w:color w:val="auto"/>
        </w:rPr>
        <w:t>To test the clinical trial expenses and related accruals, our audit procedures included, among others, confirming with a</w:t>
      </w:r>
    </w:p>
    <w:p>
      <w:pPr>
        <w:spacing w:after="0" w:line="29" w:lineRule="exact"/>
        <w:rPr>
          <w:sz w:val="20"/>
          <w:szCs w:val="20"/>
          <w:color w:val="auto"/>
        </w:rPr>
      </w:pPr>
    </w:p>
    <w:p>
      <w:pPr>
        <w:ind w:left="2260" w:right="140" w:hanging="2253"/>
        <w:spacing w:after="0" w:line="253" w:lineRule="auto"/>
        <w:tabs>
          <w:tab w:leader="none" w:pos="224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sample of vendors the progress of activities under research and development contracts at period end, testing a sample of invoices from vendors providing clinical services, testing a sample of cash disbursements after period end to assess the completeness of the expense recognition, and testing a sample of research and development expenses recorded during the period and evaluating the timing and amount of the expense recognition.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157,029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243,012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208,704</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291,909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318,937</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CIRM award liability,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CIRM award liability, net of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shares—5,000,000; Class A Convertible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shares issued and outstanding—2,755,086 at December 31, 2025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shares—350,000,000 at December 31,</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2025 and 250,0000,000 at December 31, 2024; issued and outstanding—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115,359,735 at December 31, 2025 and 113,928,279 at December 31, 2024</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1,741,259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1,716,335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(1,534,309)</w:t>
            </w:r>
          </w:p>
        </w:tc>
        <w:tc>
          <w:tcPr>
            <w:tcW w:w="4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(1,397,994)</w:t>
            </w:r>
          </w:p>
        </w:tc>
      </w:tr>
      <w:tr>
        <w:trPr>
          <w:trHeight w:val="209"/>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207,184</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318,937</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440,694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-3505200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-3488055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-2382520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loss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(147,704)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(210,276)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1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(136,315)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(186,262)</w:t>
            </w:r>
          </w:p>
        </w:tc>
        <w:tc>
          <w:tcPr>
            <w:tcW w:w="0" w:type="dxa"/>
            <w:vAlign w:val="bottom"/>
          </w:tcPr>
          <w:p>
            <w:pPr>
              <w:spacing w:after="0"/>
              <w:rPr>
                <w:sz w:val="1"/>
                <w:szCs w:val="1"/>
                <w:color w:val="auto"/>
              </w:rPr>
            </w:pPr>
          </w:p>
        </w:tc>
      </w:tr>
      <w:tr>
        <w:trPr>
          <w:trHeight w:val="197"/>
        </w:trPr>
        <w:tc>
          <w:tcPr>
            <w:tcW w:w="61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gain:</w:t>
            </w:r>
          </w:p>
        </w:tc>
        <w:tc>
          <w:tcPr>
            <w:tcW w:w="16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(136,467)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(186,009)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0" w:type="dxa"/>
            <w:vAlign w:val="bottom"/>
            <w:gridSpan w:val="2"/>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78"/>
        </w:trPr>
        <w:tc>
          <w:tcPr>
            <w:tcW w:w="61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used to compute basic and</w:t>
            </w:r>
          </w:p>
        </w:tc>
        <w:tc>
          <w:tcPr>
            <w:tcW w:w="164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118,789,974</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113,685,177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1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diluted net loss per share</w:t>
            </w:r>
          </w:p>
        </w:tc>
        <w:tc>
          <w:tcPr>
            <w:tcW w:w="1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-2039620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-908050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-890905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-608330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160" w:type="dxa"/>
            <w:vAlign w:val="bottom"/>
            <w:gridSpan w:val="3"/>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60" w:type="dxa"/>
            <w:vAlign w:val="bottom"/>
          </w:tcPr>
          <w:p>
            <w:pPr>
              <w:spacing w:after="0"/>
              <w:rPr>
                <w:sz w:val="10"/>
                <w:szCs w:val="10"/>
                <w:color w:val="auto"/>
              </w:rPr>
            </w:pPr>
          </w:p>
        </w:tc>
        <w:tc>
          <w:tcPr>
            <w:tcW w:w="7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0"/>
                <w:szCs w:val="10"/>
                <w:color w:val="auto"/>
              </w:rPr>
            </w:pPr>
          </w:p>
        </w:tc>
        <w:tc>
          <w:tcPr>
            <w:tcW w:w="5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0"/>
                <w:szCs w:val="10"/>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2,761,10</w:t>
            </w:r>
          </w:p>
        </w:tc>
        <w:tc>
          <w:tcPr>
            <w:tcW w:w="1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1,580,03</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98,627,076</w:t>
            </w:r>
          </w:p>
        </w:tc>
        <w:tc>
          <w:tcPr>
            <w:tcW w:w="1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(1,211,732)</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Exercise of stock options, net of issuance costs</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45,438</w:t>
            </w:r>
          </w:p>
        </w:tc>
        <w:tc>
          <w:tcPr>
            <w:tcW w:w="1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restricted stock</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680,201</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units</w:t>
            </w:r>
          </w:p>
        </w:tc>
        <w:tc>
          <w:tcPr>
            <w:tcW w:w="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stock</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(6,022)</w:t>
            </w: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30,110</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4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Public offering of common stock and issuance of pre-funded</w:t>
            </w: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14,545,454</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74,516</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74,531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warrants, net of offering costs</w:t>
            </w:r>
          </w:p>
        </w:tc>
        <w:tc>
          <w:tcPr>
            <w:tcW w:w="840" w:type="dxa"/>
            <w:vAlign w:val="bottom"/>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Private placement of pre-funded warrants</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net</w:t>
            </w:r>
          </w:p>
        </w:tc>
        <w:tc>
          <w:tcPr>
            <w:tcW w:w="8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(186,262)</w:t>
            </w: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(186,262)</w:t>
            </w:r>
          </w:p>
        </w:tc>
        <w:tc>
          <w:tcPr>
            <w:tcW w:w="0" w:type="dxa"/>
            <w:vAlign w:val="bottom"/>
          </w:tcPr>
          <w:p>
            <w:pPr>
              <w:spacing w:after="0"/>
              <w:rPr>
                <w:sz w:val="1"/>
                <w:szCs w:val="1"/>
                <w:color w:val="auto"/>
              </w:rPr>
            </w:pPr>
          </w:p>
        </w:tc>
      </w:tr>
      <w:tr>
        <w:trPr>
          <w:trHeight w:val="119"/>
        </w:trPr>
        <w:tc>
          <w:tcPr>
            <w:tcW w:w="374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2,755,08</w:t>
            </w:r>
          </w:p>
        </w:tc>
        <w:tc>
          <w:tcPr>
            <w:tcW w:w="180" w:type="dxa"/>
            <w:vAlign w:val="bottom"/>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113,928,27</w:t>
            </w:r>
          </w:p>
        </w:tc>
        <w:tc>
          <w:tcPr>
            <w:tcW w:w="16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1,716,33</w:t>
            </w:r>
          </w:p>
        </w:tc>
        <w:tc>
          <w:tcPr>
            <w:tcW w:w="1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114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(1,397,994)</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318,726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top w:val="single" w:sz="8" w:color="CFF0FC"/>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Exercise of stock options, net of issuance costs</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832</w:t>
            </w:r>
          </w:p>
        </w:tc>
        <w:tc>
          <w:tcPr>
            <w:tcW w:w="16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4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restricted stock</w:t>
            </w: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1,430,624</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units</w:t>
            </w:r>
          </w:p>
        </w:tc>
        <w:tc>
          <w:tcPr>
            <w:tcW w:w="840" w:type="dxa"/>
            <w:vAlign w:val="bottom"/>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investments, net</w:t>
            </w:r>
          </w:p>
        </w:tc>
        <w:tc>
          <w:tcPr>
            <w:tcW w:w="8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8"/>
        </w:trPr>
        <w:tc>
          <w:tcPr>
            <w:tcW w:w="37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(136,315)</w:t>
            </w: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(136,315)</w:t>
            </w:r>
          </w:p>
        </w:tc>
        <w:tc>
          <w:tcPr>
            <w:tcW w:w="0" w:type="dxa"/>
            <w:vAlign w:val="bottom"/>
          </w:tcPr>
          <w:p>
            <w:pPr>
              <w:spacing w:after="0"/>
              <w:rPr>
                <w:sz w:val="1"/>
                <w:szCs w:val="1"/>
                <w:color w:val="auto"/>
              </w:rPr>
            </w:pPr>
          </w:p>
        </w:tc>
      </w:tr>
      <w:tr>
        <w:trPr>
          <w:trHeight w:val="119"/>
        </w:trPr>
        <w:tc>
          <w:tcPr>
            <w:tcW w:w="374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2,755,08</w:t>
            </w:r>
          </w:p>
        </w:tc>
        <w:tc>
          <w:tcPr>
            <w:tcW w:w="180" w:type="dxa"/>
            <w:vAlign w:val="bottom"/>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115,359,73</w:t>
            </w:r>
          </w:p>
        </w:tc>
        <w:tc>
          <w:tcPr>
            <w:tcW w:w="16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1,741,25</w:t>
            </w:r>
          </w:p>
        </w:tc>
        <w:tc>
          <w:tcPr>
            <w:tcW w:w="1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95"/>
              </w:rPr>
              <w:t>115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(1,534,309</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207,184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-796290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-796290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-796290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-796290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-796290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-796290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-796290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(136,315)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(186,262)</w:t>
            </w: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and amortization of premiums and discounts on investments, net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(9,080)</w:t>
            </w: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w:t>
            </w: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(4,421)</w:t>
            </w:r>
          </w:p>
        </w:tc>
      </w:tr>
      <w:tr>
        <w:trPr>
          <w:trHeight w:val="20"/>
        </w:trPr>
        <w:tc>
          <w:tcPr>
            <w:tcW w:w="66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(122,874)</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(317,750)</w:t>
            </w:r>
          </w:p>
        </w:tc>
      </w:tr>
      <w:tr>
        <w:trPr>
          <w:trHeight w:val="216"/>
        </w:trPr>
        <w:tc>
          <w:tcPr>
            <w:tcW w:w="6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0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common stock from equity incentive plans, net of issuance costs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public offering of common stock, net of issuance costs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74,531</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 of pre-funded warrants, net of issuance costs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FT819 CIRM award</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FT836 CIRM award</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(10,764)</w:t>
            </w: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10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-2685415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-2685415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-1854200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-1854200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-739775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-456565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right="6280" w:firstLine="8"/>
        <w:spacing w:after="0" w:line="378" w:lineRule="auto"/>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Fate Therapeutics, Inc. (the Company) was incorporated in the state of Delaware on April 27, 2007 and has its principal operations in San Diego, California. The Company is a clinical-stage biopharmaceutical company dedicated to bringing off-the-shelf, multiplexed-engineered, induced pluripotent stem cell (iPSC)-derived cellular immunotherapies to patients.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devoted substantially all of its efforts to product development, raising capital and building infrastructure and has not generated any revenues from any sales of its therapeutic product candidates. To date, the Company’s revenues have been derived from collaboration agreements and government grants.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Restructuring</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August 2025, the Company implemented a corporate restructuring to streamline operations, reduce operating expenses, and extend cash runway. In connection with the restructuring, the Company committed to a reduction in total workforce. Affected employees were informed on August 12, 2025. The Company incurred charges of $1.1 million during the year ended December 31, 2025 for severance and other employee termination-related costs, of which $0.9 million were related to research and development expenses and $0.2 million were related to general and administrative expenses. All restructuring and related expenses have been fully recognized and paid by the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generally accepted accounting principles in the United States (U.S. GAAP). The preparation of the Company’s consolidated financial statements requires management to make estimates and assumptions that impact the reported amounts of assets, liabilities, revenues and expenses and the disclosure of contingent assets and liabilities in the Company’s consolidated financial statements and accompanying notes. The most significant estimates and assumptions in the Company’s consolidated financial statements relate to its obligations, contracts containing leases, accrued expenses, and stock price appreciation milestone. Although these estimates are based on the Company’s knowledge of current events and actions it may undertake in the future, actual results may ultimately materially differ from these estimates and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receivable, stock price appreciation milestones, accounts payable, and accrued liabilities. The carrying amounts of accounts receivable, accounts payable and accrued liabilities are considered to be representative of their respective fair values because of the relatively short-term nature of those instruments.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 tier fair value hierarchy, which prioritizes the inputs used in measuring fair value as follows:</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0" w:name="page121"/>
    <w:bookmarkEnd w:id="120"/>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on a quarterly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operating accounts, money market accounts and money market funds. The Company considers all highly liquid investments with an original maturity of three months or less from the date of purchase to be cash equivalents.</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 as of December 31,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46,628</w:t>
            </w:r>
          </w:p>
        </w:tc>
        <w:tc>
          <w:tcPr>
            <w:tcW w:w="11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36,056</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tcPr>
          <w:p>
            <w:pPr>
              <w:spacing w:after="0"/>
              <w:rPr>
                <w:sz w:val="18"/>
                <w:szCs w:val="18"/>
                <w:color w:val="auto"/>
              </w:rPr>
            </w:pPr>
          </w:p>
        </w:tc>
      </w:tr>
      <w:tr>
        <w:trPr>
          <w:trHeight w:val="23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 of cash flows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56,855</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46,283</w:t>
            </w:r>
          </w:p>
        </w:tc>
      </w:tr>
      <w:tr>
        <w:trPr>
          <w:trHeight w:val="20"/>
        </w:trPr>
        <w:tc>
          <w:tcPr>
            <w:tcW w:w="7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2025 and 2024, the restricted cash balance includes a cash-collateralized irrevocable standby letter of credit for $10.2 million associated with the Company’s facilities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Investments are accounted for as available-for-sale securities and are carried at fair value on the consolidated balance sheets. Upon initial recognition of the investment and at each reporting period, the Company evaluates whether any unrealized losses on investments are attributable to a credit loss or other factors. Any unrealized losses attributable to credit loss are recorded through an allowance for credit losses, limited to the amount by which the fair value is below amortized cost, with the offsetting amount recorded in other income or expense in the consolidated statement of operations and comprehensive loss. Unrealized losses not attributable to an expected credit loss and unrealized gains on investments are recorded in other comprehensive income (loss) on the consolidated statements of operations and comprehensive loss. Realized gains and losses, if any, on investments classified as available-for-sale securities are included in other income or expense.</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amortized cost of investments classified as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a significant concentration of credit risk, consist primarily of cash, cash equivalents, and investments.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and investments are held.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estimated useful lives of the assets (generally two to five years) and generally consist of furniture and fixtures, computers, scientific and office equipment. Leasehold improvements are depreciated over the lesser of the estimated useful life of the improvement or the associated lease term. Repairs and maintenance costs are charged to expense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The long-lived asset evaluation is performed at the asset group level (i.e., the lowest level for which identifiable cash flows are largely independent of the cash flows of other assets and liabilities). Recoverability of these assets 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1" w:name="page122"/>
    <w:bookmarkEnd w:id="121"/>
    <w:p>
      <w:pPr>
        <w:ind w:right="20"/>
        <w:spacing w:after="0" w:line="254" w:lineRule="auto"/>
        <w:rPr>
          <w:sz w:val="20"/>
          <w:szCs w:val="20"/>
          <w:color w:val="auto"/>
        </w:rPr>
      </w:pPr>
      <w:r>
        <w:rPr>
          <w:rFonts w:ascii="Times New Roman" w:cs="Times New Roman" w:eastAsia="Times New Roman" w:hAnsi="Times New Roman"/>
          <w:sz w:val="18"/>
          <w:szCs w:val="18"/>
          <w:color w:val="auto"/>
        </w:rPr>
        <w:t>measured by a comparison of the carrying amounts to the future undiscounted cash flows the assets are expected to generate from their use and eventual disposition. If the carrying amount is not recoverable, the carrying amount of such assets is reduced to fair value. During 2024, the Company identified an indicator of impairment of its long-lived assets due to a sustained decline in the trading price of the Company’s common stock over the preceding year, resulting in the Company’s market capitalization being below its net asset value. The Company utilized observed market lease rates for comparable properties to estimate the fair value of the right-of-use asset and leasehold improvements. The Company utilized trend factors applied to historical costs, estimates of economic depreciation, normal useful lives, and benchmark values for orderly liquidations of the assets in secondary markets to estimate the fair value of the property and equipment. As a result of its fair value analysis, the Company recorded a $13.4 million impairment charge on its property and equipment and a $1.3 million impairment charge on its right-of-use asset in the statement of operations during the year ended December 31, 2024. No impairment was recorded during the year ended December 31,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represent a transaction with a customer, the Company accounts for those aspects of the arrangement within the scope of ASC 606.</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arrangements attributable to ASC 606, 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Company’s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spacing w:after="0" w:line="75"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 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22" w:name="page123"/>
    <w:bookmarkEnd w:id="122"/>
    <w:p>
      <w:pPr>
        <w:ind w:right="360"/>
        <w:spacing w:after="0" w:line="282" w:lineRule="auto"/>
        <w:rPr>
          <w:sz w:val="20"/>
          <w:szCs w:val="20"/>
          <w:color w:val="auto"/>
        </w:rPr>
      </w:pPr>
      <w:r>
        <w:rPr>
          <w:rFonts w:ascii="Times New Roman" w:cs="Times New Roman" w:eastAsia="Times New Roman" w:hAnsi="Times New Roman"/>
          <w:sz w:val="18"/>
          <w:szCs w:val="18"/>
          <w:color w:val="auto"/>
        </w:rPr>
        <w:t>expense for operating leases is recognized on a straight-line basis over the lease term. The Company aggregates all lease and non-lease components for each class of underlying assets into a single lease component.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Appreciation Milestones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the stock price appreciation milestones associated with the Amended and Restated Exclusive License Agreement with Memorial Sloan Kettering Cancer Center (MSKCC) using a Monte Carlo simulation model, which relies on the Company’s current stock price as well as significant estimates and assumptions to determine the estimated liability associated with the contingent milestone payments. The Company accounts for the fair value of the stock price appreciation milestones in accordance with ASC 815, Derivatives and Hedging, with fair value marked to market at each reporting date. The assumptions used to calculate the fair value of the stock price appreciation milestones are subject to a significant amount of judgment including the probability of achieving a specified clinical milestone, the expected volatility of the Company’s common stock, the risk-free interest rate, and the estimated term, which is based in part on the last valid patent claim date. The Company remeasures the fair value of the stock price appreciation milestones at each balance sheet date, with changes in fair value recorded in earnings as non-operating income or expense on the consolidated statements of operations and comprehensive loss.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the Company’s common stock based on the achievement of corporate performance goals and continued employment during the vesting period. At each reporting period, and to the extent achievement of one or any of the performance conditions is probable, the Company reassesses the probability of the achievement of such corporate performance goals and any increase or decrease in stock-based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 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8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includes unrealized gains and losses on available-for-sale securities.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for the period, without consideration for common stock equivalents. The pre-funded warrants associated with the January 2021 public equity offering and the private placement concurrent with the March 2024 public equity offering (see Note 9) are considered outstanding shares in the basic earnings per share calculation given their nominal exercise price. Dilutive common stock equivalents comprise convertible preferred stock, warrants for the purchase of common stock, and common stock options and restricted stock units outstanding under the Company’s stock option plans. For all periods presented, there is no difference in the number of common shares used to calculate basic and diluted common shares outstanding due to the Company’s net loss position.</w:t>
      </w:r>
    </w:p>
    <w:p>
      <w:pPr>
        <w:spacing w:after="0" w:line="7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stockholders for the years ended December 31, 2025 and 2024 are calculated as follows (in thousands, except share and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(136,315)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(186,262)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5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Shares used to compute net loss per share, basic and diluted</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114,896,300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110,596,272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1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18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18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118,789,974</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113,685,177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FF0FC"/>
          </w:tcPr>
          <w:p>
            <w:pPr>
              <w:ind w:left="320"/>
              <w:spacing w:after="0" w:line="194" w:lineRule="exact"/>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1880" w:type="dxa"/>
            <w:vAlign w:val="bottom"/>
            <w:gridSpan w:val="2"/>
            <w:vMerge w:val="continue"/>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5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-299720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-281940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are not included in the calculation of diluted net loss per common share because to do so would be anti-dilutive are as follows (in common stock equivalent shares):</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Outstanding 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13335</wp:posOffset>
            </wp:positionV>
            <wp:extent cx="5700395"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Outstanding restricted stock awards</w:t>
      </w:r>
    </w:p>
    <w:p>
      <w:pPr>
        <w:spacing w:after="0" w:line="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Total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Assessment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7620</wp:posOffset>
            </wp:positionV>
            <wp:extent cx="17741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-3175</wp:posOffset>
            </wp:positionV>
            <wp:extent cx="17741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13,775,430</w:t>
      </w:r>
      <w:r>
        <w:rPr>
          <w:sz w:val="20"/>
          <w:szCs w:val="20"/>
          <w:color w:val="auto"/>
        </w:rPr>
        <w:tab/>
      </w:r>
      <w:r>
        <w:rPr>
          <w:rFonts w:ascii="Times New Roman" w:cs="Times New Roman" w:eastAsia="Times New Roman" w:hAnsi="Times New Roman"/>
          <w:sz w:val="18"/>
          <w:szCs w:val="18"/>
          <w:color w:val="auto"/>
        </w:rPr>
        <w:t>13,775,430</w:t>
      </w:r>
    </w:p>
    <w:p>
      <w:pPr>
        <w:spacing w:after="0" w:line="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12,400,620</w:t>
      </w:r>
      <w:r>
        <w:rPr>
          <w:sz w:val="20"/>
          <w:szCs w:val="20"/>
          <w:color w:val="auto"/>
        </w:rPr>
        <w:tab/>
      </w:r>
      <w:r>
        <w:rPr>
          <w:rFonts w:ascii="Times New Roman" w:cs="Times New Roman" w:eastAsia="Times New Roman" w:hAnsi="Times New Roman"/>
          <w:sz w:val="18"/>
          <w:szCs w:val="18"/>
          <w:color w:val="auto"/>
        </w:rPr>
        <w:t>10,722,674</w:t>
      </w:r>
    </w:p>
    <w:p>
      <w:pPr>
        <w:spacing w:after="0" w:line="9" w:lineRule="exact"/>
        <w:rPr>
          <w:sz w:val="20"/>
          <w:szCs w:val="20"/>
          <w:color w:val="auto"/>
        </w:rPr>
      </w:pPr>
    </w:p>
    <w:p>
      <w:pPr>
        <w:ind w:left="80"/>
        <w:spacing w:after="0"/>
        <w:tabs>
          <w:tab w:leader="none" w:pos="1520" w:val="left"/>
        </w:tabs>
        <w:rPr>
          <w:sz w:val="20"/>
          <w:szCs w:val="20"/>
          <w:color w:val="auto"/>
        </w:rPr>
      </w:pPr>
      <w:r>
        <w:rPr>
          <w:rFonts w:ascii="Times New Roman" w:cs="Times New Roman" w:eastAsia="Times New Roman" w:hAnsi="Times New Roman"/>
          <w:sz w:val="18"/>
          <w:szCs w:val="18"/>
          <w:color w:val="auto"/>
        </w:rPr>
        <w:t>6,635,820</w:t>
      </w:r>
      <w:r>
        <w:rPr>
          <w:sz w:val="20"/>
          <w:szCs w:val="20"/>
          <w:color w:val="auto"/>
        </w:rPr>
        <w:tab/>
      </w:r>
      <w:r>
        <w:rPr>
          <w:rFonts w:ascii="Times New Roman" w:cs="Times New Roman" w:eastAsia="Times New Roman" w:hAnsi="Times New Roman"/>
          <w:sz w:val="18"/>
          <w:szCs w:val="18"/>
          <w:color w:val="auto"/>
        </w:rPr>
        <w:t>6,214,064</w:t>
      </w:r>
    </w:p>
    <w:p>
      <w:pPr>
        <w:spacing w:after="0" w:line="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32,811,870</w:t>
      </w:r>
      <w:r>
        <w:rPr>
          <w:sz w:val="20"/>
          <w:szCs w:val="20"/>
          <w:color w:val="auto"/>
        </w:rPr>
        <w:tab/>
      </w:r>
      <w:r>
        <w:rPr>
          <w:rFonts w:ascii="Times New Roman" w:cs="Times New Roman" w:eastAsia="Times New Roman" w:hAnsi="Times New Roman"/>
          <w:sz w:val="18"/>
          <w:szCs w:val="18"/>
          <w:color w:val="auto"/>
        </w:rPr>
        <w:t>30,712,168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14605</wp:posOffset>
            </wp:positionV>
            <wp:extent cx="177419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74190" cy="25400"/>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7040" w:space="720"/>
            <w:col w:w="3480"/>
          </w:cols>
          <w:pgMar w:left="320" w:top="1427" w:right="33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Substantial doubt about an entity’s ability to continue as a going concern exists when relevant conditions and events, considered in the aggregate, indicate that it is probable that the entity will be unable to meet its obligations as they become due within one year from the financial statement issuance date. The Company determined that there are no conditions or events that raise substantial doubt about its ability to continue as a going concern for a period of at least twelve months from the date of issuance of these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Company prospectively adopted ASU 2023-09 during the year ended December 31, 2025. The adoption of ASU 2023-09 did not have a material impact on the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which requires detailed information about specified categories of expenses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this guidance to determine the impact it may have on its consolidated financial statements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Collaboration and 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Ono Collaboration and Option Agreement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September 14, 2018, the Company entered into a Collaboration and Option Agreement (the Ono Agreement) with Ono Pharmaceutical Co., Ltd. (Ono) for the joint development and commercialization of two off-the-shelf, iPSC-derived CAR T-cell product candidates (Candidate 1 and Candidate 2). Pursuant to the terms of the Ono Agreement, the Company received an upfront, non-refundable and non-creditable payment of $10.0 million. Additionally, the Company was entitled to receive funding for the conduct of research and preclinical development under a joint development plan, which fees were estimated to be $20.0 million in aggregate.</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letter agreement with Ono (the Ono Letter Agreement) pursuant to which Ono delivered proprietary antigen binding domains targeting an antigen expressed on certain solid tumors for incorporation into Candidate 2 and paid the Company a milestone fee of $10.0 million for further research and preclinical development of Candidate 2. In addition, Ono terminated all further research and preclinical development with respect to Candidate 1, and the Company retained all rights to research, develop and commercialize Candidate 1 throughout the world without any obligation to Ono.</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2022, the Company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Ono and the Company expanded the scope of the collaboration to include the research and preclinical development of iPSC-derived CAR NK cell product candidates (in addition to iPSC-derived CAR T-cell product candidates) targeting the designated solid tumor antigens. Similar to Candidate 2, the Company granted to Ono, during a specified period of time, a preclinical option (Candidate 3 Development Option) to obtain an exclusive license under certain intellectual property rights, subject to payment of an option exercise fee to the Company by Ono, to further develop and commercialize Candidate 3 in all territories of the world, where the Company retains rights to co-develop and co-commercialize Candidate 3 in the United States and Europe under a joint arrangement with Ono pursuant to which the Company is eligible to share at least 50% of the profits and losses. The Candidate 3 Development Option represents an option with no material right. Under the 2022 Ono Amendment, aggregate estimated research and preclinical development fees were increased by approximately $9.3 million, for a total estimated $29.3 million in aggregate research and preclinical development fees over the course of the joint development plan.</w:t>
      </w:r>
    </w:p>
    <w:p>
      <w:pPr>
        <w:spacing w:after="0" w:line="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The Company exercised its option (the CDCC Option) to co-develop and co-commercialize Candidate 2 in the United States and Europe. As a result, the Company recognized an option exercise fee of $12.5 million from Ono during the year ended December 31, 2022. The Company received the option exercise fee payment during the year ended December 31, 2023. The Company and Ono are proceeding under a joint development plan for the ongoing development of Candidate 2. At the inception of the Ono Agreement, the Company determined the Candidate 2 Development Option represented an option with no material right that is distinct and separable from the ongoing development of Candidate 2 being performed by the parties. As such, the option exercise was treated as a separate contract with a single performance obligation of granting and delivering Ono a license to further develop and commercialize Candidate 2. The Company has completed its performance obligation with respect to the Candidate 2 Development Option and accordingly, recognized the Option Exercise Payment as revenue for the year ended December 31, 2022. The costs of this joint development plan are accounted for in accordance with ASC 808, and cost sharing payments to the Company from Ono are recorded net into research and development expenses. In addition, in connection with the ongoing joint development of Candidate 2, the Company is eligible to receive additional payments upon the achievement of certain clinical, regulatory, and commercial milestones (as further described below).</w:t>
      </w:r>
    </w:p>
    <w:p>
      <w:pPr>
        <w:spacing w:after="0" w:line="8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Company entered into an amendment with Ono to the Ono Agreement (the 2023 Ono Amendment). Under the 2023 Ono Amendment, aggregate estimated research and preclinical development fees payable by Ono to the Company for Candidate 3 were increased by approximately $1.4 million, for a total estimated $30.7 million in aggregate research and preclinical development fees over the course of the joint development plan.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25" w:name="page126"/>
    <w:bookmarkEnd w:id="125"/>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May 2024, following Ono’s exercise of the Candidate 2 Development Option and grant of the development and commercialization license, the Company achieved a $5.0 million clinical development milestone for Candidate 2 and the Company recognized such amount as revenue during the nine months ended September 30, 2024.</w:t>
      </w:r>
    </w:p>
    <w:p>
      <w:pPr>
        <w:spacing w:after="0" w:line="68"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an amendment with Ono to the Ono Agreement (the 2024 Ono Amendment). Under the 2024 Ono Amendment, aggregate estimated research and preclinical development fees payable by Ono to the Company for Candidate 3 were increased by approximately $7.3 million, for a total estimated $38.0 million in aggregate research and preclinical development fees over the course of the joint development plan.</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June 2025, the Company entered into an amendment with Ono to the Ono Agreement (the 2025 Ono Amendment, and collectively with the 2024 Ono Amendment, 2023 Ono Amendment, and 2022 Ono Amendment, the Ono Amendments). Under the 2025 Ono Amendment, aggregate estimated research and preclinical development fees payable by Ono to the Company for Candidate 3 were increased by approximately $6.5 million, for a total estimated $44.5 million in aggregate research and preclinical development fees over the course of the joint development plan. The Company will continue to receive committed funding under the joint development plan from Ono through June 2026. The Candidate 3 Development Option expires upon the achievement of the pre-defined preclinical milestone under the joint development plan.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Ono Agreement (as amended by the Ono Amendments), for Candidate 2 and for Candidate 3 (subject to exercise by Ono of its Candidate 3 Development Option), the Company is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the Company elects to co-develop and co-commercialize the Candidate in the United States and Europe as described above. In addition, in those territories where Ono has exclusive rights of commercialization, the Company is eligible to receive tiered royalties (Royalties) ranging from the mid-single digits to the low-double digits based on annual net sales by Ono for each Candidate in such territories, with the Royalties subject to certain reductions.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Ono Agreement will terminate with respect to a Candidate if Ono does not exercise its development option for the applicable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Ono Agreement, Ono Letter Agreement, and Ono Amendments (collectively, the Ono Arrangement) were within the scope of ASC 808 and applicable to such guidance. The Company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In accordance with this guidance, the Company identified its promised goods and services, including its grant of a research license to Ono to certain of its intellectual property subject to certain conditions, its conduct of research and preclinical development services, and its participation in a joint steering committee. The Company determined that its grant of a research license to Ono to certain of its intellectual property was not distinct from its conduct of research and preclinical development services and participation in a joint steering committee. Accordingly, the Company determined that the research license, the research and preclinical development services, and the participation in a joint steering committee during the development option period, should be accounted for as one combined performance obligation, and that the combined performance obligation is transferred over the expected term of the conduct of the research and preclinical development services. The Company also determined that, subject to the guidance of ASC 606, the license to develop and commercialize Candidate 2 upon exercise of the Candidate 2 Development Option was distinct and separable from the development and commercialization activities, which are accounted for under ASC 808. The termination of the Ono Agreement with respect to Candidate 1 did not impact this assessment.</w:t>
      </w:r>
    </w:p>
    <w:p>
      <w:pPr>
        <w:spacing w:after="0" w:line="7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amended transaction price for research and preclinical development under the Ono Arrangement equaled $54.5 million, consisting of the upfront, non-refundable and non-creditable payment of $10.0 million and the aggregate estimated research and preclinical development fees of $44.5 million. The Company also concluded that the milestone fee of $10.0 million paid by Ono to the Company for further research and preclinical development of Candidate 2 represented a variable consideration that was previously constrained. Both the upfront payment of $10.0 million and the Candidate 2 milestone fee of $10.0 million were recorded as deferred revenue and were recognized as revenue over time in conjunction with the Company’s conduct of research and preclinical development services based on actual costs incurred as a percentage of the estimated total costs expected to be incurred over the expected term of conduct of the research and preclinical development services. The Company recorded the $5.0 million prepayment of the first-year research and preclinical development fees as deferred revenue, and such fees were recognized as revenue as the research and preclinical development services were delivered.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26" w:name="page127"/>
    <w:bookmarkEnd w:id="126"/>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$6.6 million and $13.6 million under the Ono Arrangement during the years ended December 31, 2025 and 2024, respectively. During the year ended December 31, 2025, all of such revenue was associated with research and preclinical development services. During the year ended December 31, 2024, such revenue comprised $8.6 million associated with research and preclinical development services, and $5.0 million associated with the achievement of a clinical development milestone.</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contra-research and development expense of $5.7 million associated with the joint development of Candidate 2 under the Ono Arrangement for the year ended December 31, 2025. During the year ended December 31, 2024, the Company recognized contra-research and development expense of $5.1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Memorial Sloan Kettering Cancer Center License Agreement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May 15, 2018, the Company entered into an Amended and Restated Exclusive License Agreement (the Amended MSKCC License) with MSKCC. The Amended MSKCC License amends and restates the Exclusive License Agreement entered into between the Company and MSKCC on August 19, 2016 (the Original MSKCC License), pursuant to which the Company entered into an exclusive license agreement with MSKCC for rights relating to compositions and methods covering iPSC-derived cellular immunotherapy, including T-cells and NK-cells derived from iPSCs engineered with chimeric antigen receptors (CARs).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Pursuant to the Amended MSKCC License, MSKCC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MSKCC License, in which case it is obligated to pay MSKCC a percentage of certain sublicense income received by the Company.</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is obligated to pay MSKCC an annual license maintenance fee during the term of the agreement, milestone payments upon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achievement of specified clinical, regulatory and commercial milestones for licensed products as well as royalty payments on net sales of licensed products.</w:t>
      </w:r>
    </w:p>
    <w:p>
      <w:pPr>
        <w:spacing w:after="0" w:line="9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a licensed product achieves a specified clinical milestone, MSKCC is then eligible to receive certain milestone payments totaling up to $75.0 million based on the price of the Company’s common stock, where the amount of such payments owed to MSKCC is contingent upon certain increases in the price of the Company’s common stock following the date of achievement of such clinical milestone. These payments are based on common stock price multiples, with the numerator being the fair value of the ten-trading day trailing average closing price of the Company’s common stock and the denominator being the ten-trading day trailing average closing price of the Company’s common stock as of the effective date of the Amended MSKCC License, adjusted for any stock splits, cash dividends, stock dividends, other distributions, combinations, recapitalizations, or similar events. Under the terms of the Amended MSKCC License, upon a change of control of the Company, in certain circumstances, the Company may be required to pay a portion of these payments to MSKCC based on the price of the Company’s common stock in connection with such change of control.</w:t>
      </w:r>
    </w:p>
    <w:p>
      <w:pPr>
        <w:spacing w:after="0" w:line="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common stock multiples and the stock price appreciation milestone payments under the terms of the Amended MSKCC License:</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multiple</w:t>
            </w: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5.0x</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10.0x</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15.0x</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Ten-trading day trailing average common stock price</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100.36</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150.54</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appreciation milestone payment (in millions)</w:t>
            </w:r>
          </w:p>
        </w:tc>
        <w:tc>
          <w:tcPr>
            <w:tcW w:w="9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bl>
    <w:p>
      <w:pPr>
        <w:spacing w:after="0" w:line="30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2021, the Company achieved the specified clinical milestone for a licensed product under the Amended MSKCC License and the Company’s ten-trading day trailing average common stock price exceeded the first, pre-specified threshold. As a result, the Company remitted the first milestone payment of $20.0 million to MSKCC during the year ended December 31, 2021.</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determine the estimated fair value of the remaining stock price appreciation milestones, the Company uses a Monte Carlo simulation methodology which models future Company common stock prices based on the current stock price and several key variables. The following variables were incorporated in the calculation of the estimated fair value of the stock price appreciation milestones as of December 31,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5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term (in years)</w:t>
            </w:r>
          </w:p>
        </w:tc>
        <w:tc>
          <w:tcPr>
            <w:tcW w:w="2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FF0FC"/>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Closing stock price as of measurement date</w:t>
            </w:r>
          </w:p>
        </w:tc>
        <w:tc>
          <w:tcPr>
            <w:tcW w:w="34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0.98</w:t>
            </w:r>
          </w:p>
        </w:tc>
        <w:tc>
          <w:tcPr>
            <w:tcW w:w="1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20"/>
                <w:szCs w:val="20"/>
                <w:color w:val="auto"/>
              </w:rPr>
            </w:pPr>
          </w:p>
        </w:tc>
      </w:tr>
    </w:tbl>
    <w:p>
      <w:pPr>
        <w:spacing w:after="0" w:line="287"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remeasurement date; and the risk-free rate based on the U.S. Treasury yield for the estimated term determined. Fair value measurements are highly sensitive to changes in these inputs and significant changes could result in a significantly higher or lower fair value and resulting expense or gain.</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At each balance sheet date, the Company remeasures the fair value of the stock price appreciation milestones, with changes in fair value recognized as a component of other income (expense) in the consolidated statements of operations and comprehensive loss. Amounts are included in current or non-current liabilities based on the estimated timeline associated with the individual potential payments. During the years ended December 31, 2025 and 2024, the Company recorded $0.2 million and $0.8 million of income, respectively, associated with the change in fair value of the stock price appreciation milestones. As of December 31, 2025 and 2024, the Company recorded a liability of $0.3 million and $0.5 million, respectively, associated with the stock price appreciation milestones for the Amended MSKCC License.</w:t>
      </w:r>
    </w:p>
    <w:p>
      <w:pPr>
        <w:spacing w:after="0" w:line="291"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California Institute for Regenerative Medicine Award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 CIRM Award</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was awarded $7.9 million from the California Institute for Regenerative Medicine (CIRM) to support the conduct of the Company’s Phase 1 study of FT819 in patients with systemic lupus erythematosus and, in April 2024, the Company executed an award agreement with CIRM (the FT819 CIRM Award). Pursuant to the terms of the FT819 CIRM Award, the Company is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the Company has certain obligations of co-funding and is required to provide CIRM progress and financial update reports throughout the Award Period.</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the Company, in its sole discretion, has the option to treat the FT819 CIRM Award either as a loan or as a grant. If the Company does not elect to treat the FT819 CIRM Award as a loan within 10 years of the award date, the award will be considered a grant and the Company will be obligated to pay CIRM, on a quarterly basis, a low single-digit royalty on commercial sales of FT819 until such aggregate royalty payments equal nine times the total amount awarded to the Company under the FT819 CIRM Award.</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the Company may, at its election, repay some or all of the FT819 CIRM Award, the Company accounts for the award as a liability until the time of election. As of December 31, 2025, the Company has received three disbursements under the FT819 CIRM Award in the aggregate amount of $6.6 million, which amount is recorded as a liability on the accompanying consolidated balance sheets. As of December 31, 2025, the total amount received is recorded as a CIRM liability in the consolidated balance sheets, with $5.3 million classified as current and the remaining $1.3 million as non-current, based on the portion expected to be payable within twelve months from the balance sheet date.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2025, the Company was awarded $4.0 million from CIRM to support the conduct of preclinical and Investigational New Drug (IND)-enabling activities for FT836, and in May 2025, the Company executed an award agreement with CIRM (the FT836 CIRM Award). Pursuant to the terms of the FT836 CIRM Award, the Company is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the Company has certain obligations of co-funding and is required to provide CIRM progress and financial update reports throughout the FT836 Award Period.</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in its sole discretion, has the option to treat the FT836 CIRM Award either as a loan or as a grant. If the Company does not elect to treat the FT836 CIRM Award as a loan within 10 years of the award date, the award will be considered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8" w:name="page129"/>
    <w:bookmarkEnd w:id="128"/>
    <w:p>
      <w:pPr>
        <w:ind w:right="180"/>
        <w:spacing w:after="0" w:line="282" w:lineRule="auto"/>
        <w:rPr>
          <w:sz w:val="20"/>
          <w:szCs w:val="20"/>
          <w:color w:val="auto"/>
        </w:rPr>
      </w:pPr>
      <w:r>
        <w:rPr>
          <w:rFonts w:ascii="Times New Roman" w:cs="Times New Roman" w:eastAsia="Times New Roman" w:hAnsi="Times New Roman"/>
          <w:sz w:val="18"/>
          <w:szCs w:val="18"/>
          <w:color w:val="auto"/>
        </w:rPr>
        <w:t>grant and the Company will be obligated to pay CIRM, on a quarterly basis, a low single-digit royalty on commercial sales of FT836 until such aggregate royalty payments equal nine times the total amount awarded to the Company under the FT836 CIRM Award.</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Since the Company may, at its election, repay some or all of the FT836 CIRM Award, the Company accounts for the award as a liability until the time of election. As of December 31, 2025, the Company has received four disbursements under the FT836 CIRM Award in the aggregate amount of $4.0 million. As of December 31, 2025, the total amount received is recorded as a CIRM liability in the consolidated balance sheets, with $3.2 million classified as current and the remaining $0.8 million as non-current, based on the portion expected to be payable within twelve months from the balance sheet date.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invests portions of excess cash in United States treasuries, commercial paper, non-U.S. government securities, municipal securities, and corporate debt securities with maturities ranging from three to thirty-six months from the purchase date. These investments are accounted for as available-for-sale securities and are classified as short-term and long-term investments in the accompanying consolidated balance sheets based on each security’s contractual maturity date. There were no significant realized losses on available-for-sale securities during the year ended December 31, 2025. As of December 31, 2025, the Company did not intend to sell the investments in an unrealized loss position and it was unlikely that the Company will be required to sell the investments before the recovery of their amortized cost basis.</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investments accounted for as available-for-sale securities as of December 31, 2025 and 2024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5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Classified as current assets: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86,238</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100" w:type="dxa"/>
            <w:vAlign w:val="bottom"/>
            <w:shd w:val="clear" w:color="auto" w:fill="CFF0FC"/>
          </w:tcPr>
          <w:p>
            <w:pPr>
              <w:spacing w:after="0"/>
              <w:rPr>
                <w:sz w:val="18"/>
                <w:szCs w:val="18"/>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196,898</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Classified as non-current assets:</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Greater than 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FF0FC"/>
          </w:tcPr>
          <w:p>
            <w:pPr>
              <w:spacing w:after="0"/>
              <w:rPr>
                <w:sz w:val="21"/>
                <w:szCs w:val="21"/>
                <w:color w:val="auto"/>
              </w:rPr>
            </w:pPr>
          </w:p>
        </w:tc>
      </w:tr>
      <w:tr>
        <w:trPr>
          <w:trHeight w:val="197"/>
        </w:trPr>
        <w:tc>
          <w:tcPr>
            <w:tcW w:w="516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Classified as current assets: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40,291</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170,169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170,327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272,503</w:t>
            </w:r>
          </w:p>
        </w:tc>
        <w:tc>
          <w:tcPr>
            <w:tcW w:w="100" w:type="dxa"/>
            <w:vAlign w:val="bottom"/>
            <w:shd w:val="clear" w:color="auto" w:fill="CFF0FC"/>
          </w:tcPr>
          <w:p>
            <w:pPr>
              <w:spacing w:after="0"/>
              <w:rPr>
                <w:sz w:val="21"/>
                <w:szCs w:val="21"/>
                <w:color w:val="auto"/>
              </w:rPr>
            </w:pPr>
          </w:p>
        </w:tc>
      </w:tr>
      <w:tr>
        <w:trPr>
          <w:trHeight w:val="197"/>
        </w:trPr>
        <w:tc>
          <w:tcPr>
            <w:tcW w:w="5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Classified as non-current assets:</w:t>
            </w:r>
          </w:p>
        </w:tc>
        <w:tc>
          <w:tcPr>
            <w:tcW w:w="1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Greater than 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Greater than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0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-2605405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-2605405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-2605405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-2013585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-1996440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-2013585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-1996440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-2013585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-1996440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-607695</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-590550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-607695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-590550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-607695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-590550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$0.7 million and $2.1 million, respectively, of accrued interest on investments recorded in prepaid expenses and other assets on the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9" w:name="page130"/>
    <w:bookmarkEnd w:id="12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its investment holdings at the end of each reporting period and evaluates any unrealized losses using the expected credit loss model to determine if the unrealized loss is a result of a credit loss or other factors. The Company also evaluates its investment holdings for impairment using a variety of factors including the Company’s intent to sell the underlying securities prior to maturity and whether it is more likely than not that the Company would be required to sell the securities before the recovery of their amortized basis. During the years ended December 31, 2025 and 2024, the Company did not recognize any impairment or realized gains or losses on sales of investments, and the Company did not record an allowance for, or recognize, any expected credit losses.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presents the Company’s financial assets and liabilities measured at fair value on a recurring basis as of December 31, 2025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8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Total financial liabilities measured at fair value on a</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recurring basis</w:t>
            </w: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Total financial liabilities measured at fair value on a</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recurring basis</w:t>
            </w: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-2965450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-2965450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-2965450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-2965450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-2382520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-2382520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-2382520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-2382520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-864870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-864870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-864870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-281940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-281940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-281940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-281940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Level 1 assets consisted of money market funds and U.S. Treasury securities measured at fair value based on quoted prices in active markets as provided by the Company’s investment managers.</w:t>
      </w:r>
    </w:p>
    <w:p>
      <w:pPr>
        <w:spacing w:after="0" w:line="5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Level 2 assets consisted of corporate debt securities, commercial paper, municipal securities, and non-U.S. government securities measured at fair value using standard observable inputs, including reported trades, broker/dealer quotes, and bids and/or offers. The Company validates the quoted market prices provided by its investment managers by comparing the investment managers’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130" w:name="page131"/>
    <w:bookmarkEnd w:id="130"/>
    <w:p>
      <w:pPr>
        <w:ind w:right="20"/>
        <w:spacing w:after="0" w:line="282" w:lineRule="auto"/>
        <w:rPr>
          <w:sz w:val="20"/>
          <w:szCs w:val="20"/>
          <w:color w:val="auto"/>
        </w:rPr>
      </w:pPr>
      <w:r>
        <w:rPr>
          <w:rFonts w:ascii="Times New Roman" w:cs="Times New Roman" w:eastAsia="Times New Roman" w:hAnsi="Times New Roman"/>
          <w:sz w:val="18"/>
          <w:szCs w:val="18"/>
          <w:color w:val="auto"/>
        </w:rPr>
        <w:t>assessment of the fair values of the Company’s investment portfolio balance against the fair values of the Company’s investment portfolio balance obtained from an independent source.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Level 3 assets held by the Company as of December 31, 2025.</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liabilities consisted of stock price appreciation milestones associated with the Amended MSKCC License as described in detail in Note 2.</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(in thousands):</w:t>
      </w: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w:t>
            </w:r>
          </w:p>
        </w:tc>
      </w:tr>
      <w:tr>
        <w:trPr>
          <w:trHeight w:val="20"/>
        </w:trPr>
        <w:tc>
          <w:tcPr>
            <w:tcW w:w="6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6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-316230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440" w:firstLine="584"/>
        <w:spacing w:after="0" w:line="282" w:lineRule="auto"/>
        <w:rPr>
          <w:sz w:val="20"/>
          <w:szCs w:val="20"/>
          <w:color w:val="auto"/>
        </w:rPr>
      </w:pPr>
      <w:r>
        <w:rPr>
          <w:rFonts w:ascii="Times New Roman" w:cs="Times New Roman" w:eastAsia="Times New Roman" w:hAnsi="Times New Roman"/>
          <w:sz w:val="18"/>
          <w:szCs w:val="18"/>
          <w:color w:val="auto"/>
        </w:rPr>
        <w:t>None of the Company’s non-financial assets or liabilities are recorded at fair value on a non-recurring basis. No transfers between levels have occurred during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improvements—building</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59,485</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Scientific equipment</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(36,223)</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(35,136)</w:t>
            </w:r>
          </w:p>
        </w:tc>
      </w:tr>
      <w:tr>
        <w:trPr>
          <w:trHeight w:val="210"/>
        </w:trPr>
        <w:tc>
          <w:tcPr>
            <w:tcW w:w="53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56,925</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80" w:type="dxa"/>
            <w:vAlign w:val="bottom"/>
            <w:tcBorders>
              <w:top w:val="single" w:sz="8" w:color="CFF0FC"/>
            </w:tcBorders>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-453390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80" w:firstLine="58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an impairment charge of $13.4 million of long-lived asset impairment described in Note 1 above, which was calculated as the difference between the fair value of the assets and its carrying value. The cost basis for these assets was updated to fair value. The fair value was based on a cost approach which utilized Level 3 non-recurring fair value inputs and assumptions.</w:t>
      </w:r>
    </w:p>
    <w:p>
      <w:pPr>
        <w:spacing w:after="0" w:line="176" w:lineRule="exact"/>
        <w:rPr>
          <w:sz w:val="20"/>
          <w:szCs w:val="20"/>
          <w:color w:val="auto"/>
        </w:rPr>
      </w:pPr>
    </w:p>
    <w:p>
      <w:pPr>
        <w:ind w:right="280" w:firstLine="584"/>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$12.9 million and $19.0 million, for the years ended December 31, 2025 and 2024, respectively.</w:t>
      </w:r>
    </w:p>
    <w:p>
      <w:pPr>
        <w:spacing w:after="0" w:line="266" w:lineRule="exact"/>
        <w:rPr>
          <w:sz w:val="20"/>
          <w:szCs w:val="20"/>
          <w:color w:val="auto"/>
        </w:rPr>
      </w:pPr>
    </w:p>
    <w:p>
      <w:pPr>
        <w:ind w:right="9640" w:firstLine="8"/>
        <w:spacing w:after="0" w:line="378" w:lineRule="auto"/>
        <w:tabs>
          <w:tab w:leader="none" w:pos="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Accrued Expenses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accrued expenses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2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related costs</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accrued expenses</w:t>
            </w:r>
          </w:p>
        </w:tc>
        <w:tc>
          <w:tcPr>
            <w:tcW w:w="2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8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-1079500</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31" w:name="page132"/>
    <w:bookmarkEnd w:id="131"/>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has lease agreements for office, laboratory and manufacturing spaces that are classified as operating leases on the consolidated balance sheets. These leases have original terms varying from six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October 2024, the Company exercised its right of early termination for its Torrey Pines operating lease, which consists of 72,000 square feet of office, laboratory, and Good Manufacturing Practice (GMP) space. In connection with such exercise, the Company paid $2.5 million to its landlord during the year ended December 31, 2024. Termination of the lease, which previously extended through December 31, 2028, took effect on October 31, 2025.</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future undiscounted minimum contractual payments under the Company’s operating leases were $119.3 million, which will be paid over a remaining weighted-average lease term of 10.1 years. The weighted-average discount rate for the operating lease liabilities was 8.5%, which was the Company’s incremental borrowing rate at lease commencement, as the discount rates implicit in the leases could not be readily determined.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2025 and 2024 were as follows (in thousands):</w:t>
      </w:r>
    </w:p>
    <w:p>
      <w:pPr>
        <w:spacing w:after="0" w:line="32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4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Straight-line lease expense</w:t>
            </w:r>
          </w:p>
        </w:tc>
        <w:tc>
          <w:tcPr>
            <w:tcW w:w="2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80" w:type="dxa"/>
            <w:vAlign w:val="bottom"/>
          </w:tcPr>
          <w:p>
            <w:pPr>
              <w:spacing w:after="0"/>
              <w:rPr>
                <w:sz w:val="18"/>
                <w:szCs w:val="18"/>
                <w:color w:val="auto"/>
              </w:rPr>
            </w:pPr>
          </w:p>
        </w:tc>
      </w:tr>
      <w:tr>
        <w:trPr>
          <w:trHeight w:val="230"/>
        </w:trPr>
        <w:tc>
          <w:tcPr>
            <w:tcW w:w="4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8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undiscounted minimum payments under the Company’s operating leases as of December 31, 2025 are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 Payments</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2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(41,454)</w:t>
            </w: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lease liability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77,849</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ind w:right="20" w:firstLine="629"/>
        <w:spacing w:after="0" w:line="256" w:lineRule="auto"/>
        <w:rPr>
          <w:sz w:val="20"/>
          <w:szCs w:val="20"/>
          <w:color w:val="auto"/>
        </w:rPr>
      </w:pPr>
      <w:r>
        <w:rPr>
          <w:rFonts w:ascii="Times New Roman" w:cs="Times New Roman" w:eastAsia="Times New Roman" w:hAnsi="Times New Roman"/>
          <w:sz w:val="18"/>
          <w:szCs w:val="18"/>
          <w:color w:val="auto"/>
        </w:rPr>
        <w:t>As described in Note 1 above, the Company incurred a $1.3 million impairment charge against its right-of-use asset during the year ended December 31, 2024. The Company applied a discounted cash flow method to estimate the fair value of the right-of-use asset, which represents Level 3 non-recurring fair value measurements. The estimated fair value of the was determined by discounting the estimated rental rates using market participant assumptions. No such expense was recognized for the year ended December 31, 2025. The Company’s estimates and assumptions used to determine the estimated fair value of the asset group is subject to risks, uncertainties, and changes in circumstances that may result in adjustments and material changes to the estimated fair values in future periods.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ind w:right="6840" w:firstLine="8"/>
        <w:spacing w:after="0" w:line="377" w:lineRule="auto"/>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 and Stockholders’ Equity Convertible Preferred Stock</w:t>
      </w:r>
    </w:p>
    <w:p>
      <w:pPr>
        <w:spacing w:after="0" w:line="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Class A Convertible Preferred Stock, $0.001 par value per share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 In April 2023, the Company filed with the office of the Secretary of State of the State of Delaware a Certificate of Amendment to Certificate of Designation of Preferences, Rights and Limitations of Class A Convertible Preferred Stock which amends the definition of Beneficial Ownership Limitation to be 14.99% of the number of shares of the Company’s common stock outstanding immediately after giving effect to the issuance of shares of common stock pursuant to a Notice of Conversion. In April 2023, 33,441 shares of Class A Preferred were converted into 167,205 shares of the Company’s common stock. In December 2024, 6,022 shares of the Class A Preferred were converted into 30,110 shares of the Company’s common stock. In July 2025, Redmile provided the Company with notice of its intent to increase the Redmile Percentage Limitation from 9.99% to 14.99%, which became effective August 31, 2025.</w:t>
      </w:r>
    </w:p>
    <w:p>
      <w:pPr>
        <w:spacing w:after="0" w:line="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Class A Preferred are non-voting shares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and Incentive Plans and Inducement Equity Plan</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June 9, 2022, the Company adopted the 2022 Stock Option and Incentive Plan (as amended and restated to date, the 2022 Plan). The 2022 Plan initially authorized 9.5 million shares, and in June 2024 and May 2025, stockholders approved an additional 8,000,000 and 7,000,000 shares respectively, of common stock for issuance and allows for the grant of stock options, stock appreciation rights, restricted stock awards, performance-based awards, and other awards to individuals who are then employees, officers, directors or consultants of the Company. The shares of common stock underlying any awards from the 2022 Plan and a previously existing equity plan from 2013 or 2007 that are forfeited, cancelled, held back upon exercise or settlement of an award to satisfy the exercise price or tax withholding, reacquired by us prior to vesting, satisfied without any issuance of common stock, expire or are otherwise terminated (other than by exercise) are added back to the shares of common stock available for issuance under the 2022 Plan.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Recipients of stock options under the 2022 Plan shall be eligible to purchase shares of the Company’s common stock at an exercise price equal to no less than the estimated fair value of such stock on the date of grant. Under the 2022 Plan, stock options generally vest 25% on the first anniversary of the original vesting date, with the balance vesting monthly over the remaining three years, or vest monthly over four years, unless they contain specific performance and/or market-based vesting provisions. The maximum term of stock options granted under the 2022 Plan is ten years. Under the 2022 Plan, restricted stock units generally vest annually over four years. Performance-based stock units/awards vest upon the achievement of certain pre-defined company-specific performance-based clinical achievement criteria.</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May 10, 2016, the Company’s board of directors approved the Fate Therapeutics, Inc. Inducement Equity Plan (the Inducement Plan), the purpose of which is to enable the Company to grant equity awards to induce highly-qualified prospective officers and employees who are not employed by the Company to accept employment with the Company. Under the Inducement Plan,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133" w:name="page134"/>
    <w:bookmarkEnd w:id="133"/>
    <w:p>
      <w:pPr>
        <w:spacing w:after="0" w:line="256" w:lineRule="auto"/>
        <w:rPr>
          <w:sz w:val="20"/>
          <w:szCs w:val="20"/>
          <w:color w:val="auto"/>
        </w:rPr>
      </w:pPr>
      <w:r>
        <w:rPr>
          <w:rFonts w:ascii="Times New Roman" w:cs="Times New Roman" w:eastAsia="Times New Roman" w:hAnsi="Times New Roman"/>
          <w:sz w:val="18"/>
          <w:szCs w:val="18"/>
          <w:color w:val="auto"/>
        </w:rPr>
        <w:t>the Company may grant non-qualified stock options and restricted stock units. A total of 500,000 shares of common stock were initially reserved for issuance under the Inducement Plan. In January 2021, March 2020, January 2019, and October 2025, an additional 300,000 shares, 470,822 shares, 200,000 shares, and 1,750,000 shares, respectively, of common stock were reserved for issuance under the Inducement Plan. The shares of common stock underlying any awards from the Inducement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Inducement Plan will be added back to the shares of common stock available for issuance under the Inducement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January 2021, in conjunction with a public offering, the Company issued pre-funded warrants, in lieu of common stock to certain investors, to purchase 257,310 shares of the Company’s common stock (the 2021 Pre-Funded Warrants). The purchase price for the 2021 Pre-Funded Warrants was $85.499 per pre-funded warrant, which equals the per share public offering price for the shares of common stock less the $0.001 exercise price for each such pre-funded warrant. Given that the 2021 Pre-Funded Warrants are indexed to the Company’s own shares of common stock (and otherwise meet the requirements to be classified in equity), the Company recorded the consideration received from the issuance of the warrants as additional paid-in capital on the Company’s consolidated balance sheets.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March 2024, in conjunction with a public offering, the Company issued in a private placement, in lieu of common stock to certain investors, pre-funded warrants to purchase 3,636,364 shares of the Company’s common stock (2024 Pre-Funded Warrants, and collectively with the 2021 Pre-Funded Warrants, the Pre-Funded Warrants). The purchase price for the 2024 Pre-Funded Warrants was $5.499 per pre-funded warrant, which equals the per share public offering price for the shares of common stock issued in the March 2024 public offering, less the $0.001 exercise price for each such pre-funded warrant. Given that the 2024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there were 3,893,674 Pre-Funded Warrants outstanding.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 Awards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following table summarizes stock option activity and related information under all equity plans for the year ended December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10,722,674</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10.99</w:t>
            </w:r>
          </w:p>
        </w:tc>
        <w:tc>
          <w:tcPr>
            <w:tcW w:w="18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4,125,400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Cancelled</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(2,446,622)</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12,400,620</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8.36</w:t>
            </w:r>
          </w:p>
        </w:tc>
        <w:tc>
          <w:tcPr>
            <w:tcW w:w="1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5.80</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Options vested and expected to vest at December 31, 2025</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12,400,620</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8.36</w:t>
            </w:r>
          </w:p>
        </w:tc>
        <w:tc>
          <w:tcPr>
            <w:tcW w:w="180" w:type="dxa"/>
            <w:vAlign w:val="bottom"/>
          </w:tcPr>
          <w:p>
            <w:pPr>
              <w:spacing w:after="0"/>
              <w:rPr>
                <w:sz w:val="11"/>
                <w:szCs w:val="11"/>
                <w:color w:val="auto"/>
              </w:rPr>
            </w:pP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5.80</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Options exercisable at December 31, 2025</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8,903,350</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10.70</w:t>
            </w:r>
          </w:p>
        </w:tc>
        <w:tc>
          <w:tcPr>
            <w:tcW w:w="1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4.54</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-264795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-264795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-264795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-264795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weighted average grant date fair value of stock options granted per share was equal to $1.01 and $4.89, respectively.</w:t>
      </w:r>
    </w:p>
    <w:p>
      <w:pPr>
        <w:spacing w:after="0" w:line="54"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unrecognized compensation cost related to outstanding options was $5.1 million and $15.4 million, respectively, which was expected to be recognized as expense over approximately 1.7 years and 1.6 years, respectively.</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exercise price was exceeded by the price of the Company’s common stock on the date of exercise, of stock options exercised during the year ended December 31, 2025 was $0.1 million. As of December 31, 2024, all outstanding options had an exercise price above the Company's common stock price and therefore no intrinsic value.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34" w:name="page135"/>
    <w:bookmarkEnd w:id="134"/>
    <w:p>
      <w:pPr>
        <w:ind w:right="4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following table summarizes restricted stock unit activity and related information under all equity plans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2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6,214,064</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15.50</w:t>
            </w:r>
          </w:p>
        </w:tc>
        <w:tc>
          <w:tcPr>
            <w:tcW w:w="18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3,550,520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(1,430,624)</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Cancelled</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(1,698,140)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6,635,820</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w:t>
            </w:r>
          </w:p>
        </w:tc>
        <w:tc>
          <w:tcPr>
            <w:tcW w:w="1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1.77</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6,503</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Restricted stock units expected to vest at December 31, 2025</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5,840,196</w:t>
            </w:r>
          </w:p>
        </w:tc>
        <w:tc>
          <w:tcPr>
            <w:tcW w:w="20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4.30</w:t>
            </w:r>
          </w:p>
        </w:tc>
        <w:tc>
          <w:tcPr>
            <w:tcW w:w="180" w:type="dxa"/>
            <w:vAlign w:val="bottom"/>
          </w:tcPr>
          <w:p>
            <w:pPr>
              <w:spacing w:after="0"/>
              <w:rPr>
                <w:sz w:val="11"/>
                <w:szCs w:val="11"/>
                <w:color w:val="auto"/>
              </w:rPr>
            </w:pP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1.84</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-145415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-128270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-145415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-128270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-145415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-128270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-145415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-128270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unrecognized compensation cost related to outstanding restricted stock units (excluding those with unachieved performance-based conditions) was $10.8 million and $31.4 million, respectively, which was expected to be recognized as expense over approximately 1.6 years and 1.7 years, respectively.</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1,997,377 performance-based restricted stock units (PRSUs) were granted, none of which have vested as of December 31, 2025. During the year ended December 31, 2024, the Company granted 300,000 performance-based restricted stock units were granted, none of which have vested as of December 31, 2025. There were 895,624 and 1,062,607 PRSUs outstanding at December 31,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allocation of stock-based compensation for all stock awards is as follows (in thousands):</w:t>
      </w:r>
    </w:p>
    <w:p>
      <w:pPr>
        <w:spacing w:after="0" w:line="2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4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22,520</w:t>
            </w:r>
          </w:p>
        </w:tc>
        <w:tc>
          <w:tcPr>
            <w:tcW w:w="8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80" w:type="dxa"/>
            <w:vAlign w:val="bottom"/>
          </w:tcPr>
          <w:p>
            <w:pPr>
              <w:spacing w:after="0"/>
              <w:rPr>
                <w:sz w:val="18"/>
                <w:szCs w:val="18"/>
                <w:color w:val="auto"/>
              </w:rPr>
            </w:pPr>
          </w:p>
        </w:tc>
      </w:tr>
      <w:tr>
        <w:trPr>
          <w:trHeight w:val="230"/>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80" w:type="dxa"/>
            <w:vAlign w:val="bottom"/>
            <w:shd w:val="clear" w:color="auto" w:fill="CFF0FC"/>
          </w:tcPr>
          <w:p>
            <w:pPr>
              <w:spacing w:after="0"/>
              <w:rPr>
                <w:sz w:val="19"/>
                <w:szCs w:val="19"/>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 Grants Valuation. </w:t>
      </w:r>
      <w:r>
        <w:rPr>
          <w:rFonts w:ascii="Times New Roman" w:cs="Times New Roman" w:eastAsia="Times New Roman" w:hAnsi="Times New Roman"/>
          <w:sz w:val="18"/>
          <w:szCs w:val="18"/>
          <w:color w:val="auto"/>
        </w:rPr>
        <w:t>The weighted-average assumptions used in the Black-Scholes option pricing model to determine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employee and nonemployee stock option grants were as follows:</w:t>
      </w:r>
    </w:p>
    <w:p>
      <w:pPr>
        <w:spacing w:after="0" w:line="15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18"/>
                <w:szCs w:val="18"/>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18"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assumption on observed interest rates appropriate for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grants.</w:t>
      </w:r>
    </w:p>
    <w:p>
      <w:pPr>
        <w:spacing w:after="0" w:line="50"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bases the expected dividend yield assumption on the fact that it has never paid cash dividends and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intention to pay cash dividends.</w:t>
      </w:r>
    </w:p>
    <w:p>
      <w:pPr>
        <w:spacing w:after="0" w:line="50" w:lineRule="exact"/>
        <w:rPr>
          <w:sz w:val="20"/>
          <w:szCs w:val="20"/>
          <w:color w:val="auto"/>
        </w:rPr>
      </w:pPr>
    </w:p>
    <w:p>
      <w:pPr>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based the expected volatility on the historical volatility of its common stock over the most recent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estimated expected term of the Company’s stock options, as the Company determined there was sufficient operating history and company-specific historical volatility to estimate the expected volatility.</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3" w:right="359" w:bottom="1440" w:gutter="0" w:footer="0" w:header="0"/>
        </w:sectPr>
      </w:pPr>
    </w:p>
    <w:bookmarkStart w:id="135" w:name="page136"/>
    <w:bookmarkEnd w:id="135"/>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of time that options are expected to be outstanding. The Company estimated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historical experience and anticipated future exercise behavior.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86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12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(if converted)</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100" w:type="dxa"/>
            <w:vAlign w:val="bottom"/>
            <w:shd w:val="clear" w:color="auto" w:fill="CCEC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80" w:type="dxa"/>
            <w:vAlign w:val="bottom"/>
            <w:shd w:val="clear" w:color="auto" w:fill="CCEC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10,722,674</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6,635,820</w:t>
            </w:r>
          </w:p>
        </w:tc>
        <w:tc>
          <w:tcPr>
            <w:tcW w:w="100" w:type="dxa"/>
            <w:vAlign w:val="bottom"/>
            <w:shd w:val="clear" w:color="auto" w:fill="CCEC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6,214,064</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under the 2022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11,656,109</w:t>
            </w:r>
          </w:p>
        </w:tc>
        <w:tc>
          <w:tcPr>
            <w:tcW w:w="8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available under the Inducement Plan</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1,604,838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920,688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50,607,509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43,288,965</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incurred no current or deferred federal or state tax expense during the periods presented. The only tax expense is related to state minimum taxes.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Company’s expected federal income tax provision (benefit) to the actual income tax provision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adoption of ASU 2023-09):</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(28,626)</w:t>
            </w: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 net of federal income tax effect (1)</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(10,362)</w:t>
            </w:r>
          </w:p>
        </w:tc>
        <w:tc>
          <w:tcPr>
            <w:tcW w:w="7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changes in tax laws or rates enacted in the current period</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0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R&amp;D tax credits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(2,952)</w:t>
            </w: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5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111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 The state of California comprises greater than 50% of the Company’s state tax benefit.</w:t>
      </w:r>
    </w:p>
    <w:p>
      <w:pPr>
        <w:spacing w:after="0" w:line="118"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Company’s expected federal income tax provision (benefit) to the actual income tax provision (in thousands) (prior to the adoption of ASU 2023-09):</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tcPr>
          <w:p>
            <w:pPr>
              <w:jc w:val="right"/>
              <w:ind w:right="10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computed at federal statutory rate</w:t>
            </w:r>
          </w:p>
        </w:tc>
        <w:tc>
          <w:tcPr>
            <w:tcW w:w="2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(39,115)</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(8,429)</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R&amp;D tax credits</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(7,672)</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2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1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-1148080</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36" w:name="page137"/>
    <w:bookmarkEnd w:id="136"/>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summarized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Capitalized R&amp;D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111,424</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operating losses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186,855</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147,019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R&amp;D tax credits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399,335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(2,623)</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(2,212)</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(8,738)</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(11,361)</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(12,008)</w:t>
            </w: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 deferred tax assets and liabilities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387,974</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(387,974)</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(362,084)</w:t>
            </w: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-1165225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-1165225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-607695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-607695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-316230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taxes paid or refunded consist of the following as of:</w:t>
      </w:r>
    </w:p>
    <w:p>
      <w:pPr>
        <w:spacing w:after="0" w:line="25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7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920" w:type="dxa"/>
        <w:tblCellMar>
          <w:top w:w="0" w:type="dxa"/>
          <w:left w:w="0" w:type="dxa"/>
          <w:bottom w:w="0" w:type="dxa"/>
          <w:right w:w="0" w:type="dxa"/>
        </w:tblCellMar>
      </w:tblPr>
      <w:tr>
        <w:trPr>
          <w:trHeight w:val="142"/>
        </w:trPr>
        <w:tc>
          <w:tcPr>
            <w:tcW w:w="3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8"/>
                <w:szCs w:val="18"/>
                <w:color w:val="auto"/>
              </w:rPr>
            </w:pPr>
          </w:p>
        </w:tc>
      </w:tr>
      <w:tr>
        <w:trPr>
          <w:trHeight w:val="229"/>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income taxes paid (refunded)</w:t>
            </w:r>
          </w:p>
        </w:tc>
        <w:tc>
          <w:tcPr>
            <w:tcW w:w="1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FF0FC"/>
          </w:tcPr>
          <w:p>
            <w:pPr>
              <w:spacing w:after="0"/>
              <w:rPr>
                <w:sz w:val="19"/>
                <w:szCs w:val="19"/>
                <w:color w:val="auto"/>
              </w:rPr>
            </w:pP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-25400</wp:posOffset>
            </wp:positionV>
            <wp:extent cx="431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431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431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431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4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 valuation allowance of $388.0 million and $362.1 million at December 31, 2025 and 2024, respectively, has been established to offset the deferred tax assets, as realization of such assets is uncertain.</w:t>
      </w:r>
    </w:p>
    <w:p>
      <w:pPr>
        <w:spacing w:after="0" w:line="5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federal and state net operating loss (NOL) carryforwards of $879.1 million and $773.3 million, respectively, which may be available to offset future taxable income. The federal and California NOL carryforwards begin to expire in 2027 and 2028, respectively, unless previously utilized. At December 31, 2025, the Company had federal and California research and development (R&amp;D) credit carryforwards of $48.5 million and $40.1 million, respectively. The federal R&amp;D tax credit carryforwards will begin to expire in 2035 unless previously utilized. The California R&amp;D credit carryforwards will carry forward indefinitely.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substantial changes in the Company’s ownership may limit the amount of net operating loss and research and development credit carryforwards that could be used annually in the future to offset taxable income. The tax benefits related to future utilization of federal and state net operating loss carryforwards, credit carryforwards, and other deferred tax assets may be limited or lost if cumulative changes in ownership exceeds 50% within any three-year period. The Company completed a study to assess whether an ownership change, as defined by Section 382 of the Code, had occurred from the Company’s formation through December 31, 2015. Based upon this study, the Company determined that several ownership changes had occurred. Accordingly, the Company reduced its deferred tax assets related to the federal NOL carryforwards and the federal R&amp;D credit carryforwards that are anticipated to expire unused as a result of these ownership changes. These tax attributes were excluded from deferred tax assets with a corresponding reduction of the valuation allowance with no net effect on income tax expense or the effective tax rate. The Company updated the study December 31, 2025 and concluded there were no ownership changes during 2025. Future ownership changes may further limit the Company’s ability to utilize its remaining tax attributes.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37" w:name="page138"/>
    <w:bookmarkEnd w:id="137"/>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various state jurisdictions, and the Netherlands with varying statutes of limitations. The Company currently has no years under examination by any jurisdiction; however, the Company is subject to income tax examination by federal and state tax authorities for years beginning in 2022 and 2021, respectively. However, to the extent allowed by law, the taxing authorities may have the right to examine prior periods where NOLs and tax credits were generated and carried forward, and make adjustments up to the amount of the carryforwards.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the Company’s unrecognized tax benefits is summarized as follows (in thousands):</w:t>
      </w:r>
    </w:p>
    <w:p>
      <w:pPr>
        <w:spacing w:after="0" w:line="273"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unrecognized tax benefits</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59,680</w:t>
            </w:r>
          </w:p>
        </w:tc>
        <w:tc>
          <w:tcPr>
            <w:tcW w:w="180" w:type="dxa"/>
            <w:vAlign w:val="bottom"/>
            <w:shd w:val="clear" w:color="auto" w:fill="CFF0FC"/>
          </w:tcPr>
          <w:p>
            <w:pPr>
              <w:spacing w:after="0"/>
              <w:rPr>
                <w:sz w:val="18"/>
                <w:szCs w:val="18"/>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80" w:type="dxa"/>
            <w:vAlign w:val="bottom"/>
          </w:tcPr>
          <w:p>
            <w:pPr>
              <w:spacing w:after="0"/>
              <w:rPr>
                <w:sz w:val="18"/>
                <w:szCs w:val="18"/>
                <w:color w:val="auto"/>
              </w:rPr>
            </w:pP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shd w:val="clear" w:color="auto" w:fill="CFF0FC"/>
          </w:tcPr>
          <w:p>
            <w:pPr>
              <w:spacing w:after="0"/>
              <w:rPr>
                <w:sz w:val="18"/>
                <w:szCs w:val="18"/>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unrecognized tax benefits</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70,505</w:t>
            </w:r>
          </w:p>
        </w:tc>
        <w:tc>
          <w:tcPr>
            <w:tcW w:w="180" w:type="dxa"/>
            <w:vAlign w:val="bottom"/>
            <w:shd w:val="clear" w:color="auto" w:fill="CFF0FC"/>
          </w:tcPr>
          <w:p>
            <w:pPr>
              <w:spacing w:after="0"/>
              <w:rPr>
                <w:sz w:val="19"/>
                <w:szCs w:val="19"/>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right="140" w:firstLine="509"/>
        <w:spacing w:after="0" w:line="257" w:lineRule="auto"/>
        <w:rPr>
          <w:sz w:val="20"/>
          <w:szCs w:val="20"/>
          <w:color w:val="auto"/>
        </w:rPr>
      </w:pPr>
      <w:r>
        <w:rPr>
          <w:rFonts w:ascii="Times New Roman" w:cs="Times New Roman" w:eastAsia="Times New Roman" w:hAnsi="Times New Roman"/>
          <w:sz w:val="18"/>
          <w:szCs w:val="18"/>
          <w:color w:val="auto"/>
        </w:rPr>
        <w:t>Due to the valuation allowance recorded against the Company’s deferred tax assets, none of the total unrecognized tax benefits as of December 31, 2025 would reduce the effective tax rate if recognized. The Company has not recognized interest or penalties in its consolidated statements of operations and comprehensive loss since inception. The Company recognizes interest and penalties related to unrecognized tax benefits within income tax expense.</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Company has not recognized interest or penalties related to income tax matters in its consolidated statements of operations and comprehensive loss since inception.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relating to its operations. The segment derives its current revenues from research and development collaborations.</w:t>
      </w:r>
    </w:p>
    <w:p>
      <w:pPr>
        <w:spacing w:after="0" w:line="8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manages the Company’s operations on an integrated basis for the purposes of allocating resources. When evaluating the Company’s financial performance, the CODM reviews total revenues, total expenses and expenses by certain categories and makes decisions using this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96"/>
        </w:trPr>
        <w:tc>
          <w:tcPr>
            <w:tcW w:w="6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programs</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25,818</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activities</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costs</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6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223,907</w:t>
            </w:r>
          </w:p>
        </w:tc>
        <w:tc>
          <w:tcPr>
            <w:tcW w:w="100" w:type="dxa"/>
            <w:vAlign w:val="bottom"/>
          </w:tcPr>
          <w:p>
            <w:pPr>
              <w:spacing w:after="0"/>
              <w:rPr>
                <w:sz w:val="18"/>
                <w:szCs w:val="18"/>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(147,704)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(210,276)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100" w:type="dxa"/>
            <w:vAlign w:val="bottom"/>
          </w:tcPr>
          <w:p>
            <w:pPr>
              <w:spacing w:after="0"/>
              <w:rPr>
                <w:sz w:val="18"/>
                <w:szCs w:val="18"/>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(136,315)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(186,262)</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-1156335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 stock compensation expense, depreciation, legal fees, general &amp; administrative expenses, and corporate expenses.</w:t>
      </w:r>
    </w:p>
    <w:p>
      <w:pPr>
        <w:spacing w:after="0" w:line="225"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12. Employee Benefits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Effective January 1, 2009, the Company adopted a defined contribution 401(k) plan for employees who are at least 21 years of age. Employees are eligible to participate in the plan beginning on the first day of the calendar quarter following date of hire. Under the terms of the plan, employees may make voluntary contributions as a percent of compensation. The Company makes discretionary contributions to the 401(k) Plan equal to 100 percent of each employee’s pretax contributions up to 20 percent of the IRS Standard Limit. The Company’s total contributions to the 401(k) Plan were $0.6 million and $0.7 million for the years ended December 31, 2025 and 2024, respectively.</w:t>
      </w:r>
    </w:p>
    <w:p>
      <w:pPr>
        <w:spacing w:after="0" w:line="287" w:lineRule="exact"/>
        <w:rPr>
          <w:sz w:val="20"/>
          <w:szCs w:val="20"/>
          <w:color w:val="auto"/>
        </w:rPr>
      </w:pPr>
    </w:p>
    <w:p>
      <w:pPr>
        <w:ind w:right="8400" w:firstLine="8"/>
        <w:spacing w:after="0" w:line="378" w:lineRule="auto"/>
        <w:tabs>
          <w:tab w:leader="none" w:pos="27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License Agreements</w:t>
      </w: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entered into exclusive license agreements with certain academic institutions and universities pursuant to which the Company acquired certain intellectual property. Pursuant to each agreement, as consideration for an exclusive license to the intellectual property, the Company paid a license fee, reimbursed the institution for historical patent costs and, in certain instances, issued the institution shares of restricted common stock. Additionally, under each agreement, the institution is generally eligible to receive future consideration including, but not limited to, annual maintenance fees, royalties, milestone payments and sublicensing fees. Each of the license agreements is generally cancelable by the Company, given appropriate prior written notice. Minimum annual payments to maintain these cancelable licenses total an aggregate of $0.4 million. See Note 2 for additional information on certain licenses.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January 20, 2023, a purported stockholder of the Company filed a securities class action lawsuit against the Company and certain of its officers captioned Hadian v. Fate Therapeutics, Inc. et al. in the U.S. District Court for the Southern District of California (the Securities Action). On May 4, 2023, the court appointed a different purported stockholder of the Company to serve as lead plaintiff in the Securities Action. On July 24, 2023, the lead plaintiff filed an amended complaint. The amended complaint alleged that the Company violated the federal securities laws by making allegedly false and/or misleading statements and/or omissions in its public disclosures dating back to August 2020 relating to our collaboration agreement with Janssen Biotech, Inc. (the Janssen Agreement), potential product candidates subject to the Janssen Agreement, and the termination of the Janssen Agreement. On September 22, 2023, the Company filed a motion to dismiss the amended complaint. On September 19, 2024, the court granted the Company's motion to dismiss the amended complaint, with leave for plaintiff to file a second amended complaint. On October 18, 2024, the lead plaintiff filed a second amended complaint alleging substantially similar facts and claims as in the prior amended complaint. The Company filed a motion to dismiss the second amended complaint on November 18, 2024, and briefing on the motion was completed on January 21, 2025. On September 22, 2025, the court granted the Company's motion to dismiss the second amended complaint, with leave for plaintiff to file a third amended complaint. On October 17, 2025, the plaintiff filed a third amended complaint. The Company filed a motion to dismiss the third amended complaint on November 17, 2025. Plaintiff filed an opposition brief on December 18, 2025. On January 15, 2026, the Company filed its reply in support of its motion to dismiss. The Company intends to continue to vigorously defend against this action.</w:t>
      </w:r>
    </w:p>
    <w:p>
      <w:pPr>
        <w:spacing w:after="0" w:line="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June 2, 2023, a derivative complaint, captioned Guarino v. Wolchko, et al., was filed by a purported stockholder of the Company in the U.S. District Court for the Southern District of California (the Guarino Action). On June 12, 2024, an additional derivative complaint, captioned Horrobin v. Wolchko, et al., was filed by a purported stockholder of the Company in the same district (the Horrobin Action). On December 2, 2024, the court entered an order consolidating the Guarino Action and the Horrobin Action under the caption In re Fate Therapeutics, Inc. Derivative Litigation (the Derivative Action) and staying the Derivative Action pending the court’s decision on the Company's motion to dismiss the second amended complaint in the Securities Action. On September 22, 2025, the stay of the consolidated case automatically expired when the decision dismissing the second amended complaint in the Securities Action was issued. On October 24, 2025, the court extended the stay pending the court’s decision on the Company's anticipated motion to dismiss the third amended complaint. The court's ruling on the motion is pending. The Derivative Action names members of the Company's board of directors and certain officers as defendants. The Company is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The Company intends to vigorously defend against the Derivative Action.</w:t>
      </w:r>
    </w:p>
    <w:p>
      <w:pPr>
        <w:spacing w:after="0" w:line="7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On December 17, 2025, a derivative complaint, captioned West v. Wolchko, et al., was filed by a purported stockholder of the Company in the Court of Chancery of the State of Delaware (the West Action). The West Action names certain current and former members of the Company’s board of directors and certain current and former officers as defendants. The Company is also named as a nominal defendant. The plaintiff in the West Action asserts derivative claims for breach of fiduciary duty and insider trading arising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139" w:name="page140"/>
    <w:bookmarkEnd w:id="139"/>
    <w:p>
      <w:pPr>
        <w:spacing w:after="0" w:line="261" w:lineRule="auto"/>
        <w:rPr>
          <w:sz w:val="20"/>
          <w:szCs w:val="20"/>
          <w:color w:val="auto"/>
        </w:rPr>
      </w:pPr>
      <w:r>
        <w:rPr>
          <w:rFonts w:ascii="Times New Roman" w:cs="Times New Roman" w:eastAsia="Times New Roman" w:hAnsi="Times New Roman"/>
          <w:sz w:val="18"/>
          <w:szCs w:val="18"/>
          <w:color w:val="auto"/>
        </w:rPr>
        <w:t>out of substantially the same alleged facts and circumstances as the Securities Action. On January 16, 2026, the court entered an order staying the West Action until the earliest of the following events: (i) the public announcement of any settlement in the Securities Action; (ii) a ruling on the motion to dismiss the second amended complaint in the Securities Action; or (iii) the dismissal of the Securities Action with prejudice and exhaustion of all related appeals. The Company intends to vigorously defend against the West Action.</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other legal proceedings and claims that arise in the ordinary course of its business activities.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5" w:right="5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are responsible for maintaining disclosure controls and procedures, as defined in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the individual serving as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Based on our management’s evaluation (with the participation of our principal executive officer and principal financial officer) of our disclosure controls and procedures as required by Rules 13a-15 and 15d-15 under the Exchange Act, our principal executive officer and principal financial officer have concluded that our disclosure controls and procedures were effective at the reasonable assurance level as of December 31, 2025, the end of the period covered by this report.</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The Company’s management is responsible for establishing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maintaining adequate internal control over financial reporting (as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 Management conducted an assessment of the effectiveness of the Company’s internal control over financial reporting based on the criteria set forth by the Committee of Sponsoring Organizations of the Treadway Commission in Internal Control—Integrated Framework (2013 Framework). Based on this assessment, our management concluded that, as of December 31, 2025, our internal control over financial reporting was effective based on those criteria.</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internal control over financial reporting issued by our independent registered public accounting firm. Our auditors will not be required to opine on the effectiveness of our internal control over financial reporting pursuant to Section 404(b) of the Sarbanes-Oxley Act of 2002 as the Company is classified as a smaller reporting company.</w:t>
      </w:r>
    </w:p>
    <w:p>
      <w:pPr>
        <w:spacing w:after="0" w:line="64"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during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2025 that have materially affected, or are reasonably likely to materially affect, our internal control over financial reporting.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00" w:hanging="183"/>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Trading Plans</w:t>
      </w:r>
    </w:p>
    <w:p>
      <w:pPr>
        <w:spacing w:after="0" w:line="117"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officers adopted, materially modified, or terminated any contract, instruction, or written plan for the purchase or sale of Company securities that was intended to satisfy the affirmative defense conditions of Rule 10b5-1(c) under the Exchange Act or any non-Rule 10b5-1 trading arrangement.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03" w:right="559" w:bottom="1440" w:gutter="0" w:footer="0" w:header="0"/>
        </w:sectPr>
      </w:pPr>
    </w:p>
    <w:bookmarkStart w:id="142" w:name="page143"/>
    <w:bookmarkEnd w:id="1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contained in our definitive proxy statement (the Proxy Statement), to be filed with the SEC in connection with the Annual Meeting of Stockholders within 120 days after the conclusion of our fiscal year ended December 31, 2025 and is incorporated in this Annual Report on Form 10-K by reference.</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www.fatetherapeutics.com. If we make any substantive amendments to, or grant any waivers from, the code of business conduct and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 except as to information disclosed in the Proxy Statement pursuant to Item 402(v) of Regulation S-K relating to pay versus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public accounting firm is Ernst &amp; Young, LLP, San Diego, CA, PCAOB Auditor ID 42.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9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3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gridSpan w:val="10"/>
          </w:tcPr>
          <w:p>
            <w:pPr>
              <w:ind w:left="140"/>
              <w:spacing w:after="0"/>
              <w:rPr>
                <w:sz w:val="20"/>
                <w:szCs w:val="20"/>
                <w:color w:val="auto"/>
              </w:rPr>
            </w:pPr>
            <w:r>
              <w:rPr>
                <w:rFonts w:ascii="Times New Roman" w:cs="Times New Roman" w:eastAsia="Times New Roman" w:hAnsi="Times New Roman"/>
                <w:sz w:val="18"/>
                <w:szCs w:val="18"/>
                <w:i w:val="1"/>
                <w:iCs w:val="1"/>
                <w:color w:val="auto"/>
              </w:rPr>
              <w:t>Index list to 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5180" w:type="dxa"/>
            <w:vAlign w:val="bottom"/>
            <w:gridSpan w:val="2"/>
            <w:vMerge w:val="restart"/>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00" w:type="dxa"/>
            <w:vAlign w:val="bottom"/>
            <w:tcBorders>
              <w:bottom w:val="single" w:sz="8" w:color="0000FF"/>
            </w:tcBorders>
            <w:gridSpan w:val="10"/>
            <w:vMerge w:val="continue"/>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06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8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Convertible Preferred Stock and Stockholders’ Equity</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3020" w:type="dxa"/>
            <w:vAlign w:val="bottom"/>
            <w:tcBorders>
              <w:top w:val="single" w:sz="8" w:color="0000FF"/>
            </w:tcBorders>
            <w:gridSpan w:val="5"/>
          </w:tcPr>
          <w:p>
            <w:pPr>
              <w:spacing w:after="0"/>
              <w:rPr>
                <w:sz w:val="17"/>
                <w:szCs w:val="17"/>
                <w:color w:val="auto"/>
              </w:rPr>
            </w:pPr>
          </w:p>
        </w:tc>
        <w:tc>
          <w:tcPr>
            <w:tcW w:w="47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750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 schedules are omitted because they are not required or the required information is included in the financial statements or notes thereto.</w:t>
      </w:r>
    </w:p>
    <w:p>
      <w:pPr>
        <w:spacing w:after="0" w:line="115"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gridSpan w:val="2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gridSpan w:val="21"/>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9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Amended and Restated Certificate of Incorporation of the Registrant</w:t>
              </w:r>
            </w:hyperlink>
          </w:p>
        </w:tc>
        <w:tc>
          <w:tcPr>
            <w:tcW w:w="20" w:type="dxa"/>
            <w:vAlign w:val="bottom"/>
            <w:tcBorders>
              <w:bottom w:val="single" w:sz="8" w:color="0000EE"/>
            </w:tcBorders>
          </w:tcPr>
          <w:p>
            <w:pPr>
              <w:spacing w:after="0"/>
              <w:rPr>
                <w:sz w:val="24"/>
                <w:szCs w:val="24"/>
                <w:color w:val="auto"/>
              </w:rPr>
            </w:pPr>
          </w:p>
        </w:tc>
        <w:tc>
          <w:tcPr>
            <w:tcW w:w="1220" w:type="dxa"/>
            <w:vAlign w:val="bottom"/>
            <w:gridSpan w:val="12"/>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29, 2013</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Certificate of Amendment to Amended and Restated Certificate of Incorporation of</w:t>
              </w:r>
            </w:hyperlink>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7, 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5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the Registrant, as currently in effect</w:t>
              </w:r>
            </w:hyperlink>
          </w:p>
        </w:tc>
        <w:tc>
          <w:tcPr>
            <w:tcW w:w="20" w:type="dxa"/>
            <w:vAlign w:val="bottom"/>
            <w:tcBorders>
              <w:bottom w:val="single" w:sz="8" w:color="0000EE"/>
            </w:tcBorders>
          </w:tcPr>
          <w:p>
            <w:pPr>
              <w:spacing w:after="0"/>
              <w:rPr>
                <w:sz w:val="17"/>
                <w:szCs w:val="17"/>
                <w:color w:val="auto"/>
              </w:rPr>
            </w:pPr>
          </w:p>
        </w:tc>
        <w:tc>
          <w:tcPr>
            <w:tcW w:w="3580" w:type="dxa"/>
            <w:vAlign w:val="bottom"/>
            <w:gridSpan w:val="22"/>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55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Certificate of Designation of Preferences, Rights and Limitations of Class A</w:t>
              </w:r>
            </w:hyperlink>
          </w:p>
        </w:tc>
        <w:tc>
          <w:tcPr>
            <w:tcW w:w="640" w:type="dxa"/>
            <w:vAlign w:val="bottom"/>
            <w:gridSpan w:val="8"/>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29, 2016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180" w:type="dxa"/>
            <w:vAlign w:val="bottom"/>
            <w:gridSpan w:val="32"/>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Convertible Preferred Stock</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6180" w:type="dxa"/>
            <w:vAlign w:val="bottom"/>
            <w:gridSpan w:val="32"/>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Amended and Restated Bylaws of the Registrant, as currently in effect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7"/>
              </w:rPr>
              <w:t>3.3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59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Certificate of Amendment to Certificate of Designation of Preferences, Rights and</w:t>
              </w:r>
            </w:hyperlink>
          </w:p>
        </w:tc>
        <w:tc>
          <w:tcPr>
            <w:tcW w:w="20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19, 2023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Limitation of Class A Convertible Preferred Stock of the Registrant</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6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Certificate of Amendment to Amended and Restated Certificate of Incorporation of</w:t>
              </w:r>
            </w:hyperlink>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10, 2024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5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the Registrant, as currently in effect</w:t>
              </w:r>
            </w:hyperlink>
          </w:p>
        </w:tc>
        <w:tc>
          <w:tcPr>
            <w:tcW w:w="20" w:type="dxa"/>
            <w:vAlign w:val="bottom"/>
            <w:tcBorders>
              <w:bottom w:val="single" w:sz="8" w:color="0000EE"/>
            </w:tcBorders>
          </w:tcPr>
          <w:p>
            <w:pPr>
              <w:spacing w:after="0"/>
              <w:rPr>
                <w:sz w:val="17"/>
                <w:szCs w:val="17"/>
                <w:color w:val="auto"/>
              </w:rPr>
            </w:pPr>
          </w:p>
        </w:tc>
        <w:tc>
          <w:tcPr>
            <w:tcW w:w="3580" w:type="dxa"/>
            <w:vAlign w:val="bottom"/>
            <w:gridSpan w:val="22"/>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6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Certificate of Amendment to Amended and Restated Certificate of Incorporation of</w:t>
              </w:r>
            </w:hyperlink>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30, 2025</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5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the Registrant, as currently in effect</w:t>
              </w:r>
            </w:hyperlink>
          </w:p>
        </w:tc>
        <w:tc>
          <w:tcPr>
            <w:tcW w:w="20" w:type="dxa"/>
            <w:vAlign w:val="bottom"/>
            <w:tcBorders>
              <w:bottom w:val="single" w:sz="8" w:color="0000EE"/>
            </w:tcBorders>
          </w:tcPr>
          <w:p>
            <w:pPr>
              <w:spacing w:after="0"/>
              <w:rPr>
                <w:sz w:val="17"/>
                <w:szCs w:val="17"/>
                <w:color w:val="auto"/>
              </w:rPr>
            </w:pPr>
          </w:p>
        </w:tc>
        <w:tc>
          <w:tcPr>
            <w:tcW w:w="3580" w:type="dxa"/>
            <w:vAlign w:val="bottom"/>
            <w:gridSpan w:val="22"/>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180" w:type="dxa"/>
            <w:vAlign w:val="bottom"/>
            <w:gridSpan w:val="32"/>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Specimen Common Stock Certificate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29, 2013</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68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Form of Pre-Funded Warrant</w:t>
              </w:r>
            </w:hyperlink>
          </w:p>
        </w:tc>
        <w:tc>
          <w:tcPr>
            <w:tcW w:w="3500" w:type="dxa"/>
            <w:vAlign w:val="bottom"/>
            <w:gridSpan w:val="21"/>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8,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6180" w:type="dxa"/>
            <w:vAlign w:val="bottom"/>
            <w:gridSpan w:val="32"/>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Form of Pre-Funded Warrant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7"/>
              </w:rPr>
              <w:t>4.1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0" w:type="dxa"/>
            <w:vAlign w:val="bottom"/>
            <w:tcBorders>
              <w:top w:val="single" w:sz="8" w:color="0000FF"/>
              <w:bottom w:val="single" w:sz="8" w:color="0000EE"/>
            </w:tcBorders>
          </w:tcPr>
          <w:p>
            <w:pPr>
              <w:spacing w:after="0"/>
              <w:rPr>
                <w:sz w:val="24"/>
                <w:szCs w:val="24"/>
                <w:color w:val="auto"/>
              </w:rPr>
            </w:pPr>
          </w:p>
        </w:tc>
        <w:tc>
          <w:tcPr>
            <w:tcW w:w="300" w:type="dxa"/>
            <w:vAlign w:val="bottom"/>
            <w:tcBorders>
              <w:top w:val="single" w:sz="8" w:color="0000FF"/>
            </w:tcBorders>
            <w:gridSpan w:val="2"/>
          </w:tcPr>
          <w:p>
            <w:pPr>
              <w:spacing w:after="0"/>
              <w:rPr>
                <w:sz w:val="24"/>
                <w:szCs w:val="24"/>
                <w:color w:val="auto"/>
              </w:rPr>
            </w:pPr>
          </w:p>
        </w:tc>
        <w:tc>
          <w:tcPr>
            <w:tcW w:w="4060" w:type="dxa"/>
            <w:vAlign w:val="bottom"/>
            <w:gridSpan w:val="24"/>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5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Amended and Restated 2013 Stock Option and Incentive Plan and forms of</w:t>
              </w:r>
            </w:hyperlink>
          </w:p>
        </w:tc>
        <w:tc>
          <w:tcPr>
            <w:tcW w:w="720" w:type="dxa"/>
            <w:vAlign w:val="bottom"/>
            <w:gridSpan w:val="9"/>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agreements thereunder</w:t>
              </w:r>
            </w:hyperlink>
          </w:p>
        </w:tc>
        <w:tc>
          <w:tcPr>
            <w:tcW w:w="20" w:type="dxa"/>
            <w:vAlign w:val="bottom"/>
            <w:tcBorders>
              <w:bottom w:val="single" w:sz="8" w:color="0000EE"/>
            </w:tcBorders>
          </w:tcPr>
          <w:p>
            <w:pPr>
              <w:spacing w:after="0"/>
              <w:rPr>
                <w:sz w:val="17"/>
                <w:szCs w:val="17"/>
                <w:color w:val="auto"/>
              </w:rPr>
            </w:pPr>
          </w:p>
        </w:tc>
        <w:tc>
          <w:tcPr>
            <w:tcW w:w="4520" w:type="dxa"/>
            <w:vAlign w:val="bottom"/>
            <w:gridSpan w:val="28"/>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58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Form of Unrestricted Stock Award Agreement under the 2013 Stock Option and</w:t>
              </w:r>
            </w:hyperlink>
          </w:p>
        </w:tc>
        <w:tc>
          <w:tcPr>
            <w:tcW w:w="36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2015</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76">
              <w:r>
                <w:rPr>
                  <w:rFonts w:ascii="Times New Roman" w:cs="Times New Roman" w:eastAsia="Times New Roman" w:hAnsi="Times New Roman"/>
                  <w:sz w:val="18"/>
                  <w:szCs w:val="18"/>
                  <w:color w:val="0000FF"/>
                  <w:w w:val="98"/>
                </w:rPr>
                <w:t>Incentive Plan</w:t>
              </w:r>
            </w:hyperlink>
          </w:p>
        </w:tc>
        <w:tc>
          <w:tcPr>
            <w:tcW w:w="5140" w:type="dxa"/>
            <w:vAlign w:val="bottom"/>
            <w:gridSpan w:val="30"/>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4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Amended and Restated Senior Executive Incentive Bonus Plan</w:t>
              </w:r>
            </w:hyperlink>
          </w:p>
        </w:tc>
        <w:tc>
          <w:tcPr>
            <w:tcW w:w="20" w:type="dxa"/>
            <w:vAlign w:val="bottom"/>
            <w:tcBorders>
              <w:bottom w:val="single" w:sz="8" w:color="0000EE"/>
            </w:tcBorders>
          </w:tcPr>
          <w:p>
            <w:pPr>
              <w:spacing w:after="0"/>
              <w:rPr>
                <w:sz w:val="24"/>
                <w:szCs w:val="24"/>
                <w:color w:val="auto"/>
              </w:rPr>
            </w:pPr>
          </w:p>
        </w:tc>
        <w:tc>
          <w:tcPr>
            <w:tcW w:w="1620" w:type="dxa"/>
            <w:vAlign w:val="bottom"/>
            <w:gridSpan w:val="18"/>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2015</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6180" w:type="dxa"/>
            <w:vAlign w:val="bottom"/>
            <w:gridSpan w:val="32"/>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Amended and Restated Non-Employee Director Compensation Policy</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11"/>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6180" w:type="dxa"/>
            <w:vAlign w:val="bottom"/>
            <w:gridSpan w:val="32"/>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Fate Therapeutics, Inc. Amended and Restated Inducement Equity Plan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11"/>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6"/>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59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Forms of Stock Option Agreement under the Registrant's Inducement Equity Plan</w:t>
              </w:r>
            </w:hyperlink>
          </w:p>
        </w:tc>
        <w:tc>
          <w:tcPr>
            <w:tcW w:w="20" w:type="dxa"/>
            <w:vAlign w:val="bottom"/>
            <w:tcBorders>
              <w:bottom w:val="single" w:sz="8" w:color="0000EE"/>
            </w:tcBorders>
          </w:tcPr>
          <w:p>
            <w:pPr>
              <w:spacing w:after="0"/>
              <w:rPr>
                <w:sz w:val="24"/>
                <w:szCs w:val="24"/>
                <w:color w:val="auto"/>
              </w:rPr>
            </w:pPr>
          </w:p>
        </w:tc>
        <w:tc>
          <w:tcPr>
            <w:tcW w:w="2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61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Forms of Restricted Stock Unit Award Agreement under the Registrant's Inducement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rPr>
              <w:t>10.10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180" w:type="dxa"/>
            <w:vAlign w:val="bottom"/>
            <w:gridSpan w:val="32"/>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Equity Plan</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56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Lease Agreement by and between the Registrant and ARE-3535/3565 General</w:t>
              </w:r>
            </w:hyperlink>
          </w:p>
        </w:tc>
        <w:tc>
          <w:tcPr>
            <w:tcW w:w="500" w:type="dxa"/>
            <w:vAlign w:val="bottom"/>
            <w:gridSpan w:val="7"/>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10.14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180" w:type="dxa"/>
            <w:vAlign w:val="bottom"/>
            <w:gridSpan w:val="32"/>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Atomics Court, LLC, dated December 3, 2009</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Borders>
              <w:right w:val="single" w:sz="8" w:color="0000EE"/>
            </w:tcBorders>
            <w:gridSpan w:val="1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57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First Amendment to Lease Agreement by and between the Registrant and ARE-</w:t>
              </w:r>
            </w:hyperlink>
          </w:p>
        </w:tc>
        <w:tc>
          <w:tcPr>
            <w:tcW w:w="42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10.15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3535/3565 General Atomics Court, LLC, dated October 1, 2011</w:t>
              </w:r>
            </w:hyperlink>
          </w:p>
        </w:tc>
        <w:tc>
          <w:tcPr>
            <w:tcW w:w="20" w:type="dxa"/>
            <w:vAlign w:val="bottom"/>
            <w:tcBorders>
              <w:bottom w:val="single" w:sz="8" w:color="0000EE"/>
            </w:tcBorders>
          </w:tcPr>
          <w:p>
            <w:pPr>
              <w:spacing w:after="0"/>
              <w:rPr>
                <w:sz w:val="17"/>
                <w:szCs w:val="17"/>
                <w:color w:val="auto"/>
              </w:rPr>
            </w:pPr>
          </w:p>
        </w:tc>
        <w:tc>
          <w:tcPr>
            <w:tcW w:w="154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140" w:type="dxa"/>
            <w:vAlign w:val="bottom"/>
          </w:tcPr>
          <w:p>
            <w:pPr>
              <w:spacing w:after="0"/>
              <w:rPr>
                <w:sz w:val="24"/>
                <w:szCs w:val="24"/>
                <w:color w:val="auto"/>
              </w:rPr>
            </w:pPr>
          </w:p>
        </w:tc>
        <w:tc>
          <w:tcPr>
            <w:tcW w:w="4880" w:type="dxa"/>
            <w:vAlign w:val="bottom"/>
            <w:gridSpan w:val="17"/>
          </w:tcPr>
          <w:p>
            <w:pPr>
              <w:ind w:left="434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59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Second Amendment to Lease Agreement by and between the Registrant and ARE-</w:t>
              </w:r>
            </w:hyperlink>
          </w:p>
        </w:tc>
        <w:tc>
          <w:tcPr>
            <w:tcW w:w="220" w:type="dxa"/>
            <w:vAlign w:val="bottom"/>
            <w:gridSpan w:val="3"/>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2013</w:t>
            </w:r>
          </w:p>
        </w:tc>
      </w:tr>
      <w:tr>
        <w:trPr>
          <w:trHeight w:val="196"/>
        </w:trPr>
        <w:tc>
          <w:tcPr>
            <w:tcW w:w="1140" w:type="dxa"/>
            <w:vAlign w:val="bottom"/>
          </w:tcPr>
          <w:p>
            <w:pPr>
              <w:spacing w:after="0"/>
              <w:rPr>
                <w:sz w:val="17"/>
                <w:szCs w:val="17"/>
                <w:color w:val="auto"/>
              </w:rPr>
            </w:pPr>
          </w:p>
        </w:tc>
        <w:tc>
          <w:tcPr>
            <w:tcW w:w="6180" w:type="dxa"/>
            <w:vAlign w:val="bottom"/>
            <w:gridSpan w:val="23"/>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3535/3565 General Atomics Court, dated September 26, 2013</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6180" w:type="dxa"/>
            <w:vAlign w:val="bottom"/>
            <w:gridSpan w:val="23"/>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Third Amendment to Lease Agreement by and between the Registrant and ARE-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10.15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2016</w:t>
            </w:r>
          </w:p>
        </w:tc>
      </w:tr>
      <w:tr>
        <w:trPr>
          <w:trHeight w:val="196"/>
        </w:trPr>
        <w:tc>
          <w:tcPr>
            <w:tcW w:w="114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3535/3565 General Atomics Court, dated September 2, 2014</w:t>
              </w:r>
            </w:hyperlink>
          </w:p>
        </w:tc>
        <w:tc>
          <w:tcPr>
            <w:tcW w:w="1440" w:type="dxa"/>
            <w:vAlign w:val="bottom"/>
            <w:tcBorders>
              <w:top w:val="single" w:sz="8" w:color="0000FF"/>
            </w:tcBorders>
            <w:gridSpan w:val="5"/>
          </w:tcPr>
          <w:p>
            <w:pPr>
              <w:spacing w:after="0"/>
              <w:rPr>
                <w:sz w:val="17"/>
                <w:szCs w:val="17"/>
                <w:color w:val="auto"/>
              </w:rPr>
            </w:pPr>
          </w:p>
        </w:tc>
        <w:tc>
          <w:tcPr>
            <w:tcW w:w="3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6180" w:type="dxa"/>
            <w:vAlign w:val="bottom"/>
            <w:gridSpan w:val="23"/>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Fourth Amendment to Lease Agreement by and between the Registrant and ARE-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10.16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2016</w:t>
            </w:r>
          </w:p>
        </w:tc>
      </w:tr>
      <w:tr>
        <w:trPr>
          <w:trHeight w:val="196"/>
        </w:trPr>
        <w:tc>
          <w:tcPr>
            <w:tcW w:w="114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3535/3565 General Atomics Court, dated March 2, 2015</w:t>
              </w:r>
            </w:hyperlink>
          </w:p>
        </w:tc>
        <w:tc>
          <w:tcPr>
            <w:tcW w:w="20" w:type="dxa"/>
            <w:vAlign w:val="bottom"/>
            <w:tcBorders>
              <w:top w:val="single" w:sz="8" w:color="0000FF"/>
              <w:bottom w:val="single" w:sz="8" w:color="0000EE"/>
            </w:tcBorders>
          </w:tcPr>
          <w:p>
            <w:pPr>
              <w:spacing w:after="0"/>
              <w:rPr>
                <w:sz w:val="17"/>
                <w:szCs w:val="17"/>
                <w:color w:val="auto"/>
              </w:rPr>
            </w:pPr>
          </w:p>
        </w:tc>
        <w:tc>
          <w:tcPr>
            <w:tcW w:w="1800" w:type="dxa"/>
            <w:vAlign w:val="bottom"/>
            <w:tcBorders>
              <w:top w:val="single" w:sz="8" w:color="0000FF"/>
            </w:tcBorders>
            <w:gridSpan w:val="8"/>
          </w:tcPr>
          <w:p>
            <w:pPr>
              <w:spacing w:after="0"/>
              <w:rPr>
                <w:sz w:val="17"/>
                <w:szCs w:val="17"/>
                <w:color w:val="auto"/>
              </w:rPr>
            </w:pPr>
          </w:p>
        </w:tc>
        <w:tc>
          <w:tcPr>
            <w:tcW w:w="2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5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Fifth Amendment to Lease Agreement by and between the Registrant and ARE-</w:t>
              </w:r>
            </w:hyperlink>
          </w:p>
        </w:tc>
        <w:tc>
          <w:tcPr>
            <w:tcW w:w="400" w:type="dxa"/>
            <w:vAlign w:val="bottom"/>
            <w:gridSpan w:val="7"/>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8, 2016</w:t>
            </w:r>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3535/3565 General Atomics Court, dated June 1, 2016</w:t>
              </w:r>
            </w:hyperlink>
          </w:p>
        </w:tc>
        <w:tc>
          <w:tcPr>
            <w:tcW w:w="20" w:type="dxa"/>
            <w:vAlign w:val="bottom"/>
            <w:tcBorders>
              <w:bottom w:val="single" w:sz="8" w:color="0000EE"/>
            </w:tcBorders>
          </w:tcPr>
          <w:p>
            <w:pPr>
              <w:spacing w:after="0"/>
              <w:rPr>
                <w:sz w:val="17"/>
                <w:szCs w:val="17"/>
                <w:color w:val="auto"/>
              </w:rPr>
            </w:pPr>
          </w:p>
        </w:tc>
        <w:tc>
          <w:tcPr>
            <w:tcW w:w="222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60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Whitehead Institute for Biomedical Research Exclusive Patent License Agreement</w:t>
              </w:r>
            </w:hyperlink>
          </w:p>
        </w:tc>
        <w:tc>
          <w:tcPr>
            <w:tcW w:w="18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196"/>
        </w:trPr>
        <w:tc>
          <w:tcPr>
            <w:tcW w:w="1140" w:type="dxa"/>
            <w:vAlign w:val="bottom"/>
          </w:tcPr>
          <w:p>
            <w:pPr>
              <w:spacing w:after="0"/>
              <w:rPr>
                <w:sz w:val="17"/>
                <w:szCs w:val="17"/>
                <w:color w:val="auto"/>
              </w:rPr>
            </w:pPr>
          </w:p>
        </w:tc>
        <w:tc>
          <w:tcPr>
            <w:tcW w:w="60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between the Registrant and the Whitehead Institute for Biomedical Research, dated</w:t>
              </w:r>
            </w:hyperlink>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7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as of February 24, 2009</w:t>
              </w:r>
            </w:hyperlink>
          </w:p>
        </w:tc>
        <w:tc>
          <w:tcPr>
            <w:tcW w:w="20" w:type="dxa"/>
            <w:vAlign w:val="bottom"/>
            <w:tcBorders>
              <w:bottom w:val="single" w:sz="8" w:color="0000EE"/>
            </w:tcBorders>
          </w:tcPr>
          <w:p>
            <w:pPr>
              <w:spacing w:after="0"/>
              <w:rPr>
                <w:sz w:val="17"/>
                <w:szCs w:val="17"/>
                <w:color w:val="auto"/>
              </w:rPr>
            </w:pPr>
          </w:p>
        </w:tc>
        <w:tc>
          <w:tcPr>
            <w:tcW w:w="444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61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10.20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196"/>
        </w:trPr>
        <w:tc>
          <w:tcPr>
            <w:tcW w:w="1140" w:type="dxa"/>
            <w:vAlign w:val="bottom"/>
          </w:tcPr>
          <w:p>
            <w:pPr>
              <w:spacing w:after="0"/>
              <w:rPr>
                <w:sz w:val="17"/>
                <w:szCs w:val="17"/>
                <w:color w:val="auto"/>
              </w:rPr>
            </w:pPr>
          </w:p>
        </w:tc>
        <w:tc>
          <w:tcPr>
            <w:tcW w:w="6180" w:type="dxa"/>
            <w:vAlign w:val="bottom"/>
            <w:gridSpan w:val="23"/>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as of July 13, 2009</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61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10.21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196"/>
        </w:trPr>
        <w:tc>
          <w:tcPr>
            <w:tcW w:w="114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92">
              <w:r>
                <w:rPr>
                  <w:rFonts w:ascii="Times New Roman" w:cs="Times New Roman" w:eastAsia="Times New Roman" w:hAnsi="Times New Roman"/>
                  <w:sz w:val="18"/>
                  <w:szCs w:val="18"/>
                  <w:color w:val="0000FF"/>
                  <w:w w:val="98"/>
                </w:rPr>
                <w:t>as of May 25, 2010</w:t>
              </w:r>
            </w:hyperlink>
          </w:p>
        </w:tc>
        <w:tc>
          <w:tcPr>
            <w:tcW w:w="20" w:type="dxa"/>
            <w:vAlign w:val="bottom"/>
            <w:tcBorders>
              <w:bottom w:val="single" w:sz="8" w:color="0000EE"/>
            </w:tcBorders>
          </w:tcPr>
          <w:p>
            <w:pPr>
              <w:spacing w:after="0"/>
              <w:rPr>
                <w:sz w:val="17"/>
                <w:szCs w:val="17"/>
                <w:color w:val="auto"/>
              </w:rPr>
            </w:pPr>
          </w:p>
        </w:tc>
        <w:tc>
          <w:tcPr>
            <w:tcW w:w="4760" w:type="dxa"/>
            <w:vAlign w:val="bottom"/>
            <w:gridSpan w:val="19"/>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61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196"/>
        </w:trPr>
        <w:tc>
          <w:tcPr>
            <w:tcW w:w="1140" w:type="dxa"/>
            <w:vAlign w:val="bottom"/>
          </w:tcPr>
          <w:p>
            <w:pPr>
              <w:spacing w:after="0"/>
              <w:rPr>
                <w:sz w:val="17"/>
                <w:szCs w:val="17"/>
                <w:color w:val="auto"/>
              </w:rPr>
            </w:pPr>
          </w:p>
        </w:tc>
        <w:tc>
          <w:tcPr>
            <w:tcW w:w="6180" w:type="dxa"/>
            <w:vAlign w:val="bottom"/>
            <w:gridSpan w:val="23"/>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as of August 24, 2010</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4"/>
            <w:shd w:val="clear" w:color="auto" w:fill="0000FF"/>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45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Severance and Change in Control Policy, as currently in effect</w:t>
              </w:r>
            </w:hyperlink>
          </w:p>
        </w:tc>
        <w:tc>
          <w:tcPr>
            <w:tcW w:w="20" w:type="dxa"/>
            <w:vAlign w:val="bottom"/>
            <w:tcBorders>
              <w:bottom w:val="single" w:sz="8" w:color="0000EE"/>
            </w:tcBorders>
          </w:tcPr>
          <w:p>
            <w:pPr>
              <w:spacing w:after="0"/>
              <w:rPr>
                <w:sz w:val="24"/>
                <w:szCs w:val="24"/>
                <w:color w:val="auto"/>
              </w:rPr>
            </w:pPr>
          </w:p>
        </w:tc>
        <w:tc>
          <w:tcPr>
            <w:tcW w:w="1660" w:type="dxa"/>
            <w:vAlign w:val="bottom"/>
            <w:gridSpan w:val="8"/>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13, 2025</w:t>
            </w: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6180" w:type="dxa"/>
            <w:vAlign w:val="bottom"/>
            <w:gridSpan w:val="23"/>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Offer Letter by and between the Registrant and Cindy R. Tahl, dated October 23,</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2019</w:t>
            </w: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95">
              <w:r>
                <w:rPr>
                  <w:rFonts w:ascii="Times New Roman" w:cs="Times New Roman" w:eastAsia="Times New Roman" w:hAnsi="Times New Roman"/>
                  <w:sz w:val="18"/>
                  <w:szCs w:val="18"/>
                  <w:color w:val="0000FF"/>
                  <w:w w:val="94"/>
                </w:rPr>
                <w:t>2009</w:t>
              </w:r>
            </w:hyperlink>
          </w:p>
        </w:tc>
        <w:tc>
          <w:tcPr>
            <w:tcW w:w="10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5780" w:type="dxa"/>
            <w:vAlign w:val="bottom"/>
            <w:gridSpan w:val="16"/>
          </w:tcPr>
          <w:p>
            <w:pPr>
              <w:ind w:left="4340"/>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10.20</w:t>
            </w:r>
          </w:p>
        </w:tc>
        <w:tc>
          <w:tcPr>
            <w:tcW w:w="60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Sixth Amendment to the Lease Agreement by and between the Registrant and ARE-</w:t>
              </w:r>
            </w:hyperlink>
          </w:p>
        </w:tc>
        <w:tc>
          <w:tcPr>
            <w:tcW w:w="100" w:type="dxa"/>
            <w:vAlign w:val="bottom"/>
            <w:gridSpan w:val="4"/>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3535/3565 General Atomics Court, dated May 31, 2018</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10.21</w:t>
            </w:r>
          </w:p>
        </w:tc>
        <w:tc>
          <w:tcPr>
            <w:tcW w:w="61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Amended and Restated Exclusive License Agreement by and between the Registrant</w:t>
              </w:r>
            </w:hyperlink>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and Memorial Sloan Kettering Cancer Center, dated May 15, 2018</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10.22†</w:t>
            </w:r>
          </w:p>
        </w:tc>
        <w:tc>
          <w:tcPr>
            <w:tcW w:w="55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Exclusive License Agreement by and between the Registrant and The David</w:t>
              </w:r>
            </w:hyperlink>
          </w:p>
        </w:tc>
        <w:tc>
          <w:tcPr>
            <w:tcW w:w="640" w:type="dxa"/>
            <w:vAlign w:val="bottom"/>
            <w:gridSpan w:val="14"/>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Gladstone Institutes, dated September 11, 2018</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10.23†</w:t>
            </w:r>
          </w:p>
        </w:tc>
        <w:tc>
          <w:tcPr>
            <w:tcW w:w="5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Collaboration and Option Agreement by and between the Registrant and Ono</w:t>
              </w:r>
            </w:hyperlink>
          </w:p>
        </w:tc>
        <w:tc>
          <w:tcPr>
            <w:tcW w:w="540" w:type="dxa"/>
            <w:vAlign w:val="bottom"/>
            <w:gridSpan w:val="11"/>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8"/>
              </w:rPr>
              <w:t>10-Q/A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Pharmaceutical Co., Ltd., dated September 14, 2018</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10.24†</w:t>
            </w:r>
          </w:p>
        </w:tc>
        <w:tc>
          <w:tcPr>
            <w:tcW w:w="59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Lease Agreement by and between the Registrant and Scripps Summit Investments</w:t>
              </w:r>
            </w:hyperlink>
          </w:p>
        </w:tc>
        <w:tc>
          <w:tcPr>
            <w:tcW w:w="200" w:type="dxa"/>
            <w:vAlign w:val="bottom"/>
            <w:gridSpan w:val="7"/>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LLC, dated January 7, 2020</w:t>
              </w:r>
            </w:hyperlink>
          </w:p>
        </w:tc>
        <w:tc>
          <w:tcPr>
            <w:tcW w:w="20" w:type="dxa"/>
            <w:vAlign w:val="bottom"/>
            <w:tcBorders>
              <w:bottom w:val="single" w:sz="8" w:color="0000EE"/>
            </w:tcBorders>
          </w:tcPr>
          <w:p>
            <w:pPr>
              <w:spacing w:after="0"/>
              <w:rPr>
                <w:sz w:val="17"/>
                <w:szCs w:val="17"/>
                <w:color w:val="auto"/>
              </w:rPr>
            </w:pPr>
          </w:p>
        </w:tc>
        <w:tc>
          <w:tcPr>
            <w:tcW w:w="4140" w:type="dxa"/>
            <w:vAlign w:val="bottom"/>
            <w:gridSpan w:val="30"/>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10.25†</w:t>
            </w:r>
          </w:p>
        </w:tc>
        <w:tc>
          <w:tcPr>
            <w:tcW w:w="61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Letter Agreement, dated December 4, 2020, by and between the Registrant and Ono</w:t>
              </w:r>
            </w:hyperlink>
          </w:p>
        </w:tc>
        <w:tc>
          <w:tcPr>
            <w:tcW w:w="80" w:type="dxa"/>
            <w:vAlign w:val="bottom"/>
            <w:gridSpan w:val="3"/>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rPr>
              <w:t>10.39</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Pharmaceutical Co., Ltd.</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32"/>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10.26†</w:t>
            </w:r>
          </w:p>
        </w:tc>
        <w:tc>
          <w:tcPr>
            <w:tcW w:w="5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04">
              <w:r>
                <w:rPr>
                  <w:rFonts w:ascii="Times New Roman" w:cs="Times New Roman" w:eastAsia="Times New Roman" w:hAnsi="Times New Roman"/>
                  <w:sz w:val="18"/>
                  <w:szCs w:val="18"/>
                  <w:color w:val="0000FF"/>
                  <w:w w:val="99"/>
                </w:rPr>
                <w:t>Patent License Agreement by and between the Registrant and Max-Delbrück-</w:t>
              </w:r>
            </w:hyperlink>
          </w:p>
        </w:tc>
        <w:tc>
          <w:tcPr>
            <w:tcW w:w="20" w:type="dxa"/>
            <w:vAlign w:val="bottom"/>
            <w:tcBorders>
              <w:bottom w:val="single" w:sz="8" w:color="0000EE"/>
            </w:tcBorders>
          </w:tcPr>
          <w:p>
            <w:pPr>
              <w:spacing w:after="0"/>
              <w:rPr>
                <w:sz w:val="24"/>
                <w:szCs w:val="24"/>
                <w:color w:val="auto"/>
              </w:rPr>
            </w:pPr>
          </w:p>
        </w:tc>
        <w:tc>
          <w:tcPr>
            <w:tcW w:w="560" w:type="dxa"/>
            <w:vAlign w:val="bottom"/>
            <w:gridSpan w:val="1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rPr>
              <w:t>10.40</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Centrum für Molekulare Medizin in der Helmholtz-Gemeinschaft, dated August 30,</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04">
              <w:r>
                <w:rPr>
                  <w:rFonts w:ascii="Times New Roman" w:cs="Times New Roman" w:eastAsia="Times New Roman" w:hAnsi="Times New Roman"/>
                  <w:sz w:val="18"/>
                  <w:szCs w:val="18"/>
                  <w:color w:val="0000FF"/>
                  <w:w w:val="94"/>
                </w:rPr>
                <w:t>2019</w:t>
              </w:r>
            </w:hyperlink>
          </w:p>
        </w:tc>
        <w:tc>
          <w:tcPr>
            <w:tcW w:w="7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10.27</w:t>
            </w:r>
          </w:p>
        </w:tc>
        <w:tc>
          <w:tcPr>
            <w:tcW w:w="2160" w:type="dxa"/>
            <w:vAlign w:val="bottom"/>
            <w:gridSpan w:val="8"/>
            <w:vMerge w:val="restart"/>
          </w:tcPr>
          <w:p>
            <w:pPr>
              <w:spacing w:after="0"/>
              <w:rPr>
                <w:rFonts w:ascii="Times New Roman" w:cs="Times New Roman" w:eastAsia="Times New Roman" w:hAnsi="Times New Roman"/>
                <w:sz w:val="18"/>
                <w:szCs w:val="18"/>
                <w:color w:val="0000FF"/>
                <w:w w:val="99"/>
              </w:rPr>
            </w:pPr>
            <w:hyperlink r:id="rId405">
              <w:r>
                <w:rPr>
                  <w:rFonts w:ascii="Times New Roman" w:cs="Times New Roman" w:eastAsia="Times New Roman" w:hAnsi="Times New Roman"/>
                  <w:sz w:val="18"/>
                  <w:szCs w:val="18"/>
                  <w:color w:val="0000FF"/>
                  <w:w w:val="99"/>
                </w:rPr>
                <w:t>Open Market Sale Agreement</w:t>
              </w:r>
            </w:hyperlink>
          </w:p>
        </w:tc>
        <w:tc>
          <w:tcPr>
            <w:tcW w:w="180" w:type="dxa"/>
            <w:vAlign w:val="bottom"/>
            <w:tcBorders>
              <w:bottom w:val="single" w:sz="8" w:color="0000FF"/>
            </w:tcBorders>
            <w:gridSpan w:val="2"/>
          </w:tcPr>
          <w:p>
            <w:pPr>
              <w:spacing w:after="0"/>
              <w:rPr>
                <w:rFonts w:ascii="Times New Roman" w:cs="Times New Roman" w:eastAsia="Times New Roman" w:hAnsi="Times New Roman"/>
                <w:sz w:val="12"/>
                <w:szCs w:val="12"/>
                <w:color w:val="0000FF"/>
                <w:w w:val="91"/>
              </w:rPr>
            </w:pPr>
            <w:hyperlink r:id="rId405">
              <w:r>
                <w:rPr>
                  <w:rFonts w:ascii="Times New Roman" w:cs="Times New Roman" w:eastAsia="Times New Roman" w:hAnsi="Times New Roman"/>
                  <w:sz w:val="12"/>
                  <w:szCs w:val="12"/>
                  <w:color w:val="0000FF"/>
                  <w:w w:val="91"/>
                </w:rPr>
                <w:t>SM</w:t>
              </w:r>
            </w:hyperlink>
          </w:p>
        </w:tc>
        <w:tc>
          <w:tcPr>
            <w:tcW w:w="3380" w:type="dxa"/>
            <w:vAlign w:val="bottom"/>
            <w:gridSpan w:val="17"/>
            <w:vMerge w:val="restart"/>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 dated November 8, 2023, by and between the</w:t>
              </w:r>
            </w:hyperlink>
          </w:p>
        </w:tc>
        <w:tc>
          <w:tcPr>
            <w:tcW w:w="460" w:type="dxa"/>
            <w:vAlign w:val="bottom"/>
            <w:gridSpan w:val="9"/>
            <w:vMerge w:val="restart"/>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52525"/>
              </w:rPr>
              <w:t>S-3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52525"/>
                <w:w w:val="98"/>
              </w:rPr>
              <w:t>333-275402</w:t>
            </w:r>
          </w:p>
        </w:tc>
        <w:tc>
          <w:tcPr>
            <w:tcW w:w="5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252525"/>
                <w:w w:val="97"/>
              </w:rPr>
              <w:t>1.2</w:t>
            </w:r>
          </w:p>
        </w:tc>
        <w:tc>
          <w:tcPr>
            <w:tcW w:w="0" w:type="dxa"/>
            <w:vAlign w:val="bottom"/>
          </w:tcPr>
          <w:p>
            <w:pPr>
              <w:spacing w:after="0"/>
              <w:rPr>
                <w:sz w:val="1"/>
                <w:szCs w:val="1"/>
                <w:color w:val="auto"/>
              </w:rPr>
            </w:pPr>
          </w:p>
        </w:tc>
      </w:tr>
      <w:tr>
        <w:trPr>
          <w:trHeight w:val="66"/>
        </w:trPr>
        <w:tc>
          <w:tcPr>
            <w:tcW w:w="820" w:type="dxa"/>
            <w:vAlign w:val="bottom"/>
            <w:vMerge w:val="continue"/>
          </w:tcPr>
          <w:p>
            <w:pPr>
              <w:spacing w:after="0"/>
              <w:rPr>
                <w:sz w:val="5"/>
                <w:szCs w:val="5"/>
                <w:color w:val="auto"/>
              </w:rPr>
            </w:pPr>
          </w:p>
        </w:tc>
        <w:tc>
          <w:tcPr>
            <w:tcW w:w="2160" w:type="dxa"/>
            <w:vAlign w:val="bottom"/>
            <w:tcBorders>
              <w:bottom w:val="single" w:sz="8" w:color="0000FF"/>
            </w:tcBorders>
            <w:gridSpan w:val="8"/>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3380" w:type="dxa"/>
            <w:vAlign w:val="bottom"/>
            <w:tcBorders>
              <w:bottom w:val="single" w:sz="8" w:color="0000FF"/>
            </w:tcBorders>
            <w:gridSpan w:val="17"/>
            <w:vMerge w:val="continue"/>
          </w:tcPr>
          <w:p>
            <w:pPr>
              <w:spacing w:after="0"/>
              <w:rPr>
                <w:sz w:val="5"/>
                <w:szCs w:val="5"/>
                <w:color w:val="auto"/>
              </w:rPr>
            </w:pPr>
          </w:p>
        </w:tc>
        <w:tc>
          <w:tcPr>
            <w:tcW w:w="460" w:type="dxa"/>
            <w:vAlign w:val="bottom"/>
            <w:gridSpan w:val="9"/>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Registrant and Jefferies LLC</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10.28†</w:t>
            </w:r>
          </w:p>
        </w:tc>
        <w:tc>
          <w:tcPr>
            <w:tcW w:w="59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406">
              <w:r>
                <w:rPr>
                  <w:rFonts w:ascii="Times New Roman" w:cs="Times New Roman" w:eastAsia="Times New Roman" w:hAnsi="Times New Roman"/>
                  <w:sz w:val="18"/>
                  <w:szCs w:val="18"/>
                  <w:color w:val="0000FF"/>
                  <w:w w:val="99"/>
                </w:rPr>
                <w:t>License Agreement, dated April 9, 2020, by and between the Registrant and Dana-</w:t>
              </w:r>
            </w:hyperlink>
          </w:p>
        </w:tc>
        <w:tc>
          <w:tcPr>
            <w:tcW w:w="220" w:type="dxa"/>
            <w:vAlign w:val="bottom"/>
            <w:gridSpan w:val="8"/>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rPr>
              <w:t>10.40</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1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Farber Cancer Institute, Inc.</w:t>
              </w:r>
            </w:hyperlink>
          </w:p>
        </w:tc>
        <w:tc>
          <w:tcPr>
            <w:tcW w:w="4080" w:type="dxa"/>
            <w:vAlign w:val="bottom"/>
            <w:gridSpan w:val="29"/>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10.29†</w:t>
            </w:r>
          </w:p>
        </w:tc>
        <w:tc>
          <w:tcPr>
            <w:tcW w:w="61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Amendment 01 to Collaboration and Option Agreement, dated June 28, 2022, by and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between the Registrant and Ono Pharmaceutical Co. Ltd.</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10.30</w:t>
            </w:r>
          </w:p>
        </w:tc>
        <w:tc>
          <w:tcPr>
            <w:tcW w:w="61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Letter Agreement, dated November 7, 2022, by and between the Registrant and Ono</w:t>
              </w:r>
            </w:hyperlink>
          </w:p>
        </w:tc>
        <w:tc>
          <w:tcPr>
            <w:tcW w:w="6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Pharmaceutical Co., Ltd.</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32"/>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10.31</w:t>
            </w:r>
          </w:p>
        </w:tc>
        <w:tc>
          <w:tcPr>
            <w:tcW w:w="60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Amendment 03 to Collaboration and Option Agreement, dated November 30, 2023,</w:t>
              </w:r>
            </w:hyperlink>
          </w:p>
        </w:tc>
        <w:tc>
          <w:tcPr>
            <w:tcW w:w="100" w:type="dxa"/>
            <w:vAlign w:val="bottom"/>
            <w:gridSpan w:val="4"/>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rPr>
              <w:t>10.41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6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by and between the Registrant and Ono Pharmaceutical Co. Ltd.</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18"/>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10.32†</w:t>
            </w:r>
          </w:p>
        </w:tc>
        <w:tc>
          <w:tcPr>
            <w:tcW w:w="6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Exclusive License Agreement, dated April 17, 2020, by and between the Registrant</w:t>
              </w:r>
            </w:hyperlink>
          </w:p>
        </w:tc>
        <w:tc>
          <w:tcPr>
            <w:tcW w:w="12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rPr>
              <w:t>10.42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and Baylor College of Medicine</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10.33</w:t>
            </w:r>
          </w:p>
        </w:tc>
        <w:tc>
          <w:tcPr>
            <w:tcW w:w="60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Securities Purchase Agreement, dated March 19, 2024, between the Registrant and</w:t>
              </w:r>
            </w:hyperlink>
          </w:p>
        </w:tc>
        <w:tc>
          <w:tcPr>
            <w:tcW w:w="18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RedCo II Master Fund, L.P.</w:t>
              </w:r>
            </w:hyperlink>
          </w:p>
        </w:tc>
        <w:tc>
          <w:tcPr>
            <w:tcW w:w="60" w:type="dxa"/>
            <w:vAlign w:val="bottom"/>
            <w:tcBorders>
              <w:bottom w:val="single" w:sz="8" w:color="0000EE"/>
            </w:tcBorders>
          </w:tcPr>
          <w:p>
            <w:pPr>
              <w:spacing w:after="0"/>
              <w:rPr>
                <w:sz w:val="17"/>
                <w:szCs w:val="17"/>
                <w:color w:val="auto"/>
              </w:rPr>
            </w:pPr>
          </w:p>
        </w:tc>
        <w:tc>
          <w:tcPr>
            <w:tcW w:w="4080" w:type="dxa"/>
            <w:vAlign w:val="bottom"/>
            <w:gridSpan w:val="29"/>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10.34</w:t>
            </w:r>
          </w:p>
        </w:tc>
        <w:tc>
          <w:tcPr>
            <w:tcW w:w="4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412">
              <w:r>
                <w:rPr>
                  <w:rFonts w:ascii="Times New Roman" w:cs="Times New Roman" w:eastAsia="Times New Roman" w:hAnsi="Times New Roman"/>
                  <w:sz w:val="18"/>
                  <w:szCs w:val="18"/>
                  <w:color w:val="0000FF"/>
                  <w:w w:val="99"/>
                </w:rPr>
                <w:t>Amended and Restated Form of Indemnification Agreement</w:t>
              </w:r>
            </w:hyperlink>
          </w:p>
        </w:tc>
        <w:tc>
          <w:tcPr>
            <w:tcW w:w="20" w:type="dxa"/>
            <w:vAlign w:val="bottom"/>
            <w:tcBorders>
              <w:bottom w:val="single" w:sz="8" w:color="0000EE"/>
            </w:tcBorders>
          </w:tcPr>
          <w:p>
            <w:pPr>
              <w:spacing w:after="0"/>
              <w:rPr>
                <w:sz w:val="24"/>
                <w:szCs w:val="24"/>
                <w:color w:val="auto"/>
              </w:rPr>
            </w:pPr>
          </w:p>
        </w:tc>
        <w:tc>
          <w:tcPr>
            <w:tcW w:w="1820" w:type="dxa"/>
            <w:vAlign w:val="bottom"/>
            <w:gridSpan w:val="20"/>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10.1</w:t>
            </w:r>
          </w:p>
        </w:tc>
        <w:tc>
          <w:tcPr>
            <w:tcW w:w="0" w:type="dxa"/>
            <w:vAlign w:val="bottom"/>
          </w:tcPr>
          <w:p>
            <w:pPr>
              <w:spacing w:after="0"/>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10.35†</w:t>
            </w:r>
          </w:p>
        </w:tc>
        <w:tc>
          <w:tcPr>
            <w:tcW w:w="56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Amendment No.4 to Collaboration and Option Agreement by and between the</w:t>
              </w:r>
            </w:hyperlink>
          </w:p>
        </w:tc>
        <w:tc>
          <w:tcPr>
            <w:tcW w:w="500" w:type="dxa"/>
            <w:vAlign w:val="bottom"/>
            <w:gridSpan w:val="10"/>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9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Registrant and Ono Pharmaceutical Co., Ltd, dated August 28, 2024</w:t>
              </w:r>
            </w:hyperlink>
          </w:p>
        </w:tc>
        <w:tc>
          <w:tcPr>
            <w:tcW w:w="20" w:type="dxa"/>
            <w:vAlign w:val="bottom"/>
            <w:tcBorders>
              <w:bottom w:val="single" w:sz="8" w:color="0000EE"/>
            </w:tcBorders>
          </w:tcPr>
          <w:p>
            <w:pPr>
              <w:spacing w:after="0"/>
              <w:rPr>
                <w:sz w:val="17"/>
                <w:szCs w:val="17"/>
                <w:color w:val="auto"/>
              </w:rPr>
            </w:pPr>
          </w:p>
        </w:tc>
        <w:tc>
          <w:tcPr>
            <w:tcW w:w="124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10.36#</w:t>
            </w:r>
          </w:p>
        </w:tc>
        <w:tc>
          <w:tcPr>
            <w:tcW w:w="61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Strategic Advisory Services Agreement between the Registrant and J. Scott Wolchko,</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w w:val="95"/>
              </w:rPr>
              <w:t>10.1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180" w:type="dxa"/>
            <w:vAlign w:val="bottom"/>
            <w:gridSpan w:val="36"/>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dated as of December 31, 2024</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EE"/>
            </w:tcBorders>
            <w:gridSpan w:val="7"/>
            <w:shd w:val="clear" w:color="auto" w:fill="0000FF"/>
          </w:tcPr>
          <w:p>
            <w:pPr>
              <w:spacing w:after="0" w:line="20" w:lineRule="exact"/>
              <w:rPr>
                <w:sz w:val="1"/>
                <w:szCs w:val="1"/>
                <w:color w:val="auto"/>
              </w:rPr>
            </w:pPr>
          </w:p>
        </w:tc>
        <w:tc>
          <w:tcPr>
            <w:tcW w:w="3920" w:type="dxa"/>
            <w:vAlign w:val="bottom"/>
            <w:gridSpan w:val="2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10.37#</w:t>
            </w:r>
          </w:p>
        </w:tc>
        <w:tc>
          <w:tcPr>
            <w:tcW w:w="61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Employment Agreement by and between the Registrant and Bahram Valamehr, dated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52525"/>
              </w:rPr>
              <w:t>10.41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415">
              <w:r>
                <w:rPr>
                  <w:rFonts w:ascii="Times New Roman" w:cs="Times New Roman" w:eastAsia="Times New Roman" w:hAnsi="Times New Roman"/>
                  <w:sz w:val="18"/>
                  <w:szCs w:val="18"/>
                  <w:color w:val="0000FF"/>
                  <w:w w:val="98"/>
                </w:rPr>
                <w:t>March 3, 2025</w:t>
              </w:r>
            </w:hyperlink>
          </w:p>
        </w:tc>
        <w:tc>
          <w:tcPr>
            <w:tcW w:w="5120" w:type="dxa"/>
            <w:vAlign w:val="bottom"/>
            <w:gridSpan w:val="34"/>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820" w:type="dxa"/>
            <w:vAlign w:val="bottom"/>
          </w:tcPr>
          <w:p>
            <w:pPr>
              <w:spacing w:after="0"/>
              <w:rPr>
                <w:sz w:val="24"/>
                <w:szCs w:val="24"/>
                <w:color w:val="auto"/>
              </w:rPr>
            </w:pPr>
          </w:p>
        </w:tc>
        <w:tc>
          <w:tcPr>
            <w:tcW w:w="4640" w:type="dxa"/>
            <w:vAlign w:val="bottom"/>
            <w:gridSpan w:val="17"/>
          </w:tcPr>
          <w:p>
            <w:pPr>
              <w:ind w:left="434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467360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August 6, 2018</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6, 2018</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November 1, 2018</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2019</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 2020</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November 8, 2023</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28, 2022</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3, 2022</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November 7, 2022</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26, 2024</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26, 2024</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21, 2024</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August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6, 2025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5, 2025</w:t>
      </w:r>
    </w:p>
    <w:p>
      <w:pPr>
        <w:sectPr>
          <w:pgSz w:w="11900" w:h="16838" w:orient="portrait"/>
          <w:cols w:equalWidth="0" w:num="2">
            <w:col w:w="9180" w:space="300"/>
            <w:col w:w="1440"/>
          </w:cols>
          <w:pgMar w:left="640" w:top="1093" w:right="339" w:bottom="1440" w:gutter="0" w:footer="0" w:header="0"/>
        </w:sectPr>
      </w:pPr>
    </w:p>
    <w:bookmarkStart w:id="147" w:name="page148"/>
    <w:bookmarkEnd w:id="147"/>
    <w:tbl>
      <w:tblPr>
        <w:tblLayout w:type="fixed"/>
        <w:tblInd w:w="240" w:type="dxa"/>
        <w:tblCellMar>
          <w:top w:w="0" w:type="dxa"/>
          <w:left w:w="0" w:type="dxa"/>
          <w:bottom w:w="0" w:type="dxa"/>
          <w:right w:w="0" w:type="dxa"/>
        </w:tblCellMar>
      </w:tblPr>
      <w:tr>
        <w:trPr>
          <w:trHeight w:val="207"/>
        </w:trPr>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10.38#</w:t>
            </w:r>
          </w:p>
        </w:tc>
        <w:tc>
          <w:tcPr>
            <w:tcW w:w="5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Offer Letter between the Company and Kamal Adawi, dated October 13, 2025</w:t>
              </w:r>
            </w:hyperlink>
          </w:p>
        </w:tc>
        <w:tc>
          <w:tcPr>
            <w:tcW w:w="560" w:type="dxa"/>
            <w:vAlign w:val="bottom"/>
            <w:gridSpan w:val="7"/>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14, 2025</w:t>
            </w:r>
          </w:p>
        </w:tc>
      </w:tr>
      <w:tr>
        <w:trPr>
          <w:trHeight w:val="412"/>
        </w:trPr>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10.39†</w:t>
            </w:r>
          </w:p>
        </w:tc>
        <w:tc>
          <w:tcPr>
            <w:tcW w:w="5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Amendment No. 5 to Collaboration and Option Agreement by and between the</w:t>
              </w:r>
            </w:hyperlink>
          </w:p>
        </w:tc>
        <w:tc>
          <w:tcPr>
            <w:tcW w:w="4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12, 2025</w:t>
            </w:r>
          </w:p>
        </w:tc>
      </w:tr>
      <w:tr>
        <w:trPr>
          <w:trHeight w:val="196"/>
        </w:trPr>
        <w:tc>
          <w:tcPr>
            <w:tcW w:w="900" w:type="dxa"/>
            <w:vAlign w:val="bottom"/>
          </w:tcPr>
          <w:p>
            <w:pPr>
              <w:spacing w:after="0"/>
              <w:rPr>
                <w:sz w:val="17"/>
                <w:szCs w:val="17"/>
                <w:color w:val="auto"/>
              </w:rPr>
            </w:pPr>
          </w:p>
        </w:tc>
        <w:tc>
          <w:tcPr>
            <w:tcW w:w="6220" w:type="dxa"/>
            <w:vAlign w:val="bottom"/>
            <w:gridSpan w:val="20"/>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Registrant and Ono Pharmaceutical Co., Ltd, dated June 13, 2025</w:t>
              </w:r>
            </w:hyperlink>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10.40#</w:t>
            </w:r>
          </w:p>
        </w:tc>
        <w:tc>
          <w:tcPr>
            <w:tcW w:w="5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Second Amended and Restated 2022 Stock Option and Incentive Plan and form</w:t>
              </w:r>
            </w:hyperlink>
          </w:p>
        </w:tc>
        <w:tc>
          <w:tcPr>
            <w:tcW w:w="44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30, 2025</w:t>
            </w:r>
          </w:p>
        </w:tc>
      </w:tr>
      <w:tr>
        <w:trPr>
          <w:trHeight w:val="196"/>
        </w:trPr>
        <w:tc>
          <w:tcPr>
            <w:tcW w:w="900" w:type="dxa"/>
            <w:vAlign w:val="bottom"/>
          </w:tcPr>
          <w:p>
            <w:pPr>
              <w:spacing w:after="0"/>
              <w:rPr>
                <w:sz w:val="17"/>
                <w:szCs w:val="17"/>
                <w:color w:val="auto"/>
              </w:rPr>
            </w:pPr>
          </w:p>
        </w:tc>
        <w:tc>
          <w:tcPr>
            <w:tcW w:w="1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419">
              <w:r>
                <w:rPr>
                  <w:rFonts w:ascii="Times New Roman" w:cs="Times New Roman" w:eastAsia="Times New Roman" w:hAnsi="Times New Roman"/>
                  <w:sz w:val="18"/>
                  <w:szCs w:val="18"/>
                  <w:color w:val="0000FF"/>
                  <w:w w:val="97"/>
                </w:rPr>
                <w:t>agreements thereunder</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14.1</w:t>
            </w:r>
          </w:p>
        </w:tc>
        <w:tc>
          <w:tcPr>
            <w:tcW w:w="6220" w:type="dxa"/>
            <w:vAlign w:val="bottom"/>
            <w:gridSpan w:val="20"/>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Amended Code of Business Conduct and Ethics</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14.1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2024</w:t>
            </w: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19.1</w:t>
            </w:r>
          </w:p>
        </w:tc>
        <w:tc>
          <w:tcPr>
            <w:tcW w:w="346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Insider Trading Policy</w:t>
              </w:r>
            </w:hyperlink>
          </w:p>
        </w:tc>
        <w:tc>
          <w:tcPr>
            <w:tcW w:w="276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19.1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2025</w:t>
            </w:r>
          </w:p>
        </w:tc>
      </w:tr>
      <w:tr>
        <w:trPr>
          <w:trHeight w:val="20"/>
        </w:trPr>
        <w:tc>
          <w:tcPr>
            <w:tcW w:w="900" w:type="dxa"/>
            <w:vAlign w:val="bottom"/>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21.1</w:t>
            </w:r>
          </w:p>
        </w:tc>
        <w:tc>
          <w:tcPr>
            <w:tcW w:w="6220" w:type="dxa"/>
            <w:vAlign w:val="bottom"/>
            <w:gridSpan w:val="20"/>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Subsidiaries of the Registrant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21.1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20"/>
        </w:trPr>
        <w:tc>
          <w:tcPr>
            <w:tcW w:w="900" w:type="dxa"/>
            <w:vAlign w:val="bottom"/>
          </w:tcPr>
          <w:p>
            <w:pPr>
              <w:spacing w:after="0" w:line="20" w:lineRule="exact"/>
              <w:rPr>
                <w:sz w:val="1"/>
                <w:szCs w:val="1"/>
                <w:color w:val="auto"/>
              </w:rPr>
            </w:pPr>
          </w:p>
        </w:tc>
        <w:tc>
          <w:tcPr>
            <w:tcW w:w="21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188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24.1</w:t>
            </w:r>
          </w:p>
        </w:tc>
        <w:tc>
          <w:tcPr>
            <w:tcW w:w="5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to this Annual Report)</w:t>
            </w:r>
          </w:p>
        </w:tc>
        <w:tc>
          <w:tcPr>
            <w:tcW w:w="20" w:type="dxa"/>
            <w:vAlign w:val="bottom"/>
            <w:tcBorders>
              <w:bottom w:val="single" w:sz="8" w:color="0000EE"/>
            </w:tcBorders>
          </w:tcPr>
          <w:p>
            <w:pPr>
              <w:spacing w:after="0"/>
              <w:rPr>
                <w:sz w:val="24"/>
                <w:szCs w:val="24"/>
                <w:color w:val="auto"/>
              </w:rPr>
            </w:pPr>
          </w:p>
        </w:tc>
        <w:tc>
          <w:tcPr>
            <w:tcW w:w="116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31.1</w:t>
            </w:r>
          </w:p>
        </w:tc>
        <w:tc>
          <w:tcPr>
            <w:tcW w:w="59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 and 15-d-14</w:t>
            </w:r>
          </w:p>
        </w:tc>
        <w:tc>
          <w:tcPr>
            <w:tcW w:w="28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56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promulgated pursuant to the Securities Exchange Act of 1934, as amended, as</w:t>
            </w:r>
          </w:p>
        </w:tc>
        <w:tc>
          <w:tcPr>
            <w:tcW w:w="5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8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32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31.2</w:t>
            </w:r>
          </w:p>
        </w:tc>
        <w:tc>
          <w:tcPr>
            <w:tcW w:w="5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 and 15-d-14</w:t>
            </w:r>
          </w:p>
        </w:tc>
        <w:tc>
          <w:tcPr>
            <w:tcW w:w="32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56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promulgated pursuant to the Securities Exchange Act of 1934, as amended, as</w:t>
            </w:r>
          </w:p>
        </w:tc>
        <w:tc>
          <w:tcPr>
            <w:tcW w:w="5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8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32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32.1</w:t>
            </w:r>
          </w:p>
        </w:tc>
        <w:tc>
          <w:tcPr>
            <w:tcW w:w="60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48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132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32.2</w:t>
            </w:r>
          </w:p>
        </w:tc>
        <w:tc>
          <w:tcPr>
            <w:tcW w:w="59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26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48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34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97.1</w:t>
            </w:r>
          </w:p>
        </w:tc>
        <w:tc>
          <w:tcPr>
            <w:tcW w:w="6220" w:type="dxa"/>
            <w:vAlign w:val="bottom"/>
            <w:gridSpan w:val="20"/>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Compensation Recovery Policy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97.1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2024</w:t>
            </w:r>
          </w:p>
        </w:tc>
      </w:tr>
      <w:tr>
        <w:trPr>
          <w:trHeight w:val="20"/>
        </w:trPr>
        <w:tc>
          <w:tcPr>
            <w:tcW w:w="900" w:type="dxa"/>
            <w:vAlign w:val="bottom"/>
          </w:tcPr>
          <w:p>
            <w:pPr>
              <w:spacing w:after="0" w:line="20" w:lineRule="exact"/>
              <w:rPr>
                <w:sz w:val="1"/>
                <w:szCs w:val="1"/>
                <w:color w:val="auto"/>
              </w:rPr>
            </w:pPr>
          </w:p>
        </w:tc>
        <w:tc>
          <w:tcPr>
            <w:tcW w:w="2300" w:type="dxa"/>
            <w:vAlign w:val="bottom"/>
            <w:tcBorders>
              <w:right w:val="single" w:sz="8" w:color="0000EE"/>
            </w:tcBorders>
            <w:gridSpan w:val="4"/>
            <w:shd w:val="clear" w:color="auto" w:fill="0000FF"/>
          </w:tcPr>
          <w:p>
            <w:pPr>
              <w:spacing w:after="0" w:line="20" w:lineRule="exact"/>
              <w:rPr>
                <w:sz w:val="1"/>
                <w:szCs w:val="1"/>
                <w:color w:val="auto"/>
              </w:rPr>
            </w:pPr>
          </w:p>
        </w:tc>
        <w:tc>
          <w:tcPr>
            <w:tcW w:w="392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4"/>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101.INS</w:t>
            </w:r>
          </w:p>
        </w:tc>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900" w:type="dxa"/>
            <w:vAlign w:val="bottom"/>
          </w:tcPr>
          <w:p>
            <w:pPr>
              <w:spacing w:after="0"/>
              <w:rPr>
                <w:sz w:val="18"/>
                <w:szCs w:val="18"/>
                <w:color w:val="auto"/>
              </w:rPr>
            </w:pPr>
          </w:p>
        </w:tc>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101.SCH</w:t>
            </w:r>
          </w:p>
        </w:tc>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4"/>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104</w:t>
            </w:r>
          </w:p>
        </w:tc>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 xml:space="preserve">Cover Page Interactive Data File </w:t>
            </w:r>
            <w:r>
              <w:rPr>
                <w:rFonts w:ascii="Times New Roman" w:cs="Times New Roman" w:eastAsia="Times New Roman" w:hAnsi="Times New Roman"/>
                <w:sz w:val="18"/>
                <w:szCs w:val="18"/>
                <w:color w:val="212529"/>
              </w:rPr>
              <w:t>(formatted as inline XBRL and contained in Exhibit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212529"/>
              </w:rPr>
              <w:t>101).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512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provisions of this Exhibit have been omitted as confidential information.</w:t>
      </w:r>
    </w:p>
    <w:p>
      <w:pPr>
        <w:spacing w:after="0" w:line="27" w:lineRule="exact"/>
        <w:rPr>
          <w:sz w:val="20"/>
          <w:szCs w:val="20"/>
          <w:color w:val="auto"/>
        </w:rPr>
      </w:pPr>
    </w:p>
    <w:p>
      <w:pPr>
        <w:ind w:left="5480" w:right="4980" w:hanging="5472"/>
        <w:spacing w:after="0" w:line="397" w:lineRule="auto"/>
        <w:tabs>
          <w:tab w:leader="none" w:pos="13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726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Fate Therapeutics, Inc.</w:t>
            </w:r>
          </w:p>
        </w:tc>
      </w:tr>
      <w:tr>
        <w:trPr>
          <w:trHeight w:val="43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tc>
      </w:tr>
      <w:tr>
        <w:trPr>
          <w:trHeight w:val="228"/>
        </w:trPr>
        <w:tc>
          <w:tcPr>
            <w:tcW w:w="39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Bahram Valamehr, Ph.D., M.B.A.</w:t>
            </w:r>
          </w:p>
        </w:tc>
      </w:tr>
      <w:tr>
        <w:trPr>
          <w:trHeight w:val="218"/>
        </w:trPr>
        <w:tc>
          <w:tcPr>
            <w:tcW w:w="3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Director</w:t>
            </w:r>
          </w:p>
        </w:tc>
      </w:tr>
      <w:tr>
        <w:trPr>
          <w:trHeight w:val="236"/>
        </w:trPr>
        <w:tc>
          <w:tcPr>
            <w:tcW w:w="3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tc>
      </w:tr>
      <w:tr>
        <w:trPr>
          <w:trHeight w:val="228"/>
        </w:trPr>
        <w:tc>
          <w:tcPr>
            <w:tcW w:w="39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Kamal Adawi, M.S., M.B.A.</w:t>
            </w:r>
          </w:p>
        </w:tc>
      </w:tr>
    </w:tbl>
    <w:p>
      <w:pPr>
        <w:spacing w:after="0" w:line="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each of Bahram Valamehr and Kamal Adawi as his or her attorney-in-fact,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said attorney-in-fact, or his or her substitute or substitutes may do or cause to be done by virtue hereof.</w:t>
      </w:r>
    </w:p>
    <w:p>
      <w:pPr>
        <w:spacing w:after="0" w:line="5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48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3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Bahram Valamehr, Ph.D., MBA</w:t>
            </w:r>
          </w:p>
        </w:tc>
        <w:tc>
          <w:tcPr>
            <w:tcW w:w="1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Kamal Adawi, M.S., M.B.A.</w:t>
            </w:r>
          </w:p>
        </w:tc>
        <w:tc>
          <w:tcPr>
            <w:tcW w:w="1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illiam</w:t>
            </w:r>
            <w:r>
              <w:rPr>
                <w:rFonts w:ascii="Times New Roman" w:cs="Times New Roman" w:eastAsia="Times New Roman" w:hAnsi="Times New Roman"/>
                <w:sz w:val="18"/>
                <w:szCs w:val="18"/>
                <w:color w:val="auto"/>
              </w:rPr>
              <w:t xml:space="preserve"> H. R</w:t>
            </w:r>
            <w:r>
              <w:rPr>
                <w:rFonts w:ascii="Times New Roman" w:cs="Times New Roman" w:eastAsia="Times New Roman" w:hAnsi="Times New Roman"/>
                <w:sz w:val="12"/>
                <w:szCs w:val="12"/>
                <w:color w:val="auto"/>
              </w:rPr>
              <w:t>astetter</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H. Rastetter,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atthew</w:t>
            </w:r>
            <w:r>
              <w:rPr>
                <w:rFonts w:ascii="Times New Roman" w:cs="Times New Roman" w:eastAsia="Times New Roman" w:hAnsi="Times New Roman"/>
                <w:sz w:val="18"/>
                <w:szCs w:val="18"/>
                <w:color w:val="auto"/>
              </w:rPr>
              <w:t xml:space="preserve"> C. A</w:t>
            </w:r>
            <w:r>
              <w:rPr>
                <w:rFonts w:ascii="Times New Roman" w:cs="Times New Roman" w:eastAsia="Times New Roman" w:hAnsi="Times New Roman"/>
                <w:sz w:val="12"/>
                <w:szCs w:val="12"/>
                <w:color w:val="auto"/>
              </w:rPr>
              <w:t>bernethy</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C. Abernethy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hefali</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garwal</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Shefali Agarwal,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S. E</w:t>
            </w:r>
            <w:r>
              <w:rPr>
                <w:rFonts w:ascii="Times New Roman" w:cs="Times New Roman" w:eastAsia="Times New Roman" w:hAnsi="Times New Roman"/>
                <w:sz w:val="12"/>
                <w:szCs w:val="12"/>
                <w:color w:val="auto"/>
              </w:rPr>
              <w:t>pstein</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S. Epstein,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arin</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ooss</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Karin Jooss,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ee</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Lee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w:t>
            </w:r>
            <w:r>
              <w:rPr>
                <w:rFonts w:ascii="Times New Roman" w:cs="Times New Roman" w:eastAsia="Times New Roman" w:hAnsi="Times New Roman"/>
                <w:sz w:val="12"/>
                <w:szCs w:val="12"/>
                <w:color w:val="auto"/>
              </w:rPr>
              <w:t>uan</w:t>
            </w:r>
            <w:r>
              <w:rPr>
                <w:rFonts w:ascii="Times New Roman" w:cs="Times New Roman" w:eastAsia="Times New Roman" w:hAnsi="Times New Roman"/>
                <w:sz w:val="18"/>
                <w:szCs w:val="18"/>
                <w:color w:val="auto"/>
              </w:rPr>
              <w:t xml:space="preserve"> X</w:t>
            </w:r>
            <w:r>
              <w:rPr>
                <w:rFonts w:ascii="Times New Roman" w:cs="Times New Roman" w:eastAsia="Times New Roman" w:hAnsi="Times New Roman"/>
                <w:sz w:val="12"/>
                <w:szCs w:val="12"/>
                <w:color w:val="auto"/>
              </w:rPr>
              <w:t>u</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Yuan Xu,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30"/>
        </w:trPr>
        <w:tc>
          <w:tcPr>
            <w:tcW w:w="4500" w:type="dxa"/>
            <w:vAlign w:val="bottom"/>
          </w:tcPr>
          <w:p>
            <w:pPr>
              <w:spacing w:after="0"/>
              <w:rPr>
                <w:sz w:val="24"/>
                <w:szCs w:val="24"/>
                <w:color w:val="auto"/>
              </w:rPr>
            </w:pPr>
          </w:p>
        </w:tc>
        <w:tc>
          <w:tcPr>
            <w:tcW w:w="4960" w:type="dxa"/>
            <w:vAlign w:val="bottom"/>
            <w:gridSpan w:val="2"/>
          </w:tcPr>
          <w:p>
            <w:pPr>
              <w:jc w:val="right"/>
              <w:ind w:right="361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on Form 10-K of which this exhibit forms a part, Fate Therapeutics, Inc. (the “Company,” “we,” “us,” and “our”) had one class of securities registered under Section 12 of the Securities Exchange Act of 1934, as amended: our Common Stock (as defined below).</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(collectively, the “Capital Stock”) is a summary of the material terms of our Capital Stock as of the date of this Annual Report on Form 10-K of which this exhibit forms a part and does not purport to be complete. It is subject to and qualified in its entirety by reference to our Amended and Restated Certificate of Incorporation, as amended by the Certificate of Amendment to the Amended and Restated Certificate of Incorporation of the Company (“Certificate of Incorporation”), our Certificate of Designation of Preferences, Rights and Limitations of the Class A Convertible Preferred Stock filed with the Delaware Secretary of State on November 22, 2016, as amended by the Certificate of Amendment to our Certificate of Designation of Preferences, Rights and Limitations of Class A Convertible Preferred Stock filed with the Delaware Secretary of State on April 19, 2023 (the “Certificate of Designation”), and our Amended and Restated Bylaws (“Bylaws”), each of which are incorporated by reference as an exhibit to our Annual Report on Form 10-K, and by applicable law. We encourage you to read our Certificate of Incorporation, Certificate of Designation, our Bylaws and the applicable provisions of the Delaware General Corporation Law for additional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350,000,000 shares of common stock, par value $0.001 per share (the “Common Stock”), and 5,000,000 shares of preferred stock, par value $0.001 per share (the “Preferred Stock”). 2,819,549 shares of our authorized Preferred Stock have been designated as Class A Convertible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(the “Board”)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(formerly American Stock Transfer &amp; Trust Company, LLC). The transfer agent and registrar’s address is 6201 15th Avenue, Brooklyn, NY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Board was initially authorized to issue up to 5,000,000 shares of Preferred Stock in one or more series without stockholder approval. As a result of the designation and issuance of 2,819,549 shares of Class A Convertible Preferred Stock described below, our Board is authorized to designate and issue up to 2,180,451 remaining shares of Preferred Stock. Our Board may determine the rights, preferences, privileges and restrictions, including voting rights, dividend rights, conversion rights, redemption privileges and liquidation preferences, of each series of Preferred Stock, any or all of which may be more favorable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Convertible Preferred Stock</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filed a Certificate of Designation of Preferences, Rights and Limitations of Class A Convertible Preferred Stock with the Secretary of State of Delaware on November 22, 2016 (the “Certificate of Designation”), pursuant to which we designated 2,819,549 shares of authorized and unissued preferred stock as Class A Convertible Preferred Stock (the “Preferred Shares”). Each Preferred Share is convertible into five shares of common stock (subject to adjustment for stock dividends, stock splits, combinations and the like). The holders of the Preferred Shares, which currently consist of entities affiliated with Redmile Group, LLC (“Redmile”), are prohibited from converting the Preferred Shares into shares of common stock if, as a result of such conversion, Redmile, together with its affiliates, would own more than 9.99% of the shares of our common stock then issued and outstanding (the “Redmile Percentage Limitation”), which percentage may change at Redmile’s election upon 61 days’ notice to us to (i) any other number less than or equal to 19.99% or (ii) subject to approval of our stockholders to the extent required in accordance with the Nasdaq Global Market rules, any number in excess of 19.99%. On May 2, 2017, our stockholders approved the issuance of up to an aggregate of 14,097,745 shares of common stock upon the conversion of the 2,819,549 outstanding Preferred Shares. As a result, Redmile has the right to increase the Redmile Percentage Limitation to any percentage in excess of 19.99% at its election upon 61 days’ notice to us. In April 2023, we filed with the office of the Secretary of State of the State of Delaware a Certificate of Amendment to Certificate of Designation of Preferences, Rights and Limitations of Class A Convertible Preferred Stock, which amended the definition of Beneficial Ownership Limitation to be 14.99% of the number of shares of the Common Stock outstanding immediately after giving effect to the issuance of shares of Common Stock pursuant to a Notice of Conversion. Additionally, in the event of certain fundamental transactions, including (i) any merger or consolidation of our company with or into another entity; (ii) our sale, lease, license, assignment, transfer, conveyance or other disposition of all or substantially all of our assets; (iii) the acceptance by holders of 35% or more of our outstanding Common Stock of any purchase offer, tender offer or exchange offer pursuant to which such holders are permitted to sell, tender or exchange their shares for other securities, cash or property; (iv) any reclassification, reorganization or recapitalization of the Common Stock or any compulsory share exchange pursuant to which the Common Stock is effectively converted into or exchanged for other securities, cash or property; or (v) any other business combination pursuant to which a third party acquires more than 50% of our outstanding shares of Common Stock, each share of Class A Convertible Preferred Stock outstanding immediately prior to such fundamental transaction will automatically convert into shares of Common Stock at the applicable conversion ratio then in effect.</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Preferred Shares will participate pari passu with the holders of our Common Stock in any distribution of proceeds, pro rata based on the number of shares held by each such holder. The Preferred Shares generally have no voting rights. Holders of the Preferred Shares are entitled to receive, on an as-converted-to-common-stock basis, dividends that are equal to dividends actually paid on shares of Common Stock, when, as and if such dividends are paid on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1210310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Our Bylaws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discouraging another party from acquiring control of us and encouraging persons considering unsolicited tender offers or other unilateral takeover proposals to negotiate with our Board rather than pursue non-negotiated takeover attempts. These provisions include the items described below.</w:t>
      </w:r>
    </w:p>
    <w:p>
      <w:pPr>
        <w:spacing w:after="0" w:line="17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Certificate of Incorporation provides for the division of our Board into three classes serving staggered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Certificate of Incorporation provides that all stockholder actions are required to be taken by a vote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at an annual or special meeting, and that stockholders may not take any action by written consent in lieu of a meeting.</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Stockholders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Certificate of Incorporation and Bylaws provide that only a majority of the members of our Board then in office may call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Requirements. </w:t>
      </w:r>
      <w:r>
        <w:rPr>
          <w:rFonts w:ascii="Times New Roman" w:cs="Times New Roman" w:eastAsia="Times New Roman" w:hAnsi="Times New Roman"/>
          <w:sz w:val="18"/>
          <w:szCs w:val="18"/>
          <w:color w:val="auto"/>
        </w:rPr>
        <w:t>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required by the Delaware General Corporation Law, any amendment of our Certificate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Incorporation must first be approved by a majority of our Board,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Undesignated Preferred Stock. </w:t>
      </w:r>
      <w:r>
        <w:rPr>
          <w:rFonts w:ascii="Times New Roman" w:cs="Times New Roman" w:eastAsia="Times New Roman" w:hAnsi="Times New Roman"/>
          <w:sz w:val="18"/>
          <w:szCs w:val="18"/>
          <w:color w:val="auto"/>
        </w:rPr>
        <w:t>Our Certificate of Incorporation provides for 5,000,000 authorized shares of Preferred Stock, of which 2,819,549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designated as Class A Convertible Preferred Stock. The existence of authorized but unissued shares of undesignated Preferred Stock may enable our Board to discourage an attempt to obtain control of us by means of a merger, tender offer, proxy contest or otherwise. For example, if in the due exercise of its fiduciary obligations, our Board were to determine that a takeover proposal is not in the best interests of our stockholders, our Board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voting rights, of these holders and may have the effect of delaying, deterring or preventing a change in control of us.</w:t>
      </w:r>
    </w:p>
    <w:p>
      <w:pPr>
        <w:spacing w:after="0" w:line="221"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Certificate of Incorporation provides that, unless we consent in writing to the selection of an alternative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w:t>
      </w:r>
    </w:p>
    <w:p>
      <w:pPr>
        <w:ind w:right="200" w:firstLine="8"/>
        <w:spacing w:after="0" w:line="251" w:lineRule="auto"/>
        <w:tabs>
          <w:tab w:leader="none" w:pos="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Certificate of Incorporation or our Bylaws, or (iv) any action asserting a claim against us governed by the internal affairs doctrine. Our Bylaws provide that, unless we consent in writing to the selection of an alternative forum, the federal district courts of the United States shall be the sole and exclusive forum for resolving any complaint asserting a cause of action arising under the Securities Act of 1933, as amended. Although we believe these provisions benefit us by providing increased consistency in the application of Delaware or federal securities law in the types of lawsuits to which they apply, the provisions may have the effect of discouraging lawsuits against our directors and officers. The enforceability of similar exclusive forum provisions in other companies’ certificates of incorporation and bylaws have been challenged in legal proceedings, and it is possible that a court could rule that these provisions in our Certificate of Incorporation and Bylaws are inapplicable or unenforceable.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Section 203.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333-275402 and 333-278792) of Fate Therapeutics, Inc.,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333-191576, 333-194625, 333-202690, 333-209392, 333-211484, 333-215880, 333-219989, 333-223521, 333-230152, 333-236835, 333-253459, 333-263102, 333-265502, 333-280097, 333-287765 and 333-290972) pertaining to the 2007 Equity Incentive Plan, the 2013 Stock Option and Incentive Plan, the 2013 Employee Stock Purchase Plan, the Inducement Equity Plan and the 2022 Stock Option and Incentive Plan of Fate Therapeutics, Inc.;</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our report dated February 26, 2026, with respect to the consolidated financial statements of Fate Therapeutics, Inc. included in this Annual Report (Form 10-K) of Fate Therapeutics, Inc.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0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15d-14(a) OF THE SECURITIES EXCHANGE ACT,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Bahram Valamehr, certify that:</w:t>
      </w:r>
    </w:p>
    <w:p>
      <w:pPr>
        <w:spacing w:after="0" w:line="117" w:lineRule="exact"/>
        <w:rPr>
          <w:sz w:val="20"/>
          <w:szCs w:val="20"/>
          <w:color w:val="auto"/>
        </w:rPr>
      </w:pPr>
    </w:p>
    <w:p>
      <w:pPr>
        <w:ind w:left="700" w:hanging="183"/>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Fate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506"/>
        <w:spacing w:after="0" w:line="266" w:lineRule="auto"/>
        <w:tabs>
          <w:tab w:leader="none" w:pos="11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0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40" w:firstLine="506"/>
        <w:spacing w:after="0" w:line="282" w:lineRule="auto"/>
        <w:tabs>
          <w:tab w:leader="none" w:pos="11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80" w:firstLine="506"/>
        <w:spacing w:after="0" w:line="266" w:lineRule="auto"/>
        <w:tabs>
          <w:tab w:leader="none" w:pos="120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506"/>
        <w:spacing w:after="0" w:line="282" w:lineRule="auto"/>
        <w:tabs>
          <w:tab w:leader="none" w:pos="11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82" w:lineRule="auto"/>
        <w:tabs>
          <w:tab w:leader="none" w:pos="120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BAHRAM VALAMEHR</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Bahram Valamehr, Ph.D.,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20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CERTIFICATION OF PRINCIPAL FINANCIAL AND ACCOUNTING OFFICER</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PURSUANT TO RULE 13a-14(a) AND 15d-14(a) OF THE SECURITIES EXCHANGE ACT,</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Kamal Adawi, certify that:</w:t>
      </w:r>
    </w:p>
    <w:p>
      <w:pPr>
        <w:spacing w:after="0" w:line="225" w:lineRule="exact"/>
        <w:rPr>
          <w:sz w:val="20"/>
          <w:szCs w:val="20"/>
          <w:color w:val="auto"/>
        </w:rPr>
      </w:pPr>
    </w:p>
    <w:p>
      <w:pPr>
        <w:ind w:left="700" w:hanging="183"/>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Fate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1028"/>
        <w:spacing w:after="0" w:line="266" w:lineRule="auto"/>
        <w:tabs>
          <w:tab w:leader="none" w:pos="118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1028"/>
        <w:spacing w:after="0" w:line="266" w:lineRule="auto"/>
        <w:tabs>
          <w:tab w:leader="none" w:pos="12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028"/>
        <w:spacing w:after="0" w:line="282" w:lineRule="auto"/>
        <w:tabs>
          <w:tab w:leader="none" w:pos="118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1028"/>
        <w:spacing w:after="0" w:line="266" w:lineRule="auto"/>
        <w:tabs>
          <w:tab w:leader="none" w:pos="12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60" w:firstLine="1028"/>
        <w:spacing w:after="0" w:line="282" w:lineRule="auto"/>
        <w:tabs>
          <w:tab w:leader="none" w:pos="118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1028"/>
        <w:spacing w:after="0" w:line="282" w:lineRule="auto"/>
        <w:tabs>
          <w:tab w:leader="none" w:pos="12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KAMAL ADAWI</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Kamal Adawi, M.S., M.B.A.</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Bahram Valamehr, President and Chief Executive Officer of Fate Therapeutics, Inc. (the “Registrant”), do hereby certify in accordance with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1350, as adopted pursuant to Section 906 of the Sarbanes-Oxley Act of 2002, that, based upon my knowledge:</w:t>
      </w:r>
    </w:p>
    <w:p>
      <w:pPr>
        <w:spacing w:after="0" w:line="99" w:lineRule="exact"/>
        <w:rPr>
          <w:sz w:val="20"/>
          <w:szCs w:val="20"/>
          <w:color w:val="auto"/>
        </w:rPr>
      </w:pPr>
    </w:p>
    <w:p>
      <w:pPr>
        <w:ind w:left="1020" w:right="26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of the Registrant, to which this certification is attached as an exhibit (the “Report”), fully complies with the requirements of Section 13(a) or 15(d) of the Securities Exchange Act of 1934 (15 U.S.C. 78m);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BAHRAM VALAMEHR</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Bahram Valamehr, Ph.D., M.B.A.</w:t>
            </w:r>
          </w:p>
        </w:tc>
      </w:tr>
      <w:tr>
        <w:trPr>
          <w:trHeight w:val="229"/>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20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Kamal Adawi, Chief Financial Officer and Treasurer of Fate Therapeutics, Inc. (the “Registrant”), do hereby certify in accordance with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 2002, that, based upon my knowledge:</w:t>
      </w:r>
    </w:p>
    <w:p>
      <w:pPr>
        <w:spacing w:after="0" w:line="99" w:lineRule="exact"/>
        <w:rPr>
          <w:sz w:val="20"/>
          <w:szCs w:val="20"/>
          <w:color w:val="auto"/>
        </w:rPr>
      </w:pPr>
    </w:p>
    <w:p>
      <w:pPr>
        <w:ind w:left="1020" w:right="2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of the Registrant, to which this certification is attached as an exhibit (the “Report”), fully complies with the requirements of Section 13(a) or 15(d) of the Securities Exchange Act of 1934 (15 U.S.C. 78m);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Kamal Adawi, M.S., M.B.A.</w:t>
            </w:r>
          </w:p>
        </w:tc>
      </w:tr>
      <w:tr>
        <w:trPr>
          <w:trHeight w:val="229"/>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1424"/>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decimal"/>
      <w:start w:val="2"/>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lowerRoman"/>
      <w:start w:val="2"/>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3"/>
    </w:lvl>
  </w:abstractNum>
  <w:abstractNum w:abstractNumId="56">
    <w:nsid w:val="579BE4F1"/>
    <w:multiLevelType w:val="hybridMultilevel"/>
    <w:lvl w:ilvl="0">
      <w:lvlJc w:val="left"/>
      <w:lvlText w:val="%1."/>
      <w:numFmt w:val="decimal"/>
      <w:start w:val="7"/>
    </w:lvl>
  </w:abstractNum>
  <w:abstractNum w:abstractNumId="57">
    <w:nsid w:val="310C50B3"/>
    <w:multiLevelType w:val="hybridMultilevel"/>
    <w:lvl w:ilvl="0">
      <w:lvlJc w:val="left"/>
      <w:lvlText w:val="%1."/>
      <w:numFmt w:val="decimal"/>
      <w:start w:val="9"/>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3"/>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decimal"/>
      <w:start w:val="2"/>
    </w:lvl>
  </w:abstractNum>
  <w:abstractNum w:abstractNumId="62">
    <w:nsid w:val="4AD084E9"/>
    <w:multiLevelType w:val="hybridMultilevel"/>
    <w:lvl w:ilvl="0">
      <w:lvlJc w:val="left"/>
      <w:lvlText w:val="(%1)"/>
      <w:numFmt w:val="decimal"/>
      <w:start w:val="3"/>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1)"/>
      <w:numFmt w:val="lowerRoman"/>
      <w:start w:val="3"/>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416"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426" Type="http://schemas.openxmlformats.org/officeDocument/2006/relationships/image" Target="media/image365.png"/><Relationship Id="rId427" Type="http://schemas.openxmlformats.org/officeDocument/2006/relationships/image" Target="media/image366.png"/><Relationship Id="rId428" Type="http://schemas.openxmlformats.org/officeDocument/2006/relationships/image" Target="media/image367.png"/><Relationship Id="rId429" Type="http://schemas.openxmlformats.org/officeDocument/2006/relationships/image" Target="media/image368.png"/><Relationship Id="rId430" Type="http://schemas.openxmlformats.org/officeDocument/2006/relationships/image" Target="media/image369.png"/><Relationship Id="rId431" Type="http://schemas.openxmlformats.org/officeDocument/2006/relationships/image" Target="media/image370.png"/><Relationship Id="rId432" Type="http://schemas.openxmlformats.org/officeDocument/2006/relationships/image" Target="media/image371.png"/><Relationship Id="rId433" Type="http://schemas.openxmlformats.org/officeDocument/2006/relationships/image" Target="media/image372.png"/><Relationship Id="rId434" Type="http://schemas.openxmlformats.org/officeDocument/2006/relationships/image" Target="media/image373.png"/><Relationship Id="rId435" Type="http://schemas.openxmlformats.org/officeDocument/2006/relationships/image" Target="media/image374.png"/><Relationship Id="rId436" Type="http://schemas.openxmlformats.org/officeDocument/2006/relationships/image" Target="media/image375.png"/><Relationship Id="rId437" Type="http://schemas.openxmlformats.org/officeDocument/2006/relationships/image" Target="media/image376.png"/><Relationship Id="rId438" Type="http://schemas.openxmlformats.org/officeDocument/2006/relationships/image" Target="media/image377.png"/><Relationship Id="rId439" Type="http://schemas.openxmlformats.org/officeDocument/2006/relationships/image" Target="media/image378.png"/><Relationship Id="rId440" Type="http://schemas.openxmlformats.org/officeDocument/2006/relationships/image" Target="media/image379.png"/><Relationship Id="rId365" Type="http://schemas.openxmlformats.org/officeDocument/2006/relationships/hyperlink" Target="https://www.sec.gov/Archives/edgar/data/1434316/000119312513351036/d590580dex32.htm" TargetMode="External"/><Relationship Id="rId366" Type="http://schemas.openxmlformats.org/officeDocument/2006/relationships/hyperlink" Target="https://www.sec.gov/Archives/edgar/data/1434316/000119312521184402/d191657dex31.htm" TargetMode="External"/><Relationship Id="rId367" Type="http://schemas.openxmlformats.org/officeDocument/2006/relationships/hyperlink" Target="https://www.sec.gov/Archives/edgar/data/1434316/000119312516778378/d301639dex31.htm" TargetMode="External"/><Relationship Id="rId368" Type="http://schemas.openxmlformats.org/officeDocument/2006/relationships/hyperlink" Target="https://www.sec.gov/Archives/edgar/data/1434316/000156459021008086/fate-ex33_493.htm" TargetMode="External"/><Relationship Id="rId369" Type="http://schemas.openxmlformats.org/officeDocument/2006/relationships/hyperlink" Target="https://www.sec.gov/Archives/edgar/data/1434316/000095017023013471/fate-ex3_1.htm" TargetMode="External"/><Relationship Id="rId370" Type="http://schemas.openxmlformats.org/officeDocument/2006/relationships/hyperlink" Target="https://www.sec.gov/Archives/edgar/data/1434316/000119312524158374/d764437dex31.htm" TargetMode="External"/><Relationship Id="rId371" Type="http://schemas.openxmlformats.org/officeDocument/2006/relationships/hyperlink" Target="https://www.sec.gov/Archives/edgar/data/1434316/000119312525132301/d42374dex31.htm" TargetMode="External"/><Relationship Id="rId372" Type="http://schemas.openxmlformats.org/officeDocument/2006/relationships/hyperlink" Target="https://www.sec.gov/Archives/edgar/data/1434316/000119312513351036/d590580dex41.htm" TargetMode="External"/><Relationship Id="rId373" Type="http://schemas.openxmlformats.org/officeDocument/2006/relationships/hyperlink" Target="https://www.sec.gov/Archives/edgar/data/1434316/000119312521005180/d95890dex41.htm" TargetMode="External"/><Relationship Id="rId374" Type="http://schemas.openxmlformats.org/officeDocument/2006/relationships/hyperlink" Target="https://www.sec.gov/Archives/edgar/data/1434316/000119312524072871/d799248dex41.htm" TargetMode="External"/><Relationship Id="rId375" Type="http://schemas.openxmlformats.org/officeDocument/2006/relationships/hyperlink" Target="https://www.sec.gov/Archives/edgar/data/1434316/000156459021008086/fate-ex102_726.htm" TargetMode="External"/><Relationship Id="rId376" Type="http://schemas.openxmlformats.org/officeDocument/2006/relationships/hyperlink" Target="https://www.sec.gov/Archives/edgar/data/1434316/000110465915000991/a15-1355_1ex10d2.htm" TargetMode="External"/><Relationship Id="rId377" Type="http://schemas.openxmlformats.org/officeDocument/2006/relationships/hyperlink" Target="https://www.sec.gov/Archives/edgar/data/1434316/000110465915000991/a15-1355_1ex10d1.htm" TargetMode="External"/><Relationship Id="rId378" Type="http://schemas.openxmlformats.org/officeDocument/2006/relationships/hyperlink" Target="https://www.sec.gov/Archives/edgar/data/1434316/000095017025033510/fate-ex10_5.htm" TargetMode="External"/><Relationship Id="rId379" Type="http://schemas.openxmlformats.org/officeDocument/2006/relationships/hyperlink" Target="https://www.sec.gov/Archives/edgar/data/1434316/000156459021008086/fate-ex108_663.htm" TargetMode="External"/><Relationship Id="rId380" Type="http://schemas.openxmlformats.org/officeDocument/2006/relationships/hyperlink" Target="https://www.sec.gov/Archives/edgar/data/1434316/000156459021008086/fate-ex109_727.htm" TargetMode="External"/><Relationship Id="rId381" Type="http://schemas.openxmlformats.org/officeDocument/2006/relationships/hyperlink" Target="https://www.sec.gov/Archives/edgar/data/1434316/000156459021008086/fate-ex1010_728.htm" TargetMode="External"/><Relationship Id="rId382" Type="http://schemas.openxmlformats.org/officeDocument/2006/relationships/hyperlink" Target="https://www.sec.gov/Archives/edgar/data/1434316/000119312513333316/d552384dex1014.htm" TargetMode="External"/><Relationship Id="rId383" Type="http://schemas.openxmlformats.org/officeDocument/2006/relationships/hyperlink" Target="https://www.sec.gov/Archives/edgar/data/1434316/000119312513333316/d552384dex1015.htm" TargetMode="External"/><Relationship Id="rId386" Type="http://schemas.openxmlformats.org/officeDocument/2006/relationships/hyperlink" Target="https://www.sec.gov/Archives/edgar/data/1434316/000119312513383888/d552384dex1025.htm" TargetMode="External"/><Relationship Id="rId387" Type="http://schemas.openxmlformats.org/officeDocument/2006/relationships/hyperlink" Target="https://www.sec.gov/Archives/edgar/data/1434316/000156459016013981/fate-ex1015_610.htm" TargetMode="External"/><Relationship Id="rId388" Type="http://schemas.openxmlformats.org/officeDocument/2006/relationships/hyperlink" Target="https://www.sec.gov/Archives/edgar/data/1434316/000156459016013981/fate-ex1016_611.htm" TargetMode="External"/><Relationship Id="rId389" Type="http://schemas.openxmlformats.org/officeDocument/2006/relationships/hyperlink" Target="https://www.sec.gov/Archives/edgar/data/1434316/000156459016023312/fate-ex102_105.htm" TargetMode="External"/><Relationship Id="rId390" Type="http://schemas.openxmlformats.org/officeDocument/2006/relationships/hyperlink" Target="https://www.sec.gov/Archives/edgar/data/1434316/000156459021008086/fate-ex1019_494.htm" TargetMode="External"/><Relationship Id="rId391" Type="http://schemas.openxmlformats.org/officeDocument/2006/relationships/hyperlink" Target="https://www.sec.gov/Archives/edgar/data/1434316/000156459021008086/fate-ex1020_495.htm" TargetMode="External"/><Relationship Id="rId392" Type="http://schemas.openxmlformats.org/officeDocument/2006/relationships/hyperlink" Target="https://www.sec.gov/Archives/edgar/data/1434316/000156459021008086/fate-ex1021_496.htm" TargetMode="External"/><Relationship Id="rId393" Type="http://schemas.openxmlformats.org/officeDocument/2006/relationships/hyperlink" Target="https://www.sec.gov/Archives/edgar/data/1434316/000156459021008086/fate-ex1022_497.htm" TargetMode="External"/><Relationship Id="rId394" Type="http://schemas.openxmlformats.org/officeDocument/2006/relationships/hyperlink" Target="https://www.sec.gov/Archives/edgar/data/1434316/000119312525279096/fate-ex10_1.htm" TargetMode="External"/><Relationship Id="rId395" Type="http://schemas.openxmlformats.org/officeDocument/2006/relationships/hyperlink" Target="https://www.sec.gov/Archives/edgar/data/1434316/000156459019006258/fate-ex1033_244.htm" TargetMode="External"/><Relationship Id="rId398" Type="http://schemas.openxmlformats.org/officeDocument/2006/relationships/hyperlink" Target="https://www.sec.gov/Archives/edgar/data/1434316/000156459018019456/fate-ex101_80.htm" TargetMode="External"/><Relationship Id="rId399" Type="http://schemas.openxmlformats.org/officeDocument/2006/relationships/hyperlink" Target="https://www.sec.gov/Archives/edgar/data/1434316/000156459018019456/fate-ex102_223.htm" TargetMode="External"/><Relationship Id="rId400" Type="http://schemas.openxmlformats.org/officeDocument/2006/relationships/hyperlink" Target="https://www.sec.gov/Archives/edgar/data/1434316/000156459018026214/fate-ex101_83.htm" TargetMode="External"/><Relationship Id="rId401" Type="http://schemas.openxmlformats.org/officeDocument/2006/relationships/hyperlink" Target="https://www.sec.gov/Archives/edgar/data/1434316/000119312519032261/d699031dex102.htm" TargetMode="External"/><Relationship Id="rId402" Type="http://schemas.openxmlformats.org/officeDocument/2006/relationships/hyperlink" Target="https://www.sec.gov/Archives/edgar/data/1434316/000156459020008141/fate-ex1034_359.htm" TargetMode="External"/><Relationship Id="rId403" Type="http://schemas.openxmlformats.org/officeDocument/2006/relationships/hyperlink" Target="https://www.sec.gov/Archives/edgar/data/1434316/000156459021008086/fate-ex1039_662.htm" TargetMode="External"/><Relationship Id="rId404" Type="http://schemas.openxmlformats.org/officeDocument/2006/relationships/hyperlink" Target="https://www.sec.gov/Archives/edgar/data/1434316/000156459021008086/fate-ex1040_664.htm" TargetMode="External"/><Relationship Id="rId405" Type="http://schemas.openxmlformats.org/officeDocument/2006/relationships/hyperlink" Target="https://www.sec.gov/Archives/edgar/data/1434316/000119312523273593/d541003dex12.htm" TargetMode="External"/><Relationship Id="rId406" Type="http://schemas.openxmlformats.org/officeDocument/2006/relationships/hyperlink" Target="https://www.sec.gov/Archives/edgar/data/1434316/000095017022002293/fate-ex10_40.htm" TargetMode="External"/><Relationship Id="rId407" Type="http://schemas.openxmlformats.org/officeDocument/2006/relationships/hyperlink" Target="https://www.sec.gov/Archives/edgar/data/1434316/000095017022014236/fate-ex10_2.htm" TargetMode="External"/><Relationship Id="rId408" Type="http://schemas.openxmlformats.org/officeDocument/2006/relationships/hyperlink" Target="https://www.sec.gov/Archives/edgar/data/1434316/000095017022022488/fate-ex10_1.htm" TargetMode="External"/><Relationship Id="rId409" Type="http://schemas.openxmlformats.org/officeDocument/2006/relationships/hyperlink" Target="https://www.sec.gov/Archives/edgar/data/1434316/000095017024020158/fate-ex10_41.htm" TargetMode="External"/><Relationship Id="rId410" Type="http://schemas.openxmlformats.org/officeDocument/2006/relationships/hyperlink" Target="https://www.sec.gov/Archives/edgar/data/1434316/000095017024020158/fate-ex10_42.htm" TargetMode="External"/><Relationship Id="rId411" Type="http://schemas.openxmlformats.org/officeDocument/2006/relationships/hyperlink" Target="https://www.sec.gov/Archives/edgar/data/1434316/000119312524072871/d799248dex101.htm" TargetMode="External"/><Relationship Id="rId412" Type="http://schemas.openxmlformats.org/officeDocument/2006/relationships/hyperlink" Target="https://www.sec.gov/Archives/edgar/data/1434316/000119312524211130/d703760dex101.htm" TargetMode="External"/><Relationship Id="rId413" Type="http://schemas.openxmlformats.org/officeDocument/2006/relationships/hyperlink" Target="https://www.sec.gov/Archives/edgar/data/1434316/000095017024125317/fate-ex10_2.htm" TargetMode="External"/><Relationship Id="rId414" Type="http://schemas.openxmlformats.org/officeDocument/2006/relationships/hyperlink" Target="https://www.sec.gov/Archives/edgar/data/1434316/000119312525002153/d900848dex101.htm" TargetMode="External"/><Relationship Id="rId415" Type="http://schemas.openxmlformats.org/officeDocument/2006/relationships/hyperlink" Target="https://www.sec.gov/Archives/edgar/data/1434316/000095017025033510/fate-ex10_41.htm" TargetMode="External"/><Relationship Id="rId417" Type="http://schemas.openxmlformats.org/officeDocument/2006/relationships/hyperlink" Target="https://www.sec.gov/Archives/edgar/data/1434316/000119312525238989/fate-ex10_1.htm" TargetMode="External"/><Relationship Id="rId418" Type="http://schemas.openxmlformats.org/officeDocument/2006/relationships/hyperlink" Target="https://www.sec.gov/Archives/edgar/data/1434316/000095017025107309/fate-ex10_2.htm" TargetMode="External"/><Relationship Id="rId419" Type="http://schemas.openxmlformats.org/officeDocument/2006/relationships/hyperlink" Target="https://www.sec.gov/Archives/edgar/data/1434316/000119312525132301/d42374dex101.htm" TargetMode="External"/><Relationship Id="rId420" Type="http://schemas.openxmlformats.org/officeDocument/2006/relationships/hyperlink" Target="https://www.sec.gov/Archives/edgar/data/1434316/000095017024020158/fate-ex14_1.htm" TargetMode="External"/><Relationship Id="rId421" Type="http://schemas.openxmlformats.org/officeDocument/2006/relationships/hyperlink" Target="https://www.sec.gov/Archives/edgar/data/1434316/000095017025033510/fate-ex19_1.htm" TargetMode="External"/><Relationship Id="rId422" Type="http://schemas.openxmlformats.org/officeDocument/2006/relationships/hyperlink" Target="https://www.sec.gov/Archives/edgar/data/1434316/000095017023005067/fate-ex21_1.htm" TargetMode="External"/><Relationship Id="rId423" Type="http://schemas.openxmlformats.org/officeDocument/2006/relationships/hyperlink" Target="https://www.sec.gov/Archives/edgar/data/1434316/000095017024020158/fat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2026-02-26T08:16:15Z</dcterms:created>
  <dcterms:modified xsi:type="dcterms:W3CDTF">2026-02-26T08:16:15Z</dcterms:modified>
</cp:coreProperties>
</file>