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FATE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001-36076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65-1311552</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12278 Scripps Summit Drive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858 875-1800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FATE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below in Item 5.07 of this Current Report on Form 8-K, on June 12, 2026, the stockholders of Fate Therapeutics, Inc. (the “Company”) approved a third amendment and restatement of the Company’s 2022 Stock Option and Incentive Plan (as so amended and restated, the “2022 A&amp;R Plan”) to increase the maximum number of shares available under such plan by an additional 7,000,000 shares. A copy of the 2022 A&amp;R Plan, including the form of award agreements under the 2022 A&amp;R Plan, is filed as Exhibit 10.1 to this Current Report on Form 8-K and is incorporated in this Item 5.02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were submitted to the Company’s stockholders at the Annual Meeting of Stockholders held on June 12, 2026 (the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7" w:lineRule="exact"/>
        <w:rPr>
          <w:sz w:val="20"/>
          <w:szCs w:val="20"/>
          <w:color w:val="auto"/>
        </w:rPr>
      </w:pPr>
    </w:p>
    <w:p>
      <w:pPr>
        <w:ind w:right="500" w:firstLine="8"/>
        <w:spacing w:after="0" w:line="28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 Directors, as nominated by the board of directors (the “Board”) of the Company, to hold office until the 2029 Annual Meeting of Stockholders or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right="460" w:firstLine="8"/>
        <w:spacing w:after="0" w:line="28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independent registered public accounting firm of the Company for its fiscal year ending December 31, 2026;</w:t>
      </w:r>
    </w:p>
    <w:p>
      <w:pPr>
        <w:spacing w:after="0" w:line="161" w:lineRule="exact"/>
        <w:rPr>
          <w:rFonts w:ascii="Times New Roman" w:cs="Times New Roman" w:eastAsia="Times New Roman" w:hAnsi="Times New Roman"/>
          <w:sz w:val="18"/>
          <w:szCs w:val="18"/>
          <w:color w:val="auto"/>
        </w:rPr>
      </w:pPr>
    </w:p>
    <w:p>
      <w:pPr>
        <w:ind w:right="120" w:firstLine="8"/>
        <w:spacing w:after="0" w:line="28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to approve the compensation of the Company’s named executive officers as set forth in the Company’s Definitive Proxy Statement on Schedule 14A, filed with the Securities and Exchange Commission on April 24, 2026 (the “Proxy Statement”);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Company’s Amended and Restated 2022 Stock Option and Incentive Plan to increase the number of shares of the Company’s common stock (“Common Stock”) reserved for issuance by 7,000,000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are described in detail in the Proxy Statement.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116,281,693, which is the number of holders of record as of April 15, 2026, the record date for the Annual Meeting. The number of shares of Common Stock present or represented by valid proxy at the Annual Meeting was 87,134,422. All matters submitted to a vote of the Company’s stockholders at the Annual Meeting were approved and all director nominees were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votes cast for and against and the number of abstentions and broker non-votes with respect to each matter voted upon are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Election of Class I Directors.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160" w:type="dxa"/>
            <w:vAlign w:val="bottom"/>
          </w:tcPr>
          <w:p>
            <w:pPr>
              <w:spacing w:after="0"/>
              <w:rPr>
                <w:sz w:val="16"/>
                <w:szCs w:val="16"/>
                <w:color w:val="auto"/>
              </w:rPr>
            </w:pPr>
          </w:p>
        </w:tc>
        <w:tc>
          <w:tcPr>
            <w:tcW w:w="192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6"/>
                <w:szCs w:val="16"/>
                <w:color w:val="auto"/>
              </w:rPr>
            </w:pPr>
          </w:p>
        </w:tc>
        <w:tc>
          <w:tcPr>
            <w:tcW w:w="250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40" w:type="dxa"/>
            <w:vAlign w:val="bottom"/>
          </w:tcPr>
          <w:p>
            <w:pPr>
              <w:spacing w:after="0"/>
              <w:rPr>
                <w:sz w:val="16"/>
                <w:szCs w:val="16"/>
                <w:color w:val="auto"/>
              </w:rPr>
            </w:pPr>
          </w:p>
        </w:tc>
        <w:tc>
          <w:tcPr>
            <w:tcW w:w="25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50"/>
        </w:trPr>
        <w:tc>
          <w:tcPr>
            <w:tcW w:w="3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 Epstein, M.D., M.S.</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59,332,820</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1,717,842</w:t>
            </w:r>
          </w:p>
        </w:tc>
        <w:tc>
          <w:tcPr>
            <w:tcW w:w="1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26,083,760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Karin Jooss, Ph.D.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59,655,584</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1,395,078</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26,083,760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J. Hamill</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60,850,004</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200,658</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26,083,760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60" w:firstLine="8"/>
        <w:spacing w:after="0" w:line="282"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2026.</w:t>
      </w:r>
    </w:p>
    <w:p>
      <w:pPr>
        <w:spacing w:after="0" w:line="37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86,552,927</w:t>
            </w: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308,582</w:t>
            </w: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272,913</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Non-binding advisory vote on the compensation of the Company’s named executive officers.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5"/>
                <w:szCs w:val="15"/>
                <w:color w:val="auto"/>
              </w:rPr>
            </w:pPr>
          </w:p>
        </w:tc>
        <w:tc>
          <w:tcPr>
            <w:tcW w:w="26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0" w:type="dxa"/>
            <w:vAlign w:val="bottom"/>
          </w:tcPr>
          <w:p>
            <w:pPr>
              <w:spacing w:after="0"/>
              <w:rPr>
                <w:sz w:val="15"/>
                <w:szCs w:val="15"/>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6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59,168,689</w:t>
            </w:r>
          </w:p>
        </w:tc>
        <w:tc>
          <w:tcPr>
            <w:tcW w:w="180" w:type="dxa"/>
            <w:vAlign w:val="bottom"/>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1,808,669</w:t>
            </w:r>
          </w:p>
        </w:tc>
        <w:tc>
          <w:tcPr>
            <w:tcW w:w="180" w:type="dxa"/>
            <w:vAlign w:val="bottom"/>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73,304</w:t>
            </w:r>
          </w:p>
        </w:tc>
        <w:tc>
          <w:tcPr>
            <w:tcW w:w="140" w:type="dxa"/>
            <w:vAlign w:val="bottom"/>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26,083,760</w:t>
            </w:r>
          </w:p>
        </w:tc>
        <w:tc>
          <w:tcPr>
            <w:tcW w:w="180" w:type="dxa"/>
            <w:vAlign w:val="bottom"/>
          </w:tcPr>
          <w:p>
            <w:pPr>
              <w:spacing w:after="0"/>
              <w:rPr>
                <w:sz w:val="18"/>
                <w:szCs w:val="18"/>
                <w:color w:val="auto"/>
              </w:rPr>
            </w:pPr>
          </w:p>
        </w:tc>
      </w:tr>
      <w:tr>
        <w:trPr>
          <w:trHeight w:val="979"/>
        </w:trPr>
        <w:tc>
          <w:tcPr>
            <w:tcW w:w="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820" w:firstLine="8"/>
        <w:spacing w:after="0" w:line="282"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and restatement of the 2022 A&amp;R Plan to increase the number of shares of Common Stock reserved for issuance thereunder.</w:t>
      </w:r>
    </w:p>
    <w:p>
      <w:pPr>
        <w:spacing w:after="0" w:line="37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46,645,607</w:t>
            </w: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14,304,810</w:t>
            </w: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100,245</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26,083,760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7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Third Amended and Restated 2022 Stock Option and Incentive Plan and form agreements thereunder</w:t>
            </w:r>
          </w:p>
        </w:tc>
        <w:tc>
          <w:tcPr>
            <w:tcW w:w="2600" w:type="dxa"/>
            <w:vAlign w:val="bottom"/>
          </w:tcPr>
          <w:p>
            <w:pPr>
              <w:spacing w:after="0"/>
              <w:rPr>
                <w:sz w:val="14"/>
                <w:szCs w:val="14"/>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Bahram Valamehr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 INCENTIVE PLAN</w:t>
      </w:r>
    </w:p>
    <w:p>
      <w:pPr>
        <w:spacing w:after="0" w:line="37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name of the plan is the Fate Therapeutics, Inc. Third Amended and Restated 2022 Stock Option and Incentive Plan (the “Plan”). The purpose of the Plan is to encourage and enable the officers, employees, Non-Employee Directors and Consultants of Fate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motivating their efforts on the Company’s behalf and strengthening their desire to remain with the Company.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U.S. Securities Act of 1933, as amended, and the rules and regulations thereunder.</w:t>
      </w:r>
    </w:p>
    <w:p>
      <w:pPr>
        <w:spacing w:after="0" w:line="225"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Agreement is subject to the terms and conditions of the Plan.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U.S. Internal Revenue Code of 1986, as amended, and any successor Code, and related rules, regulations and interpretations.</w:t>
      </w:r>
    </w:p>
    <w:p>
      <w:pPr>
        <w:spacing w:after="0" w:line="252"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58"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 dividends that would have been paid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specified in the Dividend Equivalent Right (or other award to which it relates) if such shares had been issued to and held by the grantee.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2"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58"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8"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 Administrator may determine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9" w:lineRule="exact"/>
        <w:rPr>
          <w:sz w:val="20"/>
          <w:szCs w:val="20"/>
          <w:color w:val="auto"/>
        </w:rPr>
      </w:pPr>
    </w:p>
    <w:p>
      <w:pPr>
        <w:ind w:right="20" w:firstLine="8"/>
        <w:spacing w:after="0" w:line="25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jc w:val="both"/>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 any Affiliate (e.g., a Service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continue without interruption in the event an individual’s status changes from full-time employee to part-time employee or Consultant).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2"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indirectly.</w:t>
      </w:r>
    </w:p>
    <w:p>
      <w:pPr>
        <w:spacing w:after="0" w:line="158"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or subsidiary corporation.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760" w:hanging="243"/>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17" w:lineRule="exact"/>
        <w:rPr>
          <w:rFonts w:ascii="Times New Roman" w:cs="Times New Roman" w:eastAsia="Times New Roman" w:hAnsi="Times New Roman"/>
          <w:sz w:val="18"/>
          <w:szCs w:val="18"/>
          <w:color w:val="auto"/>
        </w:rPr>
      </w:pPr>
    </w:p>
    <w:p>
      <w:pPr>
        <w:ind w:right="100" w:firstLine="517"/>
        <w:spacing w:after="0" w:line="282" w:lineRule="auto"/>
        <w:tabs>
          <w:tab w:leader="none" w:pos="7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360" w:hanging="206"/>
        <w:spacing w:after="0"/>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ind w:right="140" w:firstLine="1154"/>
        <w:spacing w:after="0" w:line="266" w:lineRule="auto"/>
        <w:tabs>
          <w:tab w:leader="none" w:pos="14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67" w:lineRule="exact"/>
        <w:rPr>
          <w:rFonts w:ascii="Times New Roman" w:cs="Times New Roman" w:eastAsia="Times New Roman" w:hAnsi="Times New Roman"/>
          <w:sz w:val="18"/>
          <w:szCs w:val="18"/>
          <w:color w:val="auto"/>
        </w:rPr>
      </w:pPr>
    </w:p>
    <w:p>
      <w:pPr>
        <w:ind w:left="1460" w:hanging="306"/>
        <w:spacing w:after="0"/>
        <w:tabs>
          <w:tab w:leader="none" w:pos="1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17" w:lineRule="exact"/>
        <w:rPr>
          <w:rFonts w:ascii="Times New Roman" w:cs="Times New Roman" w:eastAsia="Times New Roman" w:hAnsi="Times New Roman"/>
          <w:sz w:val="18"/>
          <w:szCs w:val="18"/>
          <w:color w:val="auto"/>
        </w:rPr>
      </w:pPr>
    </w:p>
    <w:p>
      <w:pPr>
        <w:ind w:right="100" w:firstLine="1154"/>
        <w:spacing w:after="0" w:line="282" w:lineRule="auto"/>
        <w:tabs>
          <w:tab w:leader="none" w:pos="14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53"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right="600" w:firstLine="1154"/>
        <w:spacing w:after="0" w:line="282" w:lineRule="auto"/>
        <w:tabs>
          <w:tab w:leader="none" w:pos="14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or 6(d), as applicable, to extend at any time the period in which Stock Options or Stock Appreciation Rights, as applicable, may be exercised; and</w:t>
      </w:r>
    </w:p>
    <w:p>
      <w:pPr>
        <w:spacing w:after="0" w:line="53" w:lineRule="exact"/>
        <w:rPr>
          <w:rFonts w:ascii="Times New Roman" w:cs="Times New Roman" w:eastAsia="Times New Roman" w:hAnsi="Times New Roman"/>
          <w:sz w:val="18"/>
          <w:szCs w:val="18"/>
          <w:color w:val="auto"/>
        </w:rPr>
      </w:pPr>
    </w:p>
    <w:p>
      <w:pPr>
        <w:ind w:right="100" w:firstLine="1154"/>
        <w:spacing w:after="0" w:line="261"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firstLine="517"/>
        <w:spacing w:after="0" w:line="255" w:lineRule="auto"/>
        <w:tabs>
          <w:tab w:leader="none" w:pos="7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right="100" w:firstLine="517"/>
        <w:spacing w:after="0" w:line="282" w:lineRule="auto"/>
        <w:tabs>
          <w:tab w:leader="none" w:pos="7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without limitation, the term of an Award and the provisions applicable in the event employment or service terminates.</w:t>
      </w:r>
    </w:p>
    <w:p>
      <w:pPr>
        <w:spacing w:after="0" w:line="53" w:lineRule="exact"/>
        <w:rPr>
          <w:rFonts w:ascii="Times New Roman" w:cs="Times New Roman" w:eastAsia="Times New Roman" w:hAnsi="Times New Roman"/>
          <w:sz w:val="18"/>
          <w:szCs w:val="18"/>
          <w:color w:val="auto"/>
        </w:rPr>
      </w:pPr>
    </w:p>
    <w:p>
      <w:pPr>
        <w:ind w:right="40" w:firstLine="517"/>
        <w:spacing w:after="0" w:line="282" w:lineRule="auto"/>
        <w:tabs>
          <w:tab w:leader="none" w:pos="7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72" w:lineRule="exact"/>
        <w:rPr>
          <w:sz w:val="20"/>
          <w:szCs w:val="20"/>
          <w:color w:val="auto"/>
        </w:rPr>
      </w:pPr>
    </w:p>
    <w:p>
      <w:pPr>
        <w:ind w:right="40" w:firstLine="517"/>
        <w:spacing w:after="0" w:line="253" w:lineRule="auto"/>
        <w:tabs>
          <w:tab w:leader="none" w:pos="7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4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STOCK ISSUABLE UNDER THE PLAN; MERGERS; SUBSTITUTION</w:t>
      </w:r>
    </w:p>
    <w:p>
      <w:pPr>
        <w:spacing w:after="0" w:line="117" w:lineRule="exact"/>
        <w:rPr>
          <w:sz w:val="20"/>
          <w:szCs w:val="20"/>
          <w:color w:val="auto"/>
        </w:rPr>
      </w:pPr>
    </w:p>
    <w:p>
      <w:pPr>
        <w:ind w:right="20" w:firstLine="517"/>
        <w:spacing w:after="0" w:line="252" w:lineRule="auto"/>
        <w:tabs>
          <w:tab w:leader="none" w:pos="7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31,500,000 shares, subject to adjustment as provided in this Section 3. For purposes of this limitation, the shares of Stock underlying any awards under the Plan and under the Company’s Amended and Restated 2013 Stock Option and Incentive Plan, as amended from time to time,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(ii) shares subject to a Stock Appreciation Right that are not issued in connection with the stock settlement of the Stock Appreciation Right upon exercise thereof and (iii) shares subject to Awards that are surrendered or cancelled under any program under which outstanding Awards are amended to provide for a lower exercise price or surrendered or cancelled in exchange for (A) Awards with a lower exercise price, (B) a different type of Award, (C) cash or (D) a combination of (A), (B) and/or (C); provided, that (iii) does not include any (x) action described in Sections 3(b) or 3(c) nor (y) transfer or other disposition permitted under Section 12.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31,500,000 shares of the Stock may be issued in the form of Incentive Stock Options. The shares available for issuance under the Plan may be authorized but unissued shares of Stock or shares of Stock reacquired by the Company. During the terms of the Awards, the Company shall keep available at all times the number of shares of Stock required to satisfy such Awards.</w:t>
      </w:r>
    </w:p>
    <w:p>
      <w:pPr>
        <w:spacing w:after="0" w:line="86" w:lineRule="exact"/>
        <w:rPr>
          <w:rFonts w:ascii="Times New Roman" w:cs="Times New Roman" w:eastAsia="Times New Roman" w:hAnsi="Times New Roman"/>
          <w:sz w:val="18"/>
          <w:szCs w:val="18"/>
          <w:color w:val="auto"/>
        </w:rPr>
      </w:pPr>
    </w:p>
    <w:p>
      <w:pPr>
        <w:ind w:firstLine="517"/>
        <w:spacing w:after="0" w:line="253" w:lineRule="auto"/>
        <w:tabs>
          <w:tab w:leader="none" w:pos="7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84" w:lineRule="exact"/>
        <w:rPr>
          <w:sz w:val="20"/>
          <w:szCs w:val="20"/>
          <w:color w:val="auto"/>
        </w:rPr>
      </w:pPr>
    </w:p>
    <w:p>
      <w:pPr>
        <w:ind w:right="20" w:firstLine="517"/>
        <w:spacing w:after="0" w:line="252" w:lineRule="auto"/>
        <w:tabs>
          <w:tab w:leader="none" w:pos="7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shall be deemed vested and nonforfeitable in connection with the Sale Event and the target level of performance for each performance goal for the entire performance period shall be deemed achieved. In the event of such termination of the Plan and such Awards,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82" w:lineRule="exact"/>
        <w:rPr>
          <w:rFonts w:ascii="Times New Roman" w:cs="Times New Roman" w:eastAsia="Times New Roman" w:hAnsi="Times New Roman"/>
          <w:sz w:val="18"/>
          <w:szCs w:val="18"/>
          <w:color w:val="auto"/>
        </w:rPr>
      </w:pPr>
    </w:p>
    <w:p>
      <w:pPr>
        <w:jc w:val="both"/>
        <w:ind w:right="240" w:firstLine="517"/>
        <w:spacing w:after="0" w:line="258" w:lineRule="auto"/>
        <w:tabs>
          <w:tab w:leader="none" w:pos="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for services as a Non-Employee Director in any calendar year shall not exceed (i) $1,500,000 in the first calendar year an individual becomes a Non-Employee Director and (ii) $1,000,000 in any other calendar year.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33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right="140" w:firstLine="517"/>
        <w:spacing w:after="0" w:line="282" w:lineRule="auto"/>
        <w:tabs>
          <w:tab w:leader="none" w:pos="7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68" w:lineRule="exact"/>
        <w:rPr>
          <w:sz w:val="20"/>
          <w:szCs w:val="20"/>
          <w:color w:val="auto"/>
        </w:rPr>
      </w:pPr>
    </w:p>
    <w:p>
      <w:pPr>
        <w:ind w:right="20" w:firstLine="517"/>
        <w:spacing w:after="0" w:line="256" w:lineRule="auto"/>
        <w:tabs>
          <w:tab w:leader="none" w:pos="7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79"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67" w:lineRule="exact"/>
        <w:rPr>
          <w:rFonts w:ascii="Times New Roman" w:cs="Times New Roman" w:eastAsia="Times New Roman" w:hAnsi="Times New Roman"/>
          <w:sz w:val="18"/>
          <w:szCs w:val="18"/>
          <w:color w:val="auto"/>
        </w:rPr>
      </w:pPr>
    </w:p>
    <w:p>
      <w:pPr>
        <w:ind w:firstLine="517"/>
        <w:spacing w:after="0" w:line="261" w:lineRule="auto"/>
        <w:tabs>
          <w:tab w:leader="none" w:pos="7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1" w:lineRule="exact"/>
        <w:rPr>
          <w:rFonts w:ascii="Times New Roman" w:cs="Times New Roman" w:eastAsia="Times New Roman" w:hAnsi="Times New Roman"/>
          <w:sz w:val="18"/>
          <w:szCs w:val="18"/>
          <w:color w:val="auto"/>
        </w:rPr>
      </w:pPr>
    </w:p>
    <w:p>
      <w:pPr>
        <w:ind w:right="40" w:firstLine="517"/>
        <w:spacing w:after="0" w:line="266" w:lineRule="auto"/>
        <w:tabs>
          <w:tab w:leader="none" w:pos="7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67" w:lineRule="exact"/>
        <w:rPr>
          <w:rFonts w:ascii="Times New Roman" w:cs="Times New Roman" w:eastAsia="Times New Roman" w:hAnsi="Times New Roman"/>
          <w:sz w:val="18"/>
          <w:szCs w:val="18"/>
          <w:color w:val="auto"/>
        </w:rPr>
      </w:pPr>
    </w:p>
    <w:p>
      <w:pPr>
        <w:ind w:left="1360" w:hanging="206"/>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17" w:lineRule="exact"/>
        <w:rPr>
          <w:rFonts w:ascii="Times New Roman" w:cs="Times New Roman" w:eastAsia="Times New Roman" w:hAnsi="Times New Roman"/>
          <w:sz w:val="18"/>
          <w:szCs w:val="18"/>
          <w:color w:val="auto"/>
        </w:rPr>
      </w:pPr>
    </w:p>
    <w:p>
      <w:pPr>
        <w:ind w:right="80" w:firstLine="1154"/>
        <w:spacing w:after="0" w:line="282" w:lineRule="auto"/>
        <w:tabs>
          <w:tab w:leader="none" w:pos="14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53" w:lineRule="exact"/>
        <w:rPr>
          <w:rFonts w:ascii="Times New Roman" w:cs="Times New Roman" w:eastAsia="Times New Roman" w:hAnsi="Times New Roman"/>
          <w:sz w:val="18"/>
          <w:szCs w:val="18"/>
          <w:color w:val="auto"/>
        </w:rPr>
      </w:pPr>
    </w:p>
    <w:p>
      <w:pPr>
        <w:jc w:val="both"/>
        <w:ind w:right="300" w:firstLine="1154"/>
        <w:spacing w:after="0" w:line="261"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2" w:lineRule="exact"/>
        <w:rPr>
          <w:rFonts w:ascii="Times New Roman" w:cs="Times New Roman" w:eastAsia="Times New Roman" w:hAnsi="Times New Roman"/>
          <w:sz w:val="18"/>
          <w:szCs w:val="18"/>
          <w:color w:val="auto"/>
        </w:rPr>
      </w:pPr>
    </w:p>
    <w:p>
      <w:pPr>
        <w:ind w:right="140" w:firstLine="1154"/>
        <w:spacing w:after="0" w:line="266" w:lineRule="auto"/>
        <w:tabs>
          <w:tab w:leader="none" w:pos="14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2" w:lineRule="exact"/>
        <w:rPr>
          <w:sz w:val="20"/>
          <w:szCs w:val="20"/>
          <w:color w:val="auto"/>
        </w:rPr>
      </w:pPr>
    </w:p>
    <w:p>
      <w:pPr>
        <w:ind w:right="120" w:firstLine="517"/>
        <w:spacing w:after="0" w:line="261" w:lineRule="auto"/>
        <w:tabs>
          <w:tab w:leader="none" w:pos="7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32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STOCK APPRECIATION RIGHTS</w:t>
      </w:r>
    </w:p>
    <w:p>
      <w:pPr>
        <w:spacing w:after="0" w:line="117" w:lineRule="exact"/>
        <w:rPr>
          <w:sz w:val="20"/>
          <w:szCs w:val="20"/>
          <w:color w:val="auto"/>
        </w:rPr>
      </w:pPr>
    </w:p>
    <w:p>
      <w:pPr>
        <w:ind w:right="100" w:firstLine="517"/>
        <w:spacing w:after="0" w:line="261" w:lineRule="auto"/>
        <w:tabs>
          <w:tab w:leader="none" w:pos="7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71" w:lineRule="exact"/>
        <w:rPr>
          <w:rFonts w:ascii="Times New Roman" w:cs="Times New Roman" w:eastAsia="Times New Roman" w:hAnsi="Times New Roman"/>
          <w:sz w:val="18"/>
          <w:szCs w:val="18"/>
          <w:color w:val="auto"/>
        </w:rPr>
      </w:pPr>
    </w:p>
    <w:p>
      <w:pPr>
        <w:ind w:firstLine="517"/>
        <w:spacing w:after="0" w:line="258" w:lineRule="auto"/>
        <w:tabs>
          <w:tab w:leader="none" w:pos="7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Appreciation Right is otherwise compliant with Section 409A.</w:t>
      </w:r>
    </w:p>
    <w:p>
      <w:pPr>
        <w:spacing w:after="0" w:line="115" w:lineRule="exact"/>
        <w:rPr>
          <w:rFonts w:ascii="Times New Roman" w:cs="Times New Roman" w:eastAsia="Times New Roman" w:hAnsi="Times New Roman"/>
          <w:sz w:val="18"/>
          <w:szCs w:val="18"/>
          <w:color w:val="auto"/>
        </w:rPr>
      </w:pPr>
    </w:p>
    <w:p>
      <w:pPr>
        <w:ind w:right="220" w:firstLine="517"/>
        <w:spacing w:after="0" w:line="282" w:lineRule="auto"/>
        <w:tabs>
          <w:tab w:leader="none" w:pos="7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53" w:lineRule="exact"/>
        <w:rPr>
          <w:rFonts w:ascii="Times New Roman" w:cs="Times New Roman" w:eastAsia="Times New Roman" w:hAnsi="Times New Roman"/>
          <w:sz w:val="18"/>
          <w:szCs w:val="18"/>
          <w:color w:val="auto"/>
        </w:rPr>
      </w:pPr>
    </w:p>
    <w:p>
      <w:pPr>
        <w:ind w:right="120" w:firstLine="517"/>
        <w:spacing w:after="0" w:line="266" w:lineRule="auto"/>
        <w:tabs>
          <w:tab w:leader="none" w:pos="7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32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firstLine="517"/>
        <w:spacing w:after="0" w:line="266" w:lineRule="auto"/>
        <w:tabs>
          <w:tab w:leader="none" w:pos="7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67" w:lineRule="exact"/>
        <w:rPr>
          <w:rFonts w:ascii="Times New Roman" w:cs="Times New Roman" w:eastAsia="Times New Roman" w:hAnsi="Times New Roman"/>
          <w:sz w:val="18"/>
          <w:szCs w:val="18"/>
          <w:color w:val="auto"/>
        </w:rPr>
      </w:pPr>
    </w:p>
    <w:p>
      <w:pPr>
        <w:ind w:firstLine="517"/>
        <w:spacing w:after="0" w:line="254" w:lineRule="auto"/>
        <w:tabs>
          <w:tab w:leader="none" w:pos="7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83" w:lineRule="exact"/>
        <w:rPr>
          <w:rFonts w:ascii="Times New Roman" w:cs="Times New Roman" w:eastAsia="Times New Roman" w:hAnsi="Times New Roman"/>
          <w:sz w:val="18"/>
          <w:szCs w:val="18"/>
          <w:color w:val="auto"/>
        </w:rPr>
      </w:pPr>
    </w:p>
    <w:p>
      <w:pPr>
        <w:ind w:right="320" w:firstLine="517"/>
        <w:spacing w:after="0" w:line="282" w:lineRule="auto"/>
        <w:tabs>
          <w:tab w:leader="none" w:pos="7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Agreement. Except as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21" w:lineRule="exact"/>
        <w:rPr>
          <w:sz w:val="20"/>
          <w:szCs w:val="20"/>
          <w:color w:val="auto"/>
        </w:rPr>
      </w:pPr>
    </w:p>
    <w:p>
      <w:pPr>
        <w:ind w:right="20" w:firstLine="517"/>
        <w:spacing w:after="0" w:line="261" w:lineRule="auto"/>
        <w:tabs>
          <w:tab w:leader="none" w:pos="7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328"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right="20" w:firstLine="517"/>
        <w:spacing w:after="0" w:line="254" w:lineRule="auto"/>
        <w:tabs>
          <w:tab w:leader="none" w:pos="7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83" w:lineRule="exact"/>
        <w:rPr>
          <w:rFonts w:ascii="Times New Roman" w:cs="Times New Roman" w:eastAsia="Times New Roman" w:hAnsi="Times New Roman"/>
          <w:sz w:val="18"/>
          <w:szCs w:val="18"/>
          <w:color w:val="auto"/>
        </w:rPr>
      </w:pPr>
    </w:p>
    <w:p>
      <w:pPr>
        <w:ind w:right="60" w:firstLine="517"/>
        <w:spacing w:after="0" w:line="254" w:lineRule="auto"/>
        <w:tabs>
          <w:tab w:leader="none" w:pos="7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80" w:lineRule="exact"/>
        <w:rPr>
          <w:rFonts w:ascii="Times New Roman" w:cs="Times New Roman" w:eastAsia="Times New Roman" w:hAnsi="Times New Roman"/>
          <w:sz w:val="18"/>
          <w:szCs w:val="18"/>
          <w:color w:val="auto"/>
        </w:rPr>
      </w:pPr>
    </w:p>
    <w:p>
      <w:pPr>
        <w:ind w:right="80" w:firstLine="517"/>
        <w:spacing w:after="0" w:line="266" w:lineRule="auto"/>
        <w:tabs>
          <w:tab w:leader="none" w:pos="7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67" w:lineRule="exact"/>
        <w:rPr>
          <w:rFonts w:ascii="Times New Roman" w:cs="Times New Roman" w:eastAsia="Times New Roman" w:hAnsi="Times New Roman"/>
          <w:sz w:val="18"/>
          <w:szCs w:val="18"/>
          <w:color w:val="auto"/>
        </w:rPr>
      </w:pPr>
    </w:p>
    <w:p>
      <w:pPr>
        <w:ind w:right="460" w:firstLine="517"/>
        <w:spacing w:after="0" w:line="266" w:lineRule="auto"/>
        <w:tabs>
          <w:tab w:leader="none" w:pos="7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0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u w:val="single" w:color="auto"/>
          <w:color w:val="auto"/>
        </w:rPr>
        <w:t>UNRESTRICTED STOCK AWARDS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Awards may be granted in respect of past services or other valid consideration, or in lieu of cash compensation due to such grantee.</w:t>
      </w:r>
    </w:p>
    <w:p>
      <w:pPr>
        <w:spacing w:after="0" w:line="37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u w:val="single" w:color="auto"/>
          <w:color w:val="auto"/>
        </w:rPr>
        <w:t>CASH-BASED AWARDS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33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DIVIDEND EQUIVALENT RIGHTS</w:t>
      </w:r>
    </w:p>
    <w:p>
      <w:pPr>
        <w:spacing w:after="0" w:line="117" w:lineRule="exact"/>
        <w:rPr>
          <w:sz w:val="20"/>
          <w:szCs w:val="20"/>
          <w:color w:val="auto"/>
        </w:rPr>
      </w:pPr>
    </w:p>
    <w:p>
      <w:pPr>
        <w:ind w:firstLine="517"/>
        <w:spacing w:after="0" w:line="253" w:lineRule="auto"/>
        <w:tabs>
          <w:tab w:leader="none" w:pos="7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spacing w:after="0" w:line="83" w:lineRule="exact"/>
        <w:rPr>
          <w:rFonts w:ascii="Times New Roman" w:cs="Times New Roman" w:eastAsia="Times New Roman" w:hAnsi="Times New Roman"/>
          <w:sz w:val="18"/>
          <w:szCs w:val="18"/>
          <w:color w:val="auto"/>
        </w:rPr>
      </w:pPr>
    </w:p>
    <w:p>
      <w:pPr>
        <w:jc w:val="both"/>
        <w:ind w:right="440" w:firstLine="517"/>
        <w:spacing w:after="0" w:line="266" w:lineRule="auto"/>
        <w:tabs>
          <w:tab w:leader="none" w:pos="7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0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TRANSFERABILITY OF AWARDS</w:t>
      </w:r>
    </w:p>
    <w:p>
      <w:pPr>
        <w:spacing w:after="0" w:line="117" w:lineRule="exact"/>
        <w:rPr>
          <w:sz w:val="20"/>
          <w:szCs w:val="20"/>
          <w:color w:val="auto"/>
        </w:rPr>
      </w:pPr>
    </w:p>
    <w:p>
      <w:pPr>
        <w:ind w:firstLine="517"/>
        <w:spacing w:after="0" w:line="258" w:lineRule="auto"/>
        <w:tabs>
          <w:tab w:leader="none" w:pos="7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5" w:lineRule="exact"/>
        <w:rPr>
          <w:rFonts w:ascii="Times New Roman" w:cs="Times New Roman" w:eastAsia="Times New Roman" w:hAnsi="Times New Roman"/>
          <w:sz w:val="18"/>
          <w:szCs w:val="18"/>
          <w:color w:val="auto"/>
        </w:rPr>
      </w:pPr>
    </w:p>
    <w:p>
      <w:pPr>
        <w:ind w:right="20" w:firstLine="517"/>
        <w:spacing w:after="0" w:line="258" w:lineRule="auto"/>
        <w:tabs>
          <w:tab w:leader="none" w:pos="7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75" w:lineRule="exact"/>
        <w:rPr>
          <w:rFonts w:ascii="Times New Roman" w:cs="Times New Roman" w:eastAsia="Times New Roman" w:hAnsi="Times New Roman"/>
          <w:sz w:val="18"/>
          <w:szCs w:val="18"/>
          <w:color w:val="auto"/>
        </w:rPr>
      </w:pPr>
    </w:p>
    <w:p>
      <w:pPr>
        <w:ind w:right="360" w:firstLine="517"/>
        <w:spacing w:after="0" w:line="261" w:lineRule="auto"/>
        <w:tabs>
          <w:tab w:leader="none" w:pos="7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of assets, and any other entity in which these persons (or the grantee) own more than 50 percent of the voting interests.</w:t>
      </w:r>
    </w:p>
    <w:p>
      <w:pPr>
        <w:spacing w:after="0" w:line="117" w:lineRule="exact"/>
        <w:rPr>
          <w:sz w:val="20"/>
          <w:szCs w:val="20"/>
          <w:color w:val="auto"/>
        </w:rPr>
      </w:pPr>
    </w:p>
    <w:p>
      <w:pPr>
        <w:ind w:firstLine="517"/>
        <w:spacing w:after="0" w:line="258" w:lineRule="auto"/>
        <w:tabs>
          <w:tab w:leader="none" w:pos="7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33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40" w:firstLine="517"/>
        <w:spacing w:after="0" w:line="256"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79" w:lineRule="exact"/>
        <w:rPr>
          <w:rFonts w:ascii="Times New Roman" w:cs="Times New Roman" w:eastAsia="Times New Roman" w:hAnsi="Times New Roman"/>
          <w:sz w:val="18"/>
          <w:szCs w:val="18"/>
          <w:color w:val="auto"/>
        </w:rPr>
      </w:pPr>
    </w:p>
    <w:p>
      <w:pPr>
        <w:ind w:right="20" w:firstLine="517"/>
        <w:spacing w:after="0" w:line="255" w:lineRule="auto"/>
        <w:tabs>
          <w:tab w:leader="none" w:pos="7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80" w:lineRule="exact"/>
        <w:rPr>
          <w:rFonts w:ascii="Times New Roman" w:cs="Times New Roman" w:eastAsia="Times New Roman" w:hAnsi="Times New Roman"/>
          <w:sz w:val="18"/>
          <w:szCs w:val="18"/>
          <w:color w:val="auto"/>
        </w:rPr>
      </w:pPr>
    </w:p>
    <w:p>
      <w:pPr>
        <w:ind w:right="180" w:firstLine="517"/>
        <w:spacing w:after="0" w:line="261"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Indemnification</w:t>
      </w:r>
      <w:r>
        <w:rPr>
          <w:rFonts w:ascii="Times New Roman" w:cs="Times New Roman" w:eastAsia="Times New Roman" w:hAnsi="Times New Roman"/>
          <w:sz w:val="18"/>
          <w:szCs w:val="18"/>
          <w:color w:val="auto"/>
        </w:rPr>
        <w:t>. As a condition to accepting an Award, in the event that the amount of the Company’s and/or its Affiliate’s withholding obligations in connection with such Award is greater than the amount actually withheld by the Company and/or its Affiliates, the applicable grantee shall indemnify and hold the Company and/or its Affiliates harmless from any failure by the Company and/or its Affiliates to withhold the proper amount.</w:t>
      </w:r>
    </w:p>
    <w:p>
      <w:pPr>
        <w:spacing w:after="0" w:line="71" w:lineRule="exact"/>
        <w:rPr>
          <w:rFonts w:ascii="Times New Roman" w:cs="Times New Roman" w:eastAsia="Times New Roman" w:hAnsi="Times New Roman"/>
          <w:sz w:val="18"/>
          <w:szCs w:val="18"/>
          <w:color w:val="auto"/>
        </w:rPr>
      </w:pPr>
    </w:p>
    <w:p>
      <w:pPr>
        <w:ind w:right="220" w:firstLine="517"/>
        <w:spacing w:after="0" w:line="261" w:lineRule="auto"/>
        <w:tabs>
          <w:tab w:leader="none" w:pos="7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Notify or Minimize Taxes</w:t>
      </w:r>
      <w:r>
        <w:rPr>
          <w:rFonts w:ascii="Times New Roman" w:cs="Times New Roman" w:eastAsia="Times New Roman" w:hAnsi="Times New Roman"/>
          <w:sz w:val="18"/>
          <w:szCs w:val="18"/>
          <w:color w:val="auto"/>
        </w:rPr>
        <w:t>. The Company and its Affiliates shall have no duty or obligation to any grantee of an Award to advise such holder as to the time or manner of exercising such Award, as applicable. Furthermore, the Company and its Affiliates shall have no duty or obligation to warn or otherwise advise such holder of any pending termination or expiration of an Award or any possible period in which the Award may not be exercised. The Company has no duty or obligation to minimize the tax consequences of an Award to the holder of such Award.</w:t>
      </w:r>
    </w:p>
    <w:p>
      <w:pPr>
        <w:spacing w:after="0" w:line="32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penalties and/or additional tax imposed pursuant to Section 409A. Further, the settlement of any 409A Award may not be accelerated except to the extent permitted by Section 409A.</w:t>
      </w:r>
    </w:p>
    <w:p>
      <w:pPr>
        <w:spacing w:after="0" w:line="27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17" w:lineRule="exact"/>
        <w:rPr>
          <w:sz w:val="20"/>
          <w:szCs w:val="20"/>
          <w:color w:val="auto"/>
        </w:rPr>
      </w:pPr>
    </w:p>
    <w:p>
      <w:pPr>
        <w:ind w:right="280" w:firstLine="517"/>
        <w:spacing w:after="0" w:line="282" w:lineRule="auto"/>
        <w:tabs>
          <w:tab w:leader="none" w:pos="7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117" w:lineRule="exact"/>
        <w:rPr>
          <w:rFonts w:ascii="Times New Roman" w:cs="Times New Roman" w:eastAsia="Times New Roman" w:hAnsi="Times New Roman"/>
          <w:sz w:val="18"/>
          <w:szCs w:val="18"/>
          <w:color w:val="auto"/>
        </w:rPr>
      </w:pPr>
    </w:p>
    <w:p>
      <w:pPr>
        <w:ind w:left="1360" w:hanging="206"/>
        <w:spacing w:after="0"/>
        <w:tabs>
          <w:tab w:leader="none" w:pos="13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117" w:lineRule="exact"/>
        <w:rPr>
          <w:rFonts w:ascii="Times New Roman" w:cs="Times New Roman" w:eastAsia="Times New Roman" w:hAnsi="Times New Roman"/>
          <w:sz w:val="18"/>
          <w:szCs w:val="18"/>
          <w:color w:val="auto"/>
        </w:rPr>
      </w:pPr>
    </w:p>
    <w:p>
      <w:pPr>
        <w:ind w:right="280" w:firstLine="1154"/>
        <w:spacing w:after="0" w:line="266" w:lineRule="auto"/>
        <w:tabs>
          <w:tab w:leader="none" w:pos="14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32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337"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1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100" w:firstLine="517"/>
        <w:spacing w:after="0" w:line="282" w:lineRule="auto"/>
        <w:tabs>
          <w:tab w:leader="none" w:pos="7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3" w:lineRule="exact"/>
        <w:rPr>
          <w:rFonts w:ascii="Times New Roman" w:cs="Times New Roman" w:eastAsia="Times New Roman" w:hAnsi="Times New Roman"/>
          <w:sz w:val="18"/>
          <w:szCs w:val="18"/>
          <w:color w:val="auto"/>
        </w:rPr>
      </w:pPr>
    </w:p>
    <w:p>
      <w:pPr>
        <w:ind w:firstLine="517"/>
        <w:spacing w:after="0" w:line="254" w:lineRule="auto"/>
        <w:tabs>
          <w:tab w:leader="none" w:pos="7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80" w:lineRule="exact"/>
        <w:rPr>
          <w:sz w:val="20"/>
          <w:szCs w:val="20"/>
          <w:color w:val="auto"/>
        </w:rPr>
      </w:pPr>
    </w:p>
    <w:p>
      <w:pPr>
        <w:ind w:firstLine="517"/>
        <w:spacing w:after="0" w:line="266" w:lineRule="auto"/>
        <w:tabs>
          <w:tab w:leader="none" w:pos="7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8" w:lineRule="exact"/>
        <w:rPr>
          <w:rFonts w:ascii="Times New Roman" w:cs="Times New Roman" w:eastAsia="Times New Roman" w:hAnsi="Times New Roman"/>
          <w:sz w:val="18"/>
          <w:szCs w:val="18"/>
          <w:color w:val="auto"/>
        </w:rPr>
      </w:pPr>
    </w:p>
    <w:p>
      <w:pPr>
        <w:ind w:right="300" w:firstLine="517"/>
        <w:spacing w:after="0" w:line="282" w:lineRule="auto"/>
        <w:tabs>
          <w:tab w:leader="none" w:pos="7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back policy as in effect from time to time.</w:t>
      </w:r>
    </w:p>
    <w:p>
      <w:pPr>
        <w:spacing w:after="0" w:line="37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324"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20.</w:t>
      </w:r>
      <w:r>
        <w:rPr>
          <w:sz w:val="20"/>
          <w:szCs w:val="20"/>
          <w:color w:val="auto"/>
        </w:rPr>
        <w:tab/>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APRIL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BOARD APPROVED AMENDED AND RESTATED PLAN: April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STOCKHOLDERS APPROVED AMENDED AND RESTATED PLAN: 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BOARD APPROVED SECOND AMENDED AND RESTATED PLAN: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STOCKHOLDERS APPROVED SECOND AMENDED AND RESTATED PLAN: May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BOARD APPROVED THIRD AMENDED AND RESTATED PLAN: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STOCKHOLDERS APPROVED THIRD AMENDED AND RESTATED PLAN: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 w:name="page18"/>
    <w:bookmarkEnd w:id="17"/>
    <w:tbl>
      <w:tblPr>
        <w:tblLayout w:type="fixed"/>
        <w:tblInd w:w="10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tc>
      </w:tr>
      <w:tr>
        <w:trPr>
          <w:trHeight w:val="216"/>
        </w:trPr>
        <w:tc>
          <w:tcPr>
            <w:tcW w:w="2620" w:type="dxa"/>
            <w:vAlign w:val="bottom"/>
          </w:tcPr>
          <w:p>
            <w:pPr>
              <w:spacing w:after="0"/>
              <w:rPr>
                <w:sz w:val="18"/>
                <w:szCs w:val="18"/>
                <w:color w:val="auto"/>
              </w:rPr>
            </w:pPr>
          </w:p>
        </w:tc>
        <w:tc>
          <w:tcPr>
            <w:tcW w:w="5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FATE THERAPEUTICS, INC.</w:t>
            </w:r>
          </w:p>
        </w:tc>
      </w:tr>
      <w:tr>
        <w:trPr>
          <w:trHeight w:val="216"/>
        </w:trPr>
        <w:tc>
          <w:tcPr>
            <w:tcW w:w="2620" w:type="dxa"/>
            <w:vAlign w:val="bottom"/>
          </w:tcPr>
          <w:p>
            <w:pPr>
              <w:spacing w:after="0"/>
              <w:rPr>
                <w:sz w:val="18"/>
                <w:szCs w:val="18"/>
                <w:color w:val="auto"/>
              </w:rPr>
            </w:pPr>
          </w:p>
        </w:tc>
        <w:tc>
          <w:tcPr>
            <w:tcW w:w="5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THIRD AMENDED AND RESTATED 2022 STOCK OPTION AND</w:t>
            </w:r>
          </w:p>
        </w:tc>
      </w:tr>
      <w:tr>
        <w:trPr>
          <w:trHeight w:val="238"/>
        </w:trPr>
        <w:tc>
          <w:tcPr>
            <w:tcW w:w="2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INCENTIVE PLAN</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16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237"/>
        </w:trPr>
        <w:tc>
          <w:tcPr>
            <w:tcW w:w="2620" w:type="dxa"/>
            <w:vAlign w:val="bottom"/>
          </w:tcPr>
          <w:p>
            <w:pPr>
              <w:spacing w:after="0"/>
              <w:rPr>
                <w:sz w:val="20"/>
                <w:szCs w:val="20"/>
                <w:color w:val="auto"/>
              </w:rPr>
            </w:pPr>
          </w:p>
        </w:tc>
        <w:tc>
          <w:tcPr>
            <w:tcW w:w="572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w w:val="99"/>
              </w:rPr>
              <w:t>[FMV on Grant Date (110% of FMV if a 10% owner)]</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237"/>
        </w:trPr>
        <w:tc>
          <w:tcPr>
            <w:tcW w:w="2620" w:type="dxa"/>
            <w:vAlign w:val="bottom"/>
          </w:tcPr>
          <w:p>
            <w:pPr>
              <w:spacing w:after="0"/>
              <w:rPr>
                <w:sz w:val="20"/>
                <w:szCs w:val="20"/>
                <w:color w:val="auto"/>
              </w:rPr>
            </w:pPr>
          </w:p>
        </w:tc>
        <w:tc>
          <w:tcPr>
            <w:tcW w:w="5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[up to 10 years (5 if a 10% owner)]</w:t>
            </w:r>
          </w:p>
        </w:tc>
      </w:tr>
    </w:tbl>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Fate Therapeutics, Inc. Third Amended and Restated 2022 Stock Option and Incentive Plan as amended through the date hereof (the “Plan”), Fate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80" w:lineRule="exact"/>
        <w:rPr>
          <w:sz w:val="20"/>
          <w:szCs w:val="20"/>
          <w:color w:val="auto"/>
        </w:rPr>
      </w:pPr>
    </w:p>
    <w:p>
      <w:pPr>
        <w:ind w:right="40" w:firstLine="757"/>
        <w:spacing w:after="0" w:line="261" w:lineRule="auto"/>
        <w:tabs>
          <w:tab w:leader="none" w:pos="10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continues to have a Service Relationship with the Company or a Subsidiary on such dates:</w:t>
      </w:r>
    </w:p>
    <w:p>
      <w:pPr>
        <w:spacing w:after="0" w:line="16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12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Incremental Number of</w:t>
            </w:r>
          </w:p>
        </w:tc>
        <w:tc>
          <w:tcPr>
            <w:tcW w:w="26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12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Option Shares Exercisable*</w:t>
            </w: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2220" w:hanging="311"/>
        <w:spacing w:after="0"/>
        <w:tabs>
          <w:tab w:leader="none" w:pos="2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*Max. of $100,000 per yr.</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00" w:firstLine="1505"/>
        <w:spacing w:after="0" w:line="266" w:lineRule="auto"/>
        <w:tabs>
          <w:tab w:leader="none" w:pos="20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8" w:name="page19"/>
    <w:bookmarkEnd w:id="18"/>
    <w:p>
      <w:pPr>
        <w:ind w:right="100"/>
        <w:spacing w:after="0" w:line="258" w:lineRule="auto"/>
        <w:rPr>
          <w:sz w:val="20"/>
          <w:szCs w:val="20"/>
          <w:color w:val="auto"/>
        </w:rPr>
      </w:pPr>
      <w:r>
        <w:rPr>
          <w:rFonts w:ascii="Times New Roman" w:cs="Times New Roman" w:eastAsia="Times New Roman" w:hAnsi="Times New Roman"/>
          <w:sz w:val="18"/>
          <w:szCs w:val="18"/>
          <w:color w:val="auto"/>
        </w:rPr>
        <w:t>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firstLine="1505"/>
        <w:spacing w:after="0" w:line="255" w:lineRule="auto"/>
        <w:tabs>
          <w:tab w:leader="none" w:pos="20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hereof.</w:t>
      </w:r>
    </w:p>
    <w:p>
      <w:pPr>
        <w:spacing w:after="0" w:line="206" w:lineRule="exact"/>
        <w:rPr>
          <w:rFonts w:ascii="Times New Roman" w:cs="Times New Roman" w:eastAsia="Times New Roman" w:hAnsi="Times New Roman"/>
          <w:sz w:val="18"/>
          <w:szCs w:val="18"/>
          <w:color w:val="auto"/>
        </w:rPr>
      </w:pPr>
    </w:p>
    <w:p>
      <w:pPr>
        <w:ind w:right="340" w:firstLine="757"/>
        <w:spacing w:after="0" w:line="282"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right="20" w:firstLine="1505"/>
        <w:spacing w:after="0" w:line="261" w:lineRule="auto"/>
        <w:tabs>
          <w:tab w:leader="none" w:pos="20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termination by reason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60" w:firstLine="1505"/>
        <w:spacing w:after="0" w:line="258" w:lineRule="auto"/>
        <w:tabs>
          <w:tab w:leader="none" w:pos="20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the termination of the Optionee’s Service Relationship by reason of disability shall terminate immediately and be of no further force or effect.</w:t>
      </w:r>
    </w:p>
    <w:p>
      <w:pPr>
        <w:spacing w:after="0" w:line="183" w:lineRule="exact"/>
        <w:rPr>
          <w:rFonts w:ascii="Times New Roman" w:cs="Times New Roman" w:eastAsia="Times New Roman" w:hAnsi="Times New Roman"/>
          <w:sz w:val="18"/>
          <w:szCs w:val="18"/>
          <w:color w:val="auto"/>
        </w:rPr>
      </w:pPr>
    </w:p>
    <w:p>
      <w:pPr>
        <w:ind w:right="60" w:firstLine="1505"/>
        <w:spacing w:after="0" w:line="266" w:lineRule="auto"/>
        <w:tabs>
          <w:tab w:leader="none" w:pos="20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0" w:lineRule="exact"/>
        <w:rPr>
          <w:sz w:val="20"/>
          <w:szCs w:val="20"/>
          <w:color w:val="auto"/>
        </w:rPr>
      </w:pPr>
    </w:p>
    <w:p>
      <w:pPr>
        <w:ind w:right="40" w:firstLine="1505"/>
        <w:spacing w:after="0" w:line="258" w:lineRule="auto"/>
        <w:tabs>
          <w:tab w:leader="none" w:pos="20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jc w:val="both"/>
        <w:ind w:right="200" w:firstLine="757"/>
        <w:spacing w:after="0" w:line="266"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Stock Option</w:t>
      </w:r>
      <w:r>
        <w:rPr>
          <w:rFonts w:ascii="Times New Roman" w:cs="Times New Roman" w:eastAsia="Times New Roman" w:hAnsi="Times New Roman"/>
          <w:sz w:val="18"/>
          <w:szCs w:val="18"/>
          <w:color w:val="auto"/>
        </w:rPr>
        <w:t xml:space="preserve">. This Stock Option is intended to qualify as an “incentive stock option” under Section 422 of the U.S.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cs="Times New Roman" w:eastAsia="Times New Roman" w:hAnsi="Times New Roman"/>
          <w:sz w:val="18"/>
          <w:szCs w:val="18"/>
          <w:b w:val="1"/>
          <w:bCs w:val="1"/>
          <w:i w:val="1"/>
          <w:iCs w:val="1"/>
          <w:color w:val="auto"/>
        </w:rPr>
        <w:t>this Stock Option must be exercised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three months after termination of employment as an employee (or 12 months in the case of death or disability) to qualify as an “incentive stock option.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8"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ind w:left="-8" w:right="140" w:firstLine="757"/>
        <w:spacing w:after="0" w:line="266"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5" w:lineRule="exact"/>
        <w:rPr>
          <w:rFonts w:ascii="Times New Roman" w:cs="Times New Roman" w:eastAsia="Times New Roman" w:hAnsi="Times New Roman"/>
          <w:sz w:val="18"/>
          <w:szCs w:val="18"/>
          <w:color w:val="auto"/>
        </w:rPr>
      </w:pPr>
    </w:p>
    <w:p>
      <w:pPr>
        <w:ind w:left="-8" w:right="260" w:firstLine="757"/>
        <w:spacing w:after="0" w:line="282"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8" w:firstLine="757"/>
        <w:spacing w:after="0" w:line="255"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w:t>
      </w:r>
    </w:p>
    <w:p>
      <w:pPr>
        <w:spacing w:after="0" w:line="2" w:lineRule="exact"/>
        <w:rPr>
          <w:rFonts w:ascii="Times New Roman" w:cs="Times New Roman" w:eastAsia="Times New Roman" w:hAnsi="Times New Roman"/>
          <w:sz w:val="18"/>
          <w:szCs w:val="18"/>
          <w:color w:val="auto"/>
        </w:rPr>
      </w:pPr>
    </w:p>
    <w:p>
      <w:pPr>
        <w:ind w:left="-8" w:right="100" w:firstLine="8"/>
        <w:spacing w:after="0" w:line="253" w:lineRule="auto"/>
        <w:tabs>
          <w:tab w:leader="none" w:pos="2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8" w:right="140" w:firstLine="757"/>
        <w:spacing w:after="0" w:line="266" w:lineRule="auto"/>
        <w:tabs>
          <w:tab w:leader="none" w:pos="10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8" w:right="40" w:firstLine="757"/>
        <w:spacing w:after="0" w:line="252" w:lineRule="auto"/>
        <w:tabs>
          <w:tab w:leader="none" w:pos="10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Optionee acknowledges that the Optionee may become subject to the Fate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Optionee’s employment agreement with the Company, as amended from time to time, or, in the case that any such employment agreement does not contain the definition of Good Reason, as defined in the Company’s Severance and Change in Control Policy, as amended from time to time)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16884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95" w:lineRule="exact"/>
        <w:rPr>
          <w:sz w:val="20"/>
          <w:szCs w:val="20"/>
          <w:color w:val="auto"/>
        </w:rPr>
      </w:pPr>
    </w:p>
    <w:p>
      <w:pPr>
        <w:ind w:left="352" w:hanging="352"/>
        <w:spacing w:after="0"/>
        <w:tabs>
          <w:tab w:leader="none" w:pos="352"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Section 16 officers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21" w:name="page22"/>
    <w:bookmarkEnd w:id="21"/>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-7620</wp:posOffset>
            </wp:positionV>
            <wp:extent cx="228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COMPANY CONSULTANTS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FATE THERAPEUTICS,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25" w:lineRule="exact"/>
        <w:rPr>
          <w:sz w:val="20"/>
          <w:szCs w:val="20"/>
          <w:color w:val="auto"/>
        </w:rPr>
      </w:pPr>
    </w:p>
    <w:p>
      <w:pPr>
        <w:ind w:left="100"/>
        <w:spacing w:after="0"/>
        <w:tabs>
          <w:tab w:leader="none" w:pos="1012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 Date: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0" w:lineRule="exact"/>
        <w:rPr>
          <w:sz w:val="20"/>
          <w:szCs w:val="20"/>
          <w:color w:val="auto"/>
        </w:rPr>
      </w:pPr>
    </w:p>
    <w:p>
      <w:pPr>
        <w:spacing w:after="0" w:line="24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Pursuant to the Fate Therapeutics, Inc. Third Amended and Restated 2022 Stock Option and Incentive Plan as amended through the date hereof (the “Plan”), Fate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183" w:lineRule="exact"/>
        <w:rPr>
          <w:sz w:val="20"/>
          <w:szCs w:val="20"/>
          <w:color w:val="auto"/>
        </w:rPr>
      </w:pPr>
    </w:p>
    <w:p>
      <w:pPr>
        <w:ind w:right="80" w:firstLine="757"/>
        <w:spacing w:after="0" w:line="266" w:lineRule="auto"/>
        <w:tabs>
          <w:tab w:leader="none" w:pos="1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76" w:lineRule="exact"/>
        <w:rPr>
          <w:sz w:val="20"/>
          <w:szCs w:val="20"/>
          <w:color w:val="auto"/>
        </w:rPr>
      </w:pPr>
    </w:p>
    <w:p>
      <w:pPr>
        <w:ind w:left="1120" w:hanging="363"/>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 long as Optionee continues to have a Service Relationship with the Company or a Subsidiary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-7620</wp:posOffset>
            </wp:positionV>
            <wp:extent cx="190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00" w:firstLine="1505"/>
        <w:spacing w:after="0" w:line="266" w:lineRule="auto"/>
        <w:tabs>
          <w:tab w:leader="none" w:pos="20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3" w:name="page24"/>
    <w:bookmarkEnd w:id="23"/>
    <w:p>
      <w:pPr>
        <w:ind w:right="40"/>
        <w:spacing w:after="0" w:line="282" w:lineRule="auto"/>
        <w:rPr>
          <w:sz w:val="20"/>
          <w:szCs w:val="20"/>
          <w:color w:val="auto"/>
        </w:rPr>
      </w:pPr>
      <w:r>
        <w:rPr>
          <w:rFonts w:ascii="Times New Roman" w:cs="Times New Roman" w:eastAsia="Times New Roman" w:hAnsi="Times New Roman"/>
          <w:sz w:val="18"/>
          <w:szCs w:val="18"/>
          <w:color w:val="auto"/>
        </w:rPr>
        <w:t>the largest whole number of shares with a Fair Market Value that does not exceed the aggregate exercise price; or (v) a combination of (i), (ii), (iii) and (iv) above. Payment instruments will be received subject to collection.</w:t>
      </w:r>
    </w:p>
    <w:p>
      <w:pPr>
        <w:spacing w:after="0" w:line="16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right="20" w:firstLine="1505"/>
        <w:spacing w:after="0" w:line="255" w:lineRule="auto"/>
        <w:tabs>
          <w:tab w:leader="none" w:pos="20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hereof.</w:t>
      </w:r>
    </w:p>
    <w:p>
      <w:pPr>
        <w:spacing w:after="0" w:line="206" w:lineRule="exact"/>
        <w:rPr>
          <w:rFonts w:ascii="Times New Roman" w:cs="Times New Roman" w:eastAsia="Times New Roman" w:hAnsi="Times New Roman"/>
          <w:sz w:val="18"/>
          <w:szCs w:val="18"/>
          <w:color w:val="auto"/>
        </w:rPr>
      </w:pPr>
    </w:p>
    <w:p>
      <w:pPr>
        <w:ind w:right="60" w:firstLine="757"/>
        <w:spacing w:after="0" w:line="266" w:lineRule="auto"/>
        <w:tabs>
          <w:tab w:leader="none" w:pos="10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Except as may otherwise be provided by the Administrator, if the Optionee’s Service Relationship with the Company or a Subsidiary (as defined in the Plan) is terminated, the period within which to exercise the Stock Option may be subject to earlier termination as set forth below.</w:t>
      </w:r>
    </w:p>
    <w:p>
      <w:pPr>
        <w:spacing w:after="0" w:line="175" w:lineRule="exact"/>
        <w:rPr>
          <w:rFonts w:ascii="Times New Roman" w:cs="Times New Roman" w:eastAsia="Times New Roman" w:hAnsi="Times New Roman"/>
          <w:sz w:val="18"/>
          <w:szCs w:val="18"/>
          <w:color w:val="auto"/>
        </w:rPr>
      </w:pPr>
    </w:p>
    <w:p>
      <w:pPr>
        <w:ind w:right="40" w:firstLine="1505"/>
        <w:spacing w:after="0" w:line="261" w:lineRule="auto"/>
        <w:tabs>
          <w:tab w:leader="none" w:pos="20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termination by reason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80" w:firstLine="1505"/>
        <w:spacing w:after="0" w:line="258" w:lineRule="auto"/>
        <w:tabs>
          <w:tab w:leader="none" w:pos="20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the termination of the Optionee’s Service Relationship by reason of disability shall terminate immediately and be of no further force or effect.</w:t>
      </w:r>
    </w:p>
    <w:p>
      <w:pPr>
        <w:spacing w:after="0" w:line="183" w:lineRule="exact"/>
        <w:rPr>
          <w:rFonts w:ascii="Times New Roman" w:cs="Times New Roman" w:eastAsia="Times New Roman" w:hAnsi="Times New Roman"/>
          <w:sz w:val="18"/>
          <w:szCs w:val="18"/>
          <w:color w:val="auto"/>
        </w:rPr>
      </w:pPr>
    </w:p>
    <w:p>
      <w:pPr>
        <w:ind w:firstLine="1505"/>
        <w:spacing w:after="0" w:line="256" w:lineRule="auto"/>
        <w:tabs>
          <w:tab w:leader="none" w:pos="20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 consulting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deliberate non-performance (other than by reason of disability) by the Optionee of the Optionee’s duties to the Company.</w:t>
      </w:r>
    </w:p>
    <w:p>
      <w:pPr>
        <w:spacing w:after="0" w:line="225" w:lineRule="exact"/>
        <w:rPr>
          <w:sz w:val="20"/>
          <w:szCs w:val="20"/>
          <w:color w:val="auto"/>
        </w:rPr>
      </w:pPr>
    </w:p>
    <w:p>
      <w:pPr>
        <w:ind w:right="40" w:firstLine="1505"/>
        <w:spacing w:after="0" w:line="258" w:lineRule="auto"/>
        <w:tabs>
          <w:tab w:leader="none" w:pos="20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jc w:val="both"/>
        <w:ind w:right="200" w:firstLine="757"/>
        <w:spacing w:after="0" w:line="266"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jc w:val="both"/>
        <w:ind w:right="140" w:firstLine="757"/>
        <w:spacing w:after="0" w:line="266"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5" w:lineRule="exact"/>
        <w:rPr>
          <w:rFonts w:ascii="Times New Roman" w:cs="Times New Roman" w:eastAsia="Times New Roman" w:hAnsi="Times New Roman"/>
          <w:sz w:val="18"/>
          <w:szCs w:val="18"/>
          <w:color w:val="auto"/>
        </w:rPr>
      </w:pPr>
    </w:p>
    <w:p>
      <w:pPr>
        <w:ind w:right="260" w:firstLine="757"/>
        <w:spacing w:after="0" w:line="282"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w:t>
      </w:r>
    </w:p>
    <w:p>
      <w:pPr>
        <w:spacing w:after="0" w:line="2" w:lineRule="exact"/>
        <w:rPr>
          <w:rFonts w:ascii="Times New Roman" w:cs="Times New Roman" w:eastAsia="Times New Roman" w:hAnsi="Times New Roman"/>
          <w:sz w:val="18"/>
          <w:szCs w:val="18"/>
          <w:color w:val="auto"/>
        </w:rPr>
      </w:pPr>
    </w:p>
    <w:p>
      <w:pPr>
        <w:ind w:right="120" w:firstLine="8"/>
        <w:spacing w:after="0" w:line="260"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2" w:lineRule="exact"/>
        <w:rPr>
          <w:sz w:val="20"/>
          <w:szCs w:val="20"/>
          <w:color w:val="auto"/>
        </w:rPr>
      </w:pPr>
    </w:p>
    <w:p>
      <w:pPr>
        <w:ind w:right="120" w:firstLine="757"/>
        <w:spacing w:after="0" w:line="266"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-7620</wp:posOffset>
            </wp:positionV>
            <wp:extent cx="228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tbl>
      <w:tblPr>
        <w:tblLayout w:type="fixed"/>
        <w:tblInd w:w="10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540" w:type="dxa"/>
            <w:vAlign w:val="bottom"/>
            <w:gridSpan w:val="4"/>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tc>
      </w:tr>
      <w:tr>
        <w:trPr>
          <w:trHeight w:val="216"/>
        </w:trPr>
        <w:tc>
          <w:tcPr>
            <w:tcW w:w="2620" w:type="dxa"/>
            <w:vAlign w:val="bottom"/>
          </w:tcPr>
          <w:p>
            <w:pPr>
              <w:spacing w:after="0"/>
              <w:rPr>
                <w:sz w:val="18"/>
                <w:szCs w:val="18"/>
                <w:color w:val="auto"/>
              </w:rPr>
            </w:pPr>
          </w:p>
        </w:tc>
        <w:tc>
          <w:tcPr>
            <w:tcW w:w="55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FOR NON-EMPLOYEE DIRECTORS</w:t>
            </w:r>
          </w:p>
        </w:tc>
      </w:tr>
      <w:tr>
        <w:trPr>
          <w:trHeight w:val="216"/>
        </w:trPr>
        <w:tc>
          <w:tcPr>
            <w:tcW w:w="2620" w:type="dxa"/>
            <w:vAlign w:val="bottom"/>
          </w:tcPr>
          <w:p>
            <w:pPr>
              <w:spacing w:after="0"/>
              <w:rPr>
                <w:sz w:val="18"/>
                <w:szCs w:val="18"/>
                <w:color w:val="auto"/>
              </w:rPr>
            </w:pPr>
          </w:p>
        </w:tc>
        <w:tc>
          <w:tcPr>
            <w:tcW w:w="55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UNDER THE FATE THERAPEUTICS, INC.</w:t>
            </w:r>
          </w:p>
        </w:tc>
      </w:tr>
      <w:tr>
        <w:trPr>
          <w:trHeight w:val="216"/>
        </w:trPr>
        <w:tc>
          <w:tcPr>
            <w:tcW w:w="2620" w:type="dxa"/>
            <w:vAlign w:val="bottom"/>
          </w:tcPr>
          <w:p>
            <w:pPr>
              <w:spacing w:after="0"/>
              <w:rPr>
                <w:sz w:val="18"/>
                <w:szCs w:val="18"/>
                <w:color w:val="auto"/>
              </w:rPr>
            </w:pPr>
          </w:p>
        </w:tc>
        <w:tc>
          <w:tcPr>
            <w:tcW w:w="55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THIRD AMENDED AND RESTATED 2022 STOCK OPTION AND</w:t>
            </w:r>
          </w:p>
        </w:tc>
      </w:tr>
      <w:tr>
        <w:trPr>
          <w:trHeight w:val="238"/>
        </w:trPr>
        <w:tc>
          <w:tcPr>
            <w:tcW w:w="2620" w:type="dxa"/>
            <w:vAlign w:val="bottom"/>
          </w:tcPr>
          <w:p>
            <w:pPr>
              <w:spacing w:after="0"/>
              <w:rPr>
                <w:sz w:val="20"/>
                <w:szCs w:val="20"/>
                <w:color w:val="auto"/>
              </w:rPr>
            </w:pPr>
          </w:p>
        </w:tc>
        <w:tc>
          <w:tcPr>
            <w:tcW w:w="55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INCENTIVE PLAN</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2780" w:type="dxa"/>
            <w:vAlign w:val="bottom"/>
            <w:gridSpan w:val="2"/>
          </w:tcPr>
          <w:p>
            <w:pPr>
              <w:ind w:left="27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2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2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2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 to 10 years (5 if a 10% owner)]</w:t>
            </w:r>
          </w:p>
        </w:tc>
      </w:tr>
    </w:tbl>
    <w:p>
      <w:pPr>
        <w:spacing w:after="0" w:line="200" w:lineRule="exact"/>
        <w:rPr>
          <w:sz w:val="20"/>
          <w:szCs w:val="20"/>
          <w:color w:val="auto"/>
        </w:rPr>
      </w:pPr>
    </w:p>
    <w:p>
      <w:pPr>
        <w:spacing w:after="0" w:line="21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Fate Therapeutics, Inc. Third Amended and Restated 2022 Stock Option and Incentive Plan as amended through the date hereof (the “Plan”), Fate Therapeutics,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187" w:lineRule="exact"/>
        <w:rPr>
          <w:sz w:val="20"/>
          <w:szCs w:val="20"/>
          <w:color w:val="auto"/>
        </w:rPr>
      </w:pPr>
    </w:p>
    <w:p>
      <w:pPr>
        <w:ind w:right="80" w:firstLine="757"/>
        <w:spacing w:after="0" w:line="261" w:lineRule="auto"/>
        <w:tabs>
          <w:tab w:leader="none" w:pos="10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continues to have a Service Relationship with the Company or a Subsidiary on such dates:</w:t>
      </w:r>
    </w:p>
    <w:p>
      <w:pPr>
        <w:spacing w:after="0" w:line="163"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3060" w:type="dxa"/>
            <w:vAlign w:val="bottom"/>
          </w:tcPr>
          <w:p>
            <w:pPr>
              <w:jc w:val="center"/>
              <w:ind w:right="1468"/>
              <w:spacing w:after="0"/>
              <w:rPr>
                <w:sz w:val="20"/>
                <w:szCs w:val="20"/>
                <w:color w:val="auto"/>
              </w:rPr>
            </w:pPr>
            <w:r>
              <w:rPr>
                <w:rFonts w:ascii="Times New Roman" w:cs="Times New Roman" w:eastAsia="Times New Roman" w:hAnsi="Times New Roman"/>
                <w:sz w:val="14"/>
                <w:szCs w:val="14"/>
                <w:color w:val="auto"/>
              </w:rPr>
              <w:t>Incremental Number of</w:t>
            </w:r>
          </w:p>
        </w:tc>
        <w:tc>
          <w:tcPr>
            <w:tcW w:w="26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060" w:type="dxa"/>
            <w:vAlign w:val="bottom"/>
          </w:tcPr>
          <w:p>
            <w:pPr>
              <w:jc w:val="center"/>
              <w:ind w:right="1468"/>
              <w:spacing w:after="0"/>
              <w:rPr>
                <w:sz w:val="20"/>
                <w:szCs w:val="20"/>
                <w:color w:val="auto"/>
              </w:rPr>
            </w:pPr>
            <w:r>
              <w:rPr>
                <w:rFonts w:ascii="Times New Roman" w:cs="Times New Roman" w:eastAsia="Times New Roman" w:hAnsi="Times New Roman"/>
                <w:sz w:val="14"/>
                <w:szCs w:val="14"/>
                <w:color w:val="auto"/>
              </w:rPr>
              <w:t>Option Shares Exercisable</w:t>
            </w: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2220" w:hanging="311"/>
        <w:spacing w:after="0"/>
        <w:tabs>
          <w:tab w:leader="none" w:pos="2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Option Shares shall immediately be deemed vested and exercisable on the date of such Sale Event; provided, that the Optionee remains in a Service Relationship with the Company or a Subsidiary until the date of such Sale Event. Once exercisable, this Stock Option shall continue to be exercisable at any time or times prior to the close of business on the Expiration Date, subject to the provisions hereof and of the Plan.</w:t>
      </w:r>
    </w:p>
    <w:p>
      <w:pPr>
        <w:spacing w:after="0" w:line="180"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40" w:firstLine="1505"/>
        <w:spacing w:after="0" w:line="266" w:lineRule="auto"/>
        <w:tabs>
          <w:tab w:leader="none" w:pos="20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jc w:val="both"/>
        <w:ind w:right="280" w:firstLine="1505"/>
        <w:spacing w:after="0" w:line="266"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3" w:lineRule="exact"/>
        <w:rPr>
          <w:sz w:val="20"/>
          <w:szCs w:val="20"/>
          <w:color w:val="auto"/>
        </w:rPr>
      </w:pPr>
    </w:p>
    <w:p>
      <w:pPr>
        <w:ind w:left="2040" w:hanging="535"/>
        <w:spacing w:after="0"/>
        <w:tabs>
          <w:tab w:leader="none" w:pos="20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hereof.</w:t>
      </w:r>
    </w:p>
    <w:p>
      <w:pPr>
        <w:spacing w:after="0" w:line="206" w:lineRule="exact"/>
        <w:rPr>
          <w:rFonts w:ascii="Times New Roman" w:cs="Times New Roman" w:eastAsia="Times New Roman" w:hAnsi="Times New Roman"/>
          <w:sz w:val="18"/>
          <w:szCs w:val="18"/>
          <w:color w:val="auto"/>
        </w:rPr>
      </w:pPr>
    </w:p>
    <w:p>
      <w:pPr>
        <w:ind w:right="400" w:firstLine="757"/>
        <w:spacing w:after="0" w:line="282" w:lineRule="auto"/>
        <w:tabs>
          <w:tab w:leader="none" w:pos="10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is terminated,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firstLine="1505"/>
        <w:spacing w:after="0" w:line="261" w:lineRule="auto"/>
        <w:tabs>
          <w:tab w:leader="none" w:pos="20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termination by reason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40" w:firstLine="1505"/>
        <w:spacing w:after="0" w:line="266" w:lineRule="auto"/>
        <w:tabs>
          <w:tab w:leader="none" w:pos="20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any portion of this Stock Option outstanding on such date may be exercised, to the extent exercisable on the date the Optionee’s Service Relationship with the Company or a Subsidiary is terminated, for a period of six months from the date the Optionee’s Service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8" w:name="page29"/>
    <w:bookmarkEnd w:id="28"/>
    <w:p>
      <w:pPr>
        <w:ind w:right="160"/>
        <w:spacing w:after="0" w:line="282" w:lineRule="auto"/>
        <w:rPr>
          <w:sz w:val="20"/>
          <w:szCs w:val="20"/>
          <w:color w:val="auto"/>
        </w:rPr>
      </w:pPr>
      <w:r>
        <w:rPr>
          <w:rFonts w:ascii="Times New Roman" w:cs="Times New Roman" w:eastAsia="Times New Roman" w:hAnsi="Times New Roman"/>
          <w:sz w:val="18"/>
          <w:szCs w:val="18"/>
          <w:color w:val="auto"/>
        </w:rPr>
        <w:t>with the Company or a Subsidiary is terminated or until the Expiration Date, if earlier. Any portion of this Stock Option that is not exercisable on the date the Optionee ceases to be a Non-Employee Director shall terminate immediately and be of no further force or effect.</w:t>
      </w:r>
    </w:p>
    <w:p>
      <w:pPr>
        <w:spacing w:after="0" w:line="162" w:lineRule="exact"/>
        <w:rPr>
          <w:sz w:val="20"/>
          <w:szCs w:val="20"/>
          <w:color w:val="auto"/>
        </w:rPr>
      </w:pPr>
    </w:p>
    <w:p>
      <w:pPr>
        <w:jc w:val="both"/>
        <w:ind w:right="200" w:firstLine="757"/>
        <w:spacing w:after="0" w:line="266"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80" w:firstLine="757"/>
        <w:spacing w:after="0" w:line="282"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Plan nor this Stock Option confers upon the Optionee any rights with respect to continuance of his or her Service Relationship with the Company or a Subsidiary.</w:t>
      </w:r>
    </w:p>
    <w:p>
      <w:pPr>
        <w:spacing w:after="0" w:line="161" w:lineRule="exact"/>
        <w:rPr>
          <w:rFonts w:ascii="Times New Roman" w:cs="Times New Roman" w:eastAsia="Times New Roman" w:hAnsi="Times New Roman"/>
          <w:sz w:val="18"/>
          <w:szCs w:val="18"/>
          <w:color w:val="auto"/>
        </w:rPr>
      </w:pPr>
    </w:p>
    <w:p>
      <w:pPr>
        <w:ind w:right="260" w:firstLine="757"/>
        <w:spacing w:after="0" w:line="282"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w:t>
      </w:r>
    </w:p>
    <w:p>
      <w:pPr>
        <w:spacing w:after="0" w:line="2" w:lineRule="exact"/>
        <w:rPr>
          <w:rFonts w:ascii="Times New Roman" w:cs="Times New Roman" w:eastAsia="Times New Roman" w:hAnsi="Times New Roman"/>
          <w:sz w:val="18"/>
          <w:szCs w:val="18"/>
          <w:color w:val="auto"/>
        </w:rPr>
      </w:pPr>
    </w:p>
    <w:p>
      <w:pPr>
        <w:ind w:right="100" w:firstLine="8"/>
        <w:spacing w:after="0" w:line="253" w:lineRule="auto"/>
        <w:tabs>
          <w:tab w:leader="none" w:pos="2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right="140" w:firstLine="757"/>
        <w:spacing w:after="0" w:line="266" w:lineRule="auto"/>
        <w:tabs>
          <w:tab w:leader="none" w:pos="10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-7620</wp:posOffset>
            </wp:positionV>
            <wp:extent cx="228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30" w:name="page31"/>
    <w:bookmarkEnd w:id="30"/>
    <w:tbl>
      <w:tblPr>
        <w:tblLayout w:type="fixed"/>
        <w:tblInd w:w="10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54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tc>
      </w:tr>
      <w:tr>
        <w:trPr>
          <w:trHeight w:val="216"/>
        </w:trPr>
        <w:tc>
          <w:tcPr>
            <w:tcW w:w="2620" w:type="dxa"/>
            <w:vAlign w:val="bottom"/>
          </w:tcPr>
          <w:p>
            <w:pPr>
              <w:spacing w:after="0"/>
              <w:rPr>
                <w:sz w:val="18"/>
                <w:szCs w:val="18"/>
                <w:color w:val="auto"/>
              </w:rPr>
            </w:pPr>
          </w:p>
        </w:tc>
        <w:tc>
          <w:tcPr>
            <w:tcW w:w="554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FOR COMPANY EMPLOYEES</w:t>
            </w:r>
          </w:p>
        </w:tc>
      </w:tr>
      <w:tr>
        <w:trPr>
          <w:trHeight w:val="216"/>
        </w:trPr>
        <w:tc>
          <w:tcPr>
            <w:tcW w:w="2620" w:type="dxa"/>
            <w:vAlign w:val="bottom"/>
          </w:tcPr>
          <w:p>
            <w:pPr>
              <w:spacing w:after="0"/>
              <w:rPr>
                <w:sz w:val="18"/>
                <w:szCs w:val="18"/>
                <w:color w:val="auto"/>
              </w:rPr>
            </w:pPr>
          </w:p>
        </w:tc>
        <w:tc>
          <w:tcPr>
            <w:tcW w:w="55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UNDER THE FATE THERAPEUTICS, INC.</w:t>
            </w:r>
          </w:p>
        </w:tc>
      </w:tr>
      <w:tr>
        <w:trPr>
          <w:trHeight w:val="216"/>
        </w:trPr>
        <w:tc>
          <w:tcPr>
            <w:tcW w:w="2620" w:type="dxa"/>
            <w:vAlign w:val="bottom"/>
          </w:tcPr>
          <w:p>
            <w:pPr>
              <w:spacing w:after="0"/>
              <w:rPr>
                <w:sz w:val="18"/>
                <w:szCs w:val="18"/>
                <w:color w:val="auto"/>
              </w:rPr>
            </w:pPr>
          </w:p>
        </w:tc>
        <w:tc>
          <w:tcPr>
            <w:tcW w:w="55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THIRD AMENDED AND RESTATED 2022 STOCK OPTION AND</w:t>
            </w:r>
          </w:p>
        </w:tc>
      </w:tr>
      <w:tr>
        <w:trPr>
          <w:trHeight w:val="238"/>
        </w:trPr>
        <w:tc>
          <w:tcPr>
            <w:tcW w:w="2620" w:type="dxa"/>
            <w:vAlign w:val="bottom"/>
          </w:tcPr>
          <w:p>
            <w:pPr>
              <w:spacing w:after="0"/>
              <w:rPr>
                <w:sz w:val="20"/>
                <w:szCs w:val="20"/>
                <w:color w:val="auto"/>
              </w:rPr>
            </w:pPr>
          </w:p>
        </w:tc>
        <w:tc>
          <w:tcPr>
            <w:tcW w:w="55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INCENTIVE PLAN</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3940" w:type="dxa"/>
            <w:vAlign w:val="bottom"/>
          </w:tcPr>
          <w:p>
            <w:pPr>
              <w:ind w:left="386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236"/>
        </w:trPr>
        <w:tc>
          <w:tcPr>
            <w:tcW w:w="2620" w:type="dxa"/>
            <w:vAlign w:val="bottom"/>
          </w:tcPr>
          <w:p>
            <w:pPr>
              <w:spacing w:after="0"/>
              <w:rPr>
                <w:sz w:val="20"/>
                <w:szCs w:val="20"/>
                <w:color w:val="auto"/>
              </w:rPr>
            </w:pPr>
          </w:p>
        </w:tc>
        <w:tc>
          <w:tcPr>
            <w:tcW w:w="5540" w:type="dxa"/>
            <w:vAlign w:val="bottom"/>
            <w:gridSpan w:val="3"/>
          </w:tcPr>
          <w:p>
            <w:pPr>
              <w:ind w:left="3860"/>
              <w:spacing w:after="0"/>
              <w:rPr>
                <w:sz w:val="20"/>
                <w:szCs w:val="20"/>
                <w:color w:val="auto"/>
              </w:rPr>
            </w:pPr>
            <w:r>
              <w:rPr>
                <w:rFonts w:ascii="Times New Roman" w:cs="Times New Roman" w:eastAsia="Times New Roman" w:hAnsi="Times New Roman"/>
                <w:sz w:val="18"/>
                <w:szCs w:val="18"/>
                <w:b w:val="1"/>
                <w:bCs w:val="1"/>
                <w:color w:val="auto"/>
                <w:w w:val="98"/>
              </w:rPr>
              <w:t>[FMV on Grant Date]</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Pursuant to the Fate Therapeutics, Inc. Third Amended and Restated 2022 Stock Option and Incentive Plan as amended through the date hereof (the “Plan”), Fate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183" w:lineRule="exact"/>
        <w:rPr>
          <w:sz w:val="20"/>
          <w:szCs w:val="20"/>
          <w:color w:val="auto"/>
        </w:rPr>
      </w:pPr>
    </w:p>
    <w:p>
      <w:pPr>
        <w:ind w:right="80" w:firstLine="757"/>
        <w:spacing w:after="0" w:line="261" w:lineRule="auto"/>
        <w:tabs>
          <w:tab w:leader="none" w:pos="10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pacing w:after="0" w:line="163"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3060" w:type="dxa"/>
            <w:vAlign w:val="bottom"/>
          </w:tcPr>
          <w:p>
            <w:pPr>
              <w:jc w:val="center"/>
              <w:ind w:right="1468"/>
              <w:spacing w:after="0"/>
              <w:rPr>
                <w:sz w:val="20"/>
                <w:szCs w:val="20"/>
                <w:color w:val="auto"/>
              </w:rPr>
            </w:pPr>
            <w:r>
              <w:rPr>
                <w:rFonts w:ascii="Times New Roman" w:cs="Times New Roman" w:eastAsia="Times New Roman" w:hAnsi="Times New Roman"/>
                <w:sz w:val="14"/>
                <w:szCs w:val="14"/>
                <w:color w:val="auto"/>
              </w:rPr>
              <w:t>Incremental Number of</w:t>
            </w:r>
          </w:p>
        </w:tc>
        <w:tc>
          <w:tcPr>
            <w:tcW w:w="26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060" w:type="dxa"/>
            <w:vAlign w:val="bottom"/>
          </w:tcPr>
          <w:p>
            <w:pPr>
              <w:jc w:val="center"/>
              <w:ind w:right="1468"/>
              <w:spacing w:after="0"/>
              <w:rPr>
                <w:sz w:val="20"/>
                <w:szCs w:val="20"/>
                <w:color w:val="auto"/>
              </w:rPr>
            </w:pPr>
            <w:r>
              <w:rPr>
                <w:rFonts w:ascii="Times New Roman" w:cs="Times New Roman" w:eastAsia="Times New Roman" w:hAnsi="Times New Roman"/>
                <w:sz w:val="14"/>
                <w:szCs w:val="14"/>
                <w:color w:val="auto"/>
              </w:rPr>
              <w:t>Option Shares Exercisable</w:t>
            </w: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719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2220" w:hanging="311"/>
        <w:spacing w:after="0"/>
        <w:tabs>
          <w:tab w:leader="none" w:pos="2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1020" w:hanging="26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00" w:firstLine="1505"/>
        <w:spacing w:after="0" w:line="266" w:lineRule="auto"/>
        <w:tabs>
          <w:tab w:leader="none" w:pos="20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1" w:name="page32"/>
    <w:bookmarkEnd w:id="31"/>
    <w:p>
      <w:pPr>
        <w:ind w:right="20"/>
        <w:spacing w:after="0" w:line="256" w:lineRule="auto"/>
        <w:rPr>
          <w:sz w:val="20"/>
          <w:szCs w:val="20"/>
          <w:color w:val="auto"/>
        </w:rPr>
      </w:pPr>
      <w:r>
        <w:rPr>
          <w:rFonts w:ascii="Times New Roman" w:cs="Times New Roman" w:eastAsia="Times New Roman" w:hAnsi="Times New Roman"/>
          <w:sz w:val="18"/>
          <w:szCs w:val="18"/>
          <w:color w:val="auto"/>
        </w:rPr>
        <w:t>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firstLine="1505"/>
        <w:spacing w:after="0" w:line="255" w:lineRule="auto"/>
        <w:tabs>
          <w:tab w:leader="none" w:pos="203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hereof.</w:t>
      </w:r>
    </w:p>
    <w:p>
      <w:pPr>
        <w:spacing w:after="0" w:line="206" w:lineRule="exact"/>
        <w:rPr>
          <w:rFonts w:ascii="Times New Roman" w:cs="Times New Roman" w:eastAsia="Times New Roman" w:hAnsi="Times New Roman"/>
          <w:sz w:val="18"/>
          <w:szCs w:val="18"/>
          <w:color w:val="auto"/>
        </w:rPr>
      </w:pPr>
    </w:p>
    <w:p>
      <w:pPr>
        <w:ind w:right="340" w:firstLine="757"/>
        <w:spacing w:after="0" w:line="282" w:lineRule="auto"/>
        <w:tabs>
          <w:tab w:leader="none" w:pos="10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right="20" w:firstLine="1505"/>
        <w:spacing w:after="0" w:line="261" w:lineRule="auto"/>
        <w:tabs>
          <w:tab w:leader="none" w:pos="20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termination by reason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60" w:firstLine="1505"/>
        <w:spacing w:after="0" w:line="258" w:lineRule="auto"/>
        <w:tabs>
          <w:tab w:leader="none" w:pos="20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the termination of the Optionee’s Service Relationship by reason of disability shall terminate immediately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ind w:right="60" w:firstLine="1505"/>
        <w:spacing w:after="0" w:line="255" w:lineRule="auto"/>
        <w:tabs>
          <w:tab w:leader="none" w:pos="20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8" w:lineRule="exact"/>
        <w:rPr>
          <w:rFonts w:ascii="Times New Roman" w:cs="Times New Roman" w:eastAsia="Times New Roman" w:hAnsi="Times New Roman"/>
          <w:sz w:val="18"/>
          <w:szCs w:val="18"/>
          <w:color w:val="auto"/>
        </w:rPr>
      </w:pPr>
    </w:p>
    <w:p>
      <w:pPr>
        <w:ind w:right="20" w:firstLine="1505"/>
        <w:spacing w:after="0" w:line="258" w:lineRule="auto"/>
        <w:tabs>
          <w:tab w:leader="none" w:pos="20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jc w:val="both"/>
        <w:ind w:right="180" w:firstLine="757"/>
        <w:spacing w:after="0" w:line="266"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0" w:firstLine="757"/>
        <w:spacing w:after="0" w:line="266"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 or Other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an employment or any other Service Relationship with the Company or a Subsidiary and neither the Plan nor this Agreement shall interfere in any way with the right of the Company or any Subsidiary to terminate the Optionee’s employment or any other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right="240" w:firstLine="757"/>
        <w:spacing w:after="0" w:line="282" w:lineRule="auto"/>
        <w:tabs>
          <w:tab w:leader="none" w:pos="10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ind w:left="-8" w:firstLine="757"/>
        <w:spacing w:after="0" w:line="255" w:lineRule="auto"/>
        <w:tabs>
          <w:tab w:leader="none" w:pos="101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w:t>
      </w:r>
    </w:p>
    <w:p>
      <w:pPr>
        <w:spacing w:after="0" w:line="2" w:lineRule="exact"/>
        <w:rPr>
          <w:rFonts w:ascii="Times New Roman" w:cs="Times New Roman" w:eastAsia="Times New Roman" w:hAnsi="Times New Roman"/>
          <w:sz w:val="18"/>
          <w:szCs w:val="18"/>
          <w:color w:val="auto"/>
        </w:rPr>
      </w:pPr>
    </w:p>
    <w:p>
      <w:pPr>
        <w:ind w:left="-8" w:right="100" w:firstLine="8"/>
        <w:spacing w:after="0" w:line="253" w:lineRule="auto"/>
        <w:tabs>
          <w:tab w:leader="none" w:pos="2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8" w:right="140" w:firstLine="757"/>
        <w:spacing w:after="0" w:line="266" w:lineRule="auto"/>
        <w:tabs>
          <w:tab w:leader="none" w:pos="10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8" w:right="40" w:firstLine="757"/>
        <w:spacing w:after="0" w:line="252" w:lineRule="auto"/>
        <w:tabs>
          <w:tab w:leader="none" w:pos="10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Optionee acknowledges that the Optionee may become subject to the Fate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Optionee’s employment agreement with the Company, as amended from time to time, or, in the case that any such employment agreement does not contain the definition of Good Reason, as defined in the Company’s Severance and Change in Control Policy, as amended from time to time)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168846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95" w:lineRule="exact"/>
        <w:rPr>
          <w:sz w:val="20"/>
          <w:szCs w:val="20"/>
          <w:color w:val="auto"/>
        </w:rPr>
      </w:pPr>
    </w:p>
    <w:p>
      <w:pPr>
        <w:ind w:left="352" w:hanging="352"/>
        <w:spacing w:after="0"/>
        <w:tabs>
          <w:tab w:leader="none" w:pos="352"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34" w:name="page35"/>
    <w:bookmarkEnd w:id="34"/>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-7620</wp:posOffset>
            </wp:positionV>
            <wp:extent cx="228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FATE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of Shares: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 Date:</w:t>
      </w:r>
    </w:p>
    <w:p>
      <w:pPr>
        <w:spacing w:after="0" w:line="200" w:lineRule="exact"/>
        <w:rPr>
          <w:sz w:val="20"/>
          <w:szCs w:val="20"/>
          <w:color w:val="auto"/>
        </w:rPr>
      </w:pPr>
    </w:p>
    <w:p>
      <w:pPr>
        <w:spacing w:after="0" w:line="24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Fate Therapeutics, Inc. Third Amended and Restated 2022 Stock Option and Incentive Plan (the “Plan”) as amended through the date hereof, Fate Therapeutics,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87" w:lineRule="exact"/>
        <w:rPr>
          <w:sz w:val="20"/>
          <w:szCs w:val="20"/>
          <w:color w:val="auto"/>
        </w:rPr>
      </w:pPr>
    </w:p>
    <w:p>
      <w:pPr>
        <w:ind w:right="100" w:firstLine="757"/>
        <w:spacing w:after="0" w:line="258" w:lineRule="auto"/>
        <w:tabs>
          <w:tab w:leader="none" w:pos="10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00" w:firstLine="1505"/>
        <w:spacing w:after="0" w:line="282"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61" w:lineRule="exact"/>
        <w:rPr>
          <w:rFonts w:ascii="Times New Roman" w:cs="Times New Roman" w:eastAsia="Times New Roman" w:hAnsi="Times New Roman"/>
          <w:sz w:val="18"/>
          <w:szCs w:val="18"/>
          <w:color w:val="auto"/>
        </w:rPr>
      </w:pPr>
    </w:p>
    <w:p>
      <w:pPr>
        <w:ind w:right="40" w:firstLine="1505"/>
        <w:spacing w:after="0" w:line="282"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granted herein may not be sold, assigned, transferred, pledged or otherwise encumbered or disposed of by the Grantee prior to vesting.</w:t>
      </w:r>
    </w:p>
    <w:p>
      <w:pPr>
        <w:spacing w:after="0" w:line="161" w:lineRule="exact"/>
        <w:rPr>
          <w:rFonts w:ascii="Times New Roman" w:cs="Times New Roman" w:eastAsia="Times New Roman" w:hAnsi="Times New Roman"/>
          <w:sz w:val="18"/>
          <w:szCs w:val="18"/>
          <w:color w:val="auto"/>
        </w:rPr>
      </w:pPr>
    </w:p>
    <w:p>
      <w:pPr>
        <w:ind w:right="60" w:firstLine="1505"/>
        <w:spacing w:after="0" w:line="266"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Service Relationship with the Company or a Subsidiary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175" w:lineRule="exact"/>
        <w:rPr>
          <w:rFonts w:ascii="Times New Roman" w:cs="Times New Roman" w:eastAsia="Times New Roman" w:hAnsi="Times New Roman"/>
          <w:sz w:val="18"/>
          <w:szCs w:val="18"/>
          <w:color w:val="auto"/>
        </w:rPr>
      </w:pPr>
    </w:p>
    <w:p>
      <w:pPr>
        <w:ind w:right="180" w:firstLine="757"/>
        <w:spacing w:after="0" w:line="261" w:lineRule="auto"/>
        <w:tabs>
          <w:tab w:leader="none" w:pos="10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restrictions and conditions in Paragraph 2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63"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92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Incremental Number</w:t>
            </w:r>
          </w:p>
        </w:tc>
        <w:tc>
          <w:tcPr>
            <w:tcW w:w="248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color w:val="auto"/>
              </w:rPr>
              <w:t>Vesting Date</w:t>
            </w:r>
          </w:p>
        </w:tc>
        <w:tc>
          <w:tcPr>
            <w:tcW w:w="0" w:type="dxa"/>
            <w:vAlign w:val="bottom"/>
          </w:tcPr>
          <w:p>
            <w:pPr>
              <w:spacing w:after="0"/>
              <w:rPr>
                <w:sz w:val="1"/>
                <w:szCs w:val="1"/>
                <w:color w:val="auto"/>
              </w:rPr>
            </w:pPr>
          </w:p>
        </w:tc>
      </w:tr>
      <w:tr>
        <w:trPr>
          <w:trHeight w:val="188"/>
        </w:trPr>
        <w:tc>
          <w:tcPr>
            <w:tcW w:w="2920" w:type="dxa"/>
            <w:vAlign w:val="bottom"/>
          </w:tcPr>
          <w:p>
            <w:pPr>
              <w:jc w:val="center"/>
              <w:ind w:right="1588"/>
              <w:spacing w:after="0"/>
              <w:rPr>
                <w:sz w:val="20"/>
                <w:szCs w:val="20"/>
                <w:color w:val="auto"/>
              </w:rPr>
            </w:pPr>
            <w:r>
              <w:rPr>
                <w:rFonts w:ascii="Times New Roman" w:cs="Times New Roman" w:eastAsia="Times New Roman" w:hAnsi="Times New Roman"/>
                <w:sz w:val="14"/>
                <w:szCs w:val="14"/>
                <w:color w:val="auto"/>
              </w:rPr>
              <w:t>of Shares Vested</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719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2220" w:hanging="311"/>
        <w:spacing w:after="0"/>
        <w:tabs>
          <w:tab w:leader="none" w:pos="22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ind w:left="2220" w:hanging="311"/>
        <w:spacing w:after="0"/>
        <w:tabs>
          <w:tab w:leader="none" w:pos="22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-7620</wp:posOffset>
            </wp:positionV>
            <wp:extent cx="4572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3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62" w:lineRule="exact"/>
        <w:rPr>
          <w:sz w:val="20"/>
          <w:szCs w:val="20"/>
          <w:color w:val="auto"/>
        </w:rPr>
      </w:pPr>
    </w:p>
    <w:p>
      <w:pPr>
        <w:ind w:left="1020" w:hanging="263"/>
        <w:spacing w:after="0"/>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on shares of Restricted Stock shall be paid currently to the Grantee.</w:t>
      </w:r>
    </w:p>
    <w:p>
      <w:pPr>
        <w:spacing w:after="0" w:line="225" w:lineRule="exact"/>
        <w:rPr>
          <w:rFonts w:ascii="Times New Roman" w:cs="Times New Roman" w:eastAsia="Times New Roman" w:hAnsi="Times New Roman"/>
          <w:sz w:val="18"/>
          <w:szCs w:val="18"/>
          <w:color w:val="auto"/>
        </w:rPr>
      </w:pPr>
    </w:p>
    <w:p>
      <w:pPr>
        <w:ind w:right="240" w:firstLine="757"/>
        <w:spacing w:after="0" w:line="266"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80" w:firstLine="757"/>
        <w:spacing w:after="0" w:line="282"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Grantee, is non-assignable and is not transferable in any manner, by operation of law or otherwise, other than by will or the laws of descent and distribution.</w:t>
      </w:r>
    </w:p>
    <w:p>
      <w:pPr>
        <w:spacing w:after="0" w:line="161"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Under Section 83(b)</w:t>
      </w:r>
      <w:r>
        <w:rPr>
          <w:rFonts w:ascii="Times New Roman" w:cs="Times New Roman" w:eastAsia="Times New Roman" w:hAnsi="Times New Roman"/>
          <w:sz w:val="18"/>
          <w:szCs w:val="18"/>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83" w:lineRule="exact"/>
        <w:rPr>
          <w:rFonts w:ascii="Times New Roman" w:cs="Times New Roman" w:eastAsia="Times New Roman" w:hAnsi="Times New Roman"/>
          <w:sz w:val="18"/>
          <w:szCs w:val="18"/>
          <w:color w:val="auto"/>
        </w:rPr>
      </w:pPr>
    </w:p>
    <w:p>
      <w:pPr>
        <w:ind w:right="80" w:firstLine="757"/>
        <w:spacing w:after="0" w:line="266"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75" w:lineRule="exact"/>
        <w:rPr>
          <w:rFonts w:ascii="Times New Roman" w:cs="Times New Roman" w:eastAsia="Times New Roman" w:hAnsi="Times New Roman"/>
          <w:sz w:val="18"/>
          <w:szCs w:val="18"/>
          <w:color w:val="auto"/>
        </w:rPr>
      </w:pPr>
    </w:p>
    <w:p>
      <w:pPr>
        <w:ind w:right="720" w:firstLine="757"/>
        <w:spacing w:after="0" w:line="282" w:lineRule="auto"/>
        <w:tabs>
          <w:tab w:leader="none" w:pos="101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right="100" w:firstLine="757"/>
        <w:spacing w:after="0" w:line="270" w:lineRule="auto"/>
        <w:tabs>
          <w:tab w:leader="none" w:pos="101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w:t>
      </w:r>
    </w:p>
    <w:p>
      <w:pPr>
        <w:spacing w:after="0" w:line="2" w:lineRule="exact"/>
        <w:rPr>
          <w:rFonts w:ascii="Times New Roman" w:cs="Times New Roman" w:eastAsia="Times New Roman" w:hAnsi="Times New Roman"/>
          <w:sz w:val="17"/>
          <w:szCs w:val="17"/>
          <w:color w:val="auto"/>
        </w:rPr>
      </w:pPr>
    </w:p>
    <w:p>
      <w:pPr>
        <w:ind w:right="120" w:firstLine="8"/>
        <w:spacing w:after="0" w:line="260" w:lineRule="auto"/>
        <w:tabs>
          <w:tab w:leader="none" w:pos="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Grantee may have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right="200"/>
        <w:spacing w:after="0" w:line="266" w:lineRule="auto"/>
        <w:rPr>
          <w:sz w:val="20"/>
          <w:szCs w:val="20"/>
          <w:color w:val="auto"/>
        </w:rPr>
      </w:pPr>
      <w:r>
        <w:rPr>
          <w:rFonts w:ascii="Times New Roman" w:cs="Times New Roman" w:eastAsia="Times New Roman" w:hAnsi="Times New Roman"/>
          <w:sz w:val="18"/>
          <w:szCs w:val="18"/>
          <w:color w:val="auto"/>
        </w:rPr>
        <w:t>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6" w:lineRule="exact"/>
        <w:rPr>
          <w:sz w:val="20"/>
          <w:szCs w:val="20"/>
          <w:color w:val="auto"/>
        </w:rPr>
      </w:pPr>
    </w:p>
    <w:p>
      <w:pPr>
        <w:ind w:right="120" w:firstLine="757"/>
        <w:spacing w:after="0" w:line="266" w:lineRule="auto"/>
        <w:tabs>
          <w:tab w:leader="none" w:pos="10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[Clawback Acknowledgement. The Grantee acknowledges that the Grantee may become subject to the Fate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(as defined in the Grantee’s employment agreement with the Company, as amended from time to time, or, in the case that any such employment agreement does not contain the definition of Good Reason, as defined in the Company’s Severance and Change in Control Policy, as amended from time to time) or serve as a basis for a claim of constructive termination under any benefits or compensation arrangement applicable to the Grantee, or (ii) to constitute a breach of a contract or other arrangement to which the Grantee is a party. This Section 13 is a material term of this Agreement.] </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168846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95"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Section 16 officers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3525" cy="8890"/>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-7620</wp:posOffset>
            </wp:positionV>
            <wp:extent cx="228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CONSULTANTS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FATE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 Date: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0" w:lineRule="exact"/>
        <w:rPr>
          <w:sz w:val="20"/>
          <w:szCs w:val="20"/>
          <w:color w:val="auto"/>
        </w:rPr>
      </w:pPr>
    </w:p>
    <w:p>
      <w:pPr>
        <w:spacing w:after="0" w:line="241"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Pursuant to the Fate Therapeutics, Inc. Third Amended and Restated 2022 Stock Option and Incentive Plan as amended through the date hereof (the “Plan”), Fate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58" w:lineRule="exact"/>
        <w:rPr>
          <w:sz w:val="20"/>
          <w:szCs w:val="20"/>
          <w:color w:val="auto"/>
        </w:rPr>
      </w:pPr>
    </w:p>
    <w:p>
      <w:pPr>
        <w:ind w:right="200" w:firstLine="757"/>
        <w:spacing w:after="0" w:line="261"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Incremental Number of</w:t>
            </w:r>
          </w:p>
        </w:tc>
        <w:tc>
          <w:tcPr>
            <w:tcW w:w="23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color w:val="auto"/>
              </w:rPr>
              <w:t>Vesting Date</w:t>
            </w:r>
          </w:p>
        </w:tc>
        <w:tc>
          <w:tcPr>
            <w:tcW w:w="0" w:type="dxa"/>
            <w:vAlign w:val="bottom"/>
          </w:tcPr>
          <w:p>
            <w:pPr>
              <w:spacing w:after="0"/>
              <w:rPr>
                <w:sz w:val="1"/>
                <w:szCs w:val="1"/>
                <w:color w:val="auto"/>
              </w:rPr>
            </w:pPr>
          </w:p>
        </w:tc>
      </w:tr>
      <w:tr>
        <w:trPr>
          <w:trHeight w:val="188"/>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2220" w:hanging="311"/>
        <w:spacing w:after="0"/>
        <w:tabs>
          <w:tab w:leader="none" w:pos="22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220" w:hanging="311"/>
        <w:spacing w:after="0"/>
        <w:tabs>
          <w:tab w:leader="none" w:pos="2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25" w:lineRule="exact"/>
        <w:rPr>
          <w:sz w:val="20"/>
          <w:szCs w:val="20"/>
          <w:color w:val="auto"/>
        </w:rPr>
      </w:pPr>
    </w:p>
    <w:p>
      <w:pPr>
        <w:ind w:right="340" w:firstLine="757"/>
        <w:spacing w:after="0" w:line="261" w:lineRule="auto"/>
        <w:tabs>
          <w:tab w:leader="none" w:pos="10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0" w:name="page41"/>
    <w:bookmarkEnd w:id="40"/>
    <w:p>
      <w:pPr>
        <w:ind w:left="-8" w:right="100" w:firstLine="757"/>
        <w:spacing w:after="0" w:line="266" w:lineRule="auto"/>
        <w:tabs>
          <w:tab w:leader="none" w:pos="10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8" w:firstLine="757"/>
        <w:spacing w:after="0" w:line="255" w:lineRule="auto"/>
        <w:tabs>
          <w:tab w:leader="none" w:pos="10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left="-8" w:right="240" w:firstLine="757"/>
        <w:spacing w:after="0" w:line="282" w:lineRule="auto"/>
        <w:tabs>
          <w:tab w:leader="none" w:pos="10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8" w:right="200" w:firstLine="757"/>
        <w:spacing w:after="0" w:line="266" w:lineRule="auto"/>
        <w:tabs>
          <w:tab w:leader="none" w:pos="10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Service Relationship of the Grantee at any time.</w:t>
      </w:r>
    </w:p>
    <w:p>
      <w:pPr>
        <w:spacing w:after="0" w:line="175" w:lineRule="exact"/>
        <w:rPr>
          <w:rFonts w:ascii="Times New Roman" w:cs="Times New Roman" w:eastAsia="Times New Roman" w:hAnsi="Times New Roman"/>
          <w:sz w:val="18"/>
          <w:szCs w:val="18"/>
          <w:color w:val="auto"/>
        </w:rPr>
      </w:pPr>
    </w:p>
    <w:p>
      <w:pPr>
        <w:ind w:left="-8" w:right="720" w:firstLine="757"/>
        <w:spacing w:after="0" w:line="282" w:lineRule="auto"/>
        <w:tabs>
          <w:tab w:leader="none" w:pos="10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8" w:right="100" w:firstLine="757"/>
        <w:spacing w:after="0" w:line="270" w:lineRule="auto"/>
        <w:tabs>
          <w:tab w:leader="none" w:pos="101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w:t>
      </w:r>
    </w:p>
    <w:p>
      <w:pPr>
        <w:spacing w:after="0" w:line="2" w:lineRule="exact"/>
        <w:rPr>
          <w:rFonts w:ascii="Times New Roman" w:cs="Times New Roman" w:eastAsia="Times New Roman" w:hAnsi="Times New Roman"/>
          <w:sz w:val="17"/>
          <w:szCs w:val="17"/>
          <w:color w:val="auto"/>
        </w:rPr>
      </w:pPr>
    </w:p>
    <w:p>
      <w:pPr>
        <w:ind w:left="-8" w:right="120" w:firstLine="8"/>
        <w:spacing w:after="0" w:line="253" w:lineRule="auto"/>
        <w:tabs>
          <w:tab w:leader="none" w:pos="2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8" w:right="140" w:firstLine="757"/>
        <w:spacing w:after="0" w:line="266" w:lineRule="auto"/>
        <w:tabs>
          <w:tab w:leader="none" w:pos="101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1002030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41" w:name="page42"/>
    <w:bookmarkEnd w:id="41"/>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3525" cy="8890"/>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-7620</wp:posOffset>
            </wp:positionV>
            <wp:extent cx="2286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2267585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FATE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 Date:</w:t>
      </w:r>
    </w:p>
    <w:p>
      <w:pPr>
        <w:spacing w:after="0" w:line="200" w:lineRule="exact"/>
        <w:rPr>
          <w:sz w:val="20"/>
          <w:szCs w:val="20"/>
          <w:color w:val="auto"/>
        </w:rPr>
      </w:pPr>
    </w:p>
    <w:p>
      <w:pPr>
        <w:spacing w:after="0" w:line="241"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Pursuant to the Fate Therapeutics, Inc. Third Amended and Restated 2022 Stock Option and Incentive Plan as amended through the date hereof (the “Plan”), Fate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58" w:lineRule="exact"/>
        <w:rPr>
          <w:sz w:val="20"/>
          <w:szCs w:val="20"/>
          <w:color w:val="auto"/>
        </w:rPr>
      </w:pPr>
    </w:p>
    <w:p>
      <w:pPr>
        <w:ind w:right="200" w:firstLine="757"/>
        <w:spacing w:after="0" w:line="261"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Incremental Number of</w:t>
            </w:r>
          </w:p>
        </w:tc>
        <w:tc>
          <w:tcPr>
            <w:tcW w:w="23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color w:val="auto"/>
              </w:rPr>
              <w:t>Vesting Date</w:t>
            </w:r>
          </w:p>
        </w:tc>
        <w:tc>
          <w:tcPr>
            <w:tcW w:w="0" w:type="dxa"/>
            <w:vAlign w:val="bottom"/>
          </w:tcPr>
          <w:p>
            <w:pPr>
              <w:spacing w:after="0"/>
              <w:rPr>
                <w:sz w:val="1"/>
                <w:szCs w:val="1"/>
                <w:color w:val="auto"/>
              </w:rPr>
            </w:pPr>
          </w:p>
        </w:tc>
      </w:tr>
      <w:tr>
        <w:trPr>
          <w:trHeight w:val="188"/>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719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2400" w:hanging="315"/>
        <w:spacing w:after="0"/>
        <w:tabs>
          <w:tab w:leader="none" w:pos="2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-12700</wp:posOffset>
            </wp:positionV>
            <wp:extent cx="4572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2400" w:hanging="315"/>
        <w:spacing w:after="0"/>
        <w:tabs>
          <w:tab w:leader="none" w:pos="24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-19050</wp:posOffset>
            </wp:positionV>
            <wp:extent cx="457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400" w:hanging="315"/>
        <w:spacing w:after="0"/>
        <w:tabs>
          <w:tab w:leader="none" w:pos="2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400" w:hanging="315"/>
        <w:spacing w:after="0"/>
        <w:tabs>
          <w:tab w:leader="none" w:pos="2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-156210</wp:posOffset>
            </wp:positionV>
            <wp:extent cx="4572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-19050</wp:posOffset>
            </wp:positionV>
            <wp:extent cx="457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25" w:lineRule="exact"/>
        <w:rPr>
          <w:sz w:val="20"/>
          <w:szCs w:val="20"/>
          <w:color w:val="auto"/>
        </w:rPr>
      </w:pPr>
    </w:p>
    <w:p>
      <w:pPr>
        <w:ind w:right="340" w:firstLine="757"/>
        <w:spacing w:after="0" w:line="261" w:lineRule="auto"/>
        <w:tabs>
          <w:tab w:leader="none" w:pos="10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ind w:right="20" w:firstLine="757"/>
        <w:spacing w:after="0" w:line="266" w:lineRule="auto"/>
        <w:tabs>
          <w:tab w:leader="none" w:pos="10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3" w:name="page44"/>
    <w:bookmarkEnd w:id="43"/>
    <w:p>
      <w:pPr>
        <w:ind w:right="320"/>
        <w:spacing w:after="0" w:line="282" w:lineRule="auto"/>
        <w:rPr>
          <w:sz w:val="20"/>
          <w:szCs w:val="20"/>
          <w:color w:val="auto"/>
        </w:rPr>
      </w:pPr>
      <w:r>
        <w:rPr>
          <w:rFonts w:ascii="Times New Roman" w:cs="Times New Roman" w:eastAsia="Times New Roman" w:hAnsi="Times New Roman"/>
          <w:sz w:val="18"/>
          <w:szCs w:val="18"/>
          <w:color w:val="auto"/>
        </w:rPr>
        <w:t>vested pursuant to Paragraph 2 of this Agreement on such date and the Grantee shall thereafter have all the rights of a stockholder of the Company with respect to such shares.</w:t>
      </w:r>
    </w:p>
    <w:p>
      <w:pPr>
        <w:spacing w:after="0" w:line="162" w:lineRule="exact"/>
        <w:rPr>
          <w:sz w:val="20"/>
          <w:szCs w:val="20"/>
          <w:color w:val="auto"/>
        </w:rPr>
      </w:pPr>
    </w:p>
    <w:p>
      <w:pPr>
        <w:ind w:right="100" w:firstLine="757"/>
        <w:spacing w:after="0" w:line="266"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right="240" w:firstLine="757"/>
        <w:spacing w:after="0" w:line="282"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 or Other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Grantee’s employment or any other Service Relationship with the Company or a Subsidiary and neither the Plan nor this Agreement shall interfere in any way with the right of the Company or any Subsidiary to terminate the Grantee’s employment or any other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right="720" w:firstLine="757"/>
        <w:spacing w:after="0" w:line="282" w:lineRule="auto"/>
        <w:tabs>
          <w:tab w:leader="none" w:pos="101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right="100" w:firstLine="757"/>
        <w:spacing w:after="0" w:line="270" w:lineRule="auto"/>
        <w:tabs>
          <w:tab w:leader="none" w:pos="101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w:t>
      </w:r>
    </w:p>
    <w:p>
      <w:pPr>
        <w:spacing w:after="0" w:line="2" w:lineRule="exact"/>
        <w:rPr>
          <w:rFonts w:ascii="Times New Roman" w:cs="Times New Roman" w:eastAsia="Times New Roman" w:hAnsi="Times New Roman"/>
          <w:sz w:val="17"/>
          <w:szCs w:val="17"/>
          <w:color w:val="auto"/>
        </w:rPr>
      </w:pPr>
    </w:p>
    <w:p>
      <w:pPr>
        <w:ind w:right="120" w:firstLine="8"/>
        <w:spacing w:after="0" w:line="253" w:lineRule="auto"/>
        <w:tabs>
          <w:tab w:leader="none" w:pos="2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right="140" w:firstLine="757"/>
        <w:spacing w:after="0" w:line="266" w:lineRule="auto"/>
        <w:tabs>
          <w:tab w:leader="none" w:pos="10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right="40" w:firstLine="757"/>
        <w:spacing w:after="0" w:line="261" w:lineRule="auto"/>
        <w:tabs>
          <w:tab w:leader="none" w:pos="10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Grantee acknowledges that the Grantee may become subject to the Fate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w:t>
      </w:r>
    </w:p>
    <w:p>
      <w:pPr>
        <w:spacing w:after="0" w:line="3" w:lineRule="exact"/>
        <w:rPr>
          <w:sz w:val="20"/>
          <w:szCs w:val="20"/>
          <w:color w:val="auto"/>
        </w:rPr>
      </w:pPr>
    </w:p>
    <w:p>
      <w:pPr>
        <w:ind w:firstLine="8"/>
        <w:spacing w:after="0" w:line="253" w:lineRule="auto"/>
        <w:tabs>
          <w:tab w:leader="none" w:pos="2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giving rise to a right to resign for a Good Reason (as defined in the Grantee’s employment agreement with the Company, as amended from time to time, or, in the case that any such employment agreement does not contain the definition of Good Reason, as defined in the Company’s Severance and Change in Control Policy, as amended from time to time)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w:t>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16884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Section 16 officers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-7620</wp:posOffset>
            </wp:positionV>
            <wp:extent cx="2286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2267585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FATE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 2022 STOCK OPTION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 Date:</w:t>
      </w:r>
    </w:p>
    <w:p>
      <w:pPr>
        <w:spacing w:after="0" w:line="200" w:lineRule="exact"/>
        <w:rPr>
          <w:sz w:val="20"/>
          <w:szCs w:val="20"/>
          <w:color w:val="auto"/>
        </w:rPr>
      </w:pPr>
    </w:p>
    <w:p>
      <w:pPr>
        <w:spacing w:after="0" w:line="241"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Pursuant to the Fate Therapeutics, Inc. Third Amended and Restated 2022 Stock Option and Incentive Plan as amended through the date hereof (the “Plan”), Fate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58" w:lineRule="exact"/>
        <w:rPr>
          <w:sz w:val="20"/>
          <w:szCs w:val="20"/>
          <w:color w:val="auto"/>
        </w:rPr>
      </w:pPr>
    </w:p>
    <w:p>
      <w:pPr>
        <w:ind w:right="200" w:firstLine="757"/>
        <w:spacing w:after="0" w:line="261"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Incremental Number of</w:t>
            </w:r>
          </w:p>
        </w:tc>
        <w:tc>
          <w:tcPr>
            <w:tcW w:w="23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color w:val="auto"/>
              </w:rPr>
              <w:t>Vesting Date</w:t>
            </w:r>
          </w:p>
        </w:tc>
        <w:tc>
          <w:tcPr>
            <w:tcW w:w="0" w:type="dxa"/>
            <w:vAlign w:val="bottom"/>
          </w:tcPr>
          <w:p>
            <w:pPr>
              <w:spacing w:after="0"/>
              <w:rPr>
                <w:sz w:val="1"/>
                <w:szCs w:val="1"/>
                <w:color w:val="auto"/>
              </w:rPr>
            </w:pPr>
          </w:p>
        </w:tc>
      </w:tr>
      <w:tr>
        <w:trPr>
          <w:trHeight w:val="188"/>
        </w:trPr>
        <w:tc>
          <w:tcPr>
            <w:tcW w:w="3300" w:type="dxa"/>
            <w:vAlign w:val="bottom"/>
          </w:tcPr>
          <w:p>
            <w:pPr>
              <w:jc w:val="center"/>
              <w:ind w:right="1508"/>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-1905</wp:posOffset>
            </wp:positionV>
            <wp:extent cx="16719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-1905</wp:posOffset>
            </wp:positionV>
            <wp:extent cx="10369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2220" w:hanging="311"/>
        <w:spacing w:after="0"/>
        <w:tabs>
          <w:tab w:leader="none" w:pos="22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-12700</wp:posOffset>
            </wp:positionV>
            <wp:extent cx="457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2220" w:hanging="311"/>
        <w:spacing w:after="0"/>
        <w:tabs>
          <w:tab w:leader="none" w:pos="2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220" w:hanging="311"/>
        <w:spacing w:after="0"/>
        <w:tabs>
          <w:tab w:leader="none" w:pos="2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-156210</wp:posOffset>
            </wp:positionV>
            <wp:extent cx="4572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-19050</wp:posOffset>
            </wp:positionV>
            <wp:extent cx="457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7" w:lineRule="exact"/>
        <w:rPr>
          <w:sz w:val="20"/>
          <w:szCs w:val="20"/>
          <w:color w:val="auto"/>
        </w:rPr>
      </w:pPr>
    </w:p>
    <w:p>
      <w:pPr>
        <w:ind w:right="760" w:firstLine="74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Restricted Stock Units shall immediately be deemed vested on the date of such Sale Event; provided, that the Grantee remains in Service Relationship with the Company or a Subsidiary until the date of such Sale Event. The Administrator may at any time accelerate the vesting schedule specified in this Paragraph 2.</w:t>
      </w:r>
    </w:p>
    <w:p>
      <w:pPr>
        <w:spacing w:after="0" w:line="176" w:lineRule="exact"/>
        <w:rPr>
          <w:sz w:val="20"/>
          <w:szCs w:val="20"/>
          <w:color w:val="auto"/>
        </w:rPr>
      </w:pPr>
    </w:p>
    <w:p>
      <w:pPr>
        <w:ind w:right="260" w:firstLine="757"/>
        <w:spacing w:after="0" w:line="261"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is terminated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7" w:name="page48"/>
    <w:bookmarkEnd w:id="47"/>
    <w:p>
      <w:pPr>
        <w:ind w:left="-8" w:firstLine="757"/>
        <w:spacing w:after="0" w:line="266" w:lineRule="auto"/>
        <w:tabs>
          <w:tab w:leader="none" w:pos="10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8" w:right="140" w:firstLine="757"/>
        <w:spacing w:after="0" w:line="282" w:lineRule="auto"/>
        <w:tabs>
          <w:tab w:leader="none" w:pos="10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8" w:right="540" w:firstLine="757"/>
        <w:spacing w:after="0" w:line="282" w:lineRule="auto"/>
        <w:tabs>
          <w:tab w:leader="none" w:pos="10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Plan nor this Award confers upon the Grantee any rights with respect to continuance of his or her Service Relationship with the Company or a Subsidiary.</w:t>
      </w:r>
    </w:p>
    <w:p>
      <w:pPr>
        <w:spacing w:after="0" w:line="161" w:lineRule="exact"/>
        <w:rPr>
          <w:rFonts w:ascii="Times New Roman" w:cs="Times New Roman" w:eastAsia="Times New Roman" w:hAnsi="Times New Roman"/>
          <w:sz w:val="18"/>
          <w:szCs w:val="18"/>
          <w:color w:val="auto"/>
        </w:rPr>
      </w:pPr>
    </w:p>
    <w:p>
      <w:pPr>
        <w:ind w:left="-8" w:right="620" w:firstLine="757"/>
        <w:spacing w:after="0" w:line="282" w:lineRule="auto"/>
        <w:tabs>
          <w:tab w:leader="none" w:pos="10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 w:firstLine="757"/>
        <w:spacing w:after="0" w:line="270" w:lineRule="auto"/>
        <w:tabs>
          <w:tab w:leader="none" w:pos="101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w:t>
      </w:r>
    </w:p>
    <w:p>
      <w:pPr>
        <w:spacing w:after="0" w:line="2" w:lineRule="exact"/>
        <w:rPr>
          <w:rFonts w:ascii="Times New Roman" w:cs="Times New Roman" w:eastAsia="Times New Roman" w:hAnsi="Times New Roman"/>
          <w:sz w:val="17"/>
          <w:szCs w:val="17"/>
          <w:color w:val="auto"/>
        </w:rPr>
      </w:pPr>
    </w:p>
    <w:p>
      <w:pPr>
        <w:ind w:left="-8" w:right="20" w:firstLine="8"/>
        <w:spacing w:after="0" w:line="253" w:lineRule="auto"/>
        <w:tabs>
          <w:tab w:leader="none" w:pos="2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8" w:right="40" w:firstLine="757"/>
        <w:spacing w:after="0" w:line="266" w:lineRule="auto"/>
        <w:tabs>
          <w:tab w:leader="none" w:pos="10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1002030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17" w:right="439" w:bottom="1440" w:gutter="0" w:footer="0" w:header="0"/>
        </w:sectPr>
      </w:pPr>
    </w:p>
    <w:bookmarkStart w:id="48" w:name="page49"/>
    <w:bookmarkEnd w:id="48"/>
    <w:p>
      <w:pPr>
        <w:ind w:left="45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263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352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-7620</wp:posOffset>
            </wp:positionV>
            <wp:extent cx="228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2267585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13" w:right="8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lowerRoman"/>
      <w:start w:val="1"/>
    </w:lvl>
  </w:abstractNum>
  <w:abstractNum w:abstractNumId="2">
    <w:nsid w:val="70C6A529"/>
    <w:multiLevelType w:val="hybridMultilevel"/>
    <w:lvl w:ilvl="0">
      <w:lvlJc w:val="left"/>
      <w:lvlText w:val="(%1)"/>
      <w:numFmt w:val="lowerRoman"/>
      <w:start w:val="2"/>
    </w:lvl>
  </w:abstractNum>
  <w:abstractNum w:abstractNumId="3">
    <w:nsid w:val="520EEDD1"/>
    <w:multiLevelType w:val="hybridMultilevel"/>
    <w:lvl w:ilvl="0">
      <w:lvlJc w:val="left"/>
      <w:lvlText w:val="(%1)"/>
      <w:numFmt w:val="lowerRoman"/>
      <w:start w:val="4"/>
    </w:lvl>
  </w:abstractNum>
  <w:abstractNum w:abstractNumId="4">
    <w:nsid w:val="374A3FE6"/>
    <w:multiLevelType w:val="hybridMultilevel"/>
    <w:lvl w:ilvl="0">
      <w:lvlJc w:val="left"/>
      <w:lvlText w:val="(%1)"/>
      <w:numFmt w:val="lowerRoman"/>
      <w:start w:val="2"/>
    </w:lvl>
  </w:abstractNum>
  <w:abstractNum w:abstractNumId="5">
    <w:nsid w:val="4F4EF005"/>
    <w:multiLevelType w:val="hybridMultilevel"/>
    <w:lvl w:ilvl="0">
      <w:lvlJc w:val="left"/>
      <w:lvlText w:val="(%1)"/>
      <w:numFmt w:val="lowerLetter"/>
      <w:start w:val="1"/>
    </w:lvl>
    <w:lvl w:ilvl="1">
      <w:lvlJc w:val="left"/>
      <w:lvlText w:val="(%2)"/>
      <w:numFmt w:val="lowerRoman"/>
      <w:start w:val="1"/>
    </w:lvl>
  </w:abstractNum>
  <w:abstractNum w:abstractNumId="6">
    <w:nsid w:val="23F9C13C"/>
    <w:multiLevelType w:val="hybridMultilevel"/>
    <w:lvl w:ilvl="0">
      <w:lvlJc w:val="left"/>
      <w:lvlText w:val="(%1)"/>
      <w:numFmt w:val="lowerLetter"/>
      <w:start w:val="3"/>
    </w:lvl>
  </w:abstractNum>
  <w:abstractNum w:abstractNumId="7">
    <w:nsid w:val="649BB77C"/>
    <w:multiLevelType w:val="hybridMultilevel"/>
    <w:lvl w:ilvl="0">
      <w:lvlJc w:val="left"/>
      <w:lvlText w:val="(%1)"/>
      <w:numFmt w:val="lowerLetter"/>
      <w:start w:val="6"/>
    </w:lvl>
  </w:abstractNum>
  <w:abstractNum w:abstractNumId="8">
    <w:nsid w:val="275AC794"/>
    <w:multiLevelType w:val="hybridMultilevel"/>
    <w:lvl w:ilvl="0">
      <w:lvlJc w:val="left"/>
      <w:lvlText w:val="%1"/>
      <w:numFmt w:val="lowerLetter"/>
      <w:start w:val="1"/>
    </w:lvl>
    <w:lvl w:ilvl="1">
      <w:lvlJc w:val="left"/>
      <w:lvlText w:val="(%2)"/>
      <w:numFmt w:val="lowerLetter"/>
      <w:start w:val="1"/>
    </w:lvl>
  </w:abstractNum>
  <w:abstractNum w:abstractNumId="9">
    <w:nsid w:val="39386575"/>
    <w:multiLevelType w:val="hybridMultilevel"/>
    <w:lvl w:ilvl="0">
      <w:lvlJc w:val="left"/>
      <w:lvlText w:val="(%1)"/>
      <w:numFmt w:val="lowerLetter"/>
      <w:start w:val="35"/>
    </w:lvl>
    <w:lvl w:ilvl="1">
      <w:lvlJc w:val="left"/>
      <w:lvlText w:val="%2"/>
      <w:numFmt w:val="lowerLetter"/>
      <w:start w:val="1"/>
    </w:lvl>
  </w:abstractNum>
  <w:abstractNum w:abstractNumId="10">
    <w:nsid w:val="1CF10FD8"/>
    <w:multiLevelType w:val="hybridMultilevel"/>
    <w:lvl w:ilvl="0">
      <w:lvlJc w:val="left"/>
      <w:lvlText w:val="(%1)"/>
      <w:numFmt w:val="lowerLetter"/>
      <w:start w:val="3"/>
    </w:lvl>
  </w:abstractNum>
  <w:abstractNum w:abstractNumId="11">
    <w:nsid w:val="180115BE"/>
    <w:multiLevelType w:val="hybridMultilevel"/>
    <w:lvl w:ilvl="0">
      <w:lvlJc w:val="left"/>
      <w:lvlText w:val="(%1)"/>
      <w:numFmt w:val="lowerLetter"/>
      <w:start w:val="1"/>
    </w:lvl>
  </w:abstractNum>
  <w:abstractNum w:abstractNumId="12">
    <w:nsid w:val="235BA861"/>
    <w:multiLevelType w:val="hybridMultilevel"/>
    <w:lvl w:ilvl="0">
      <w:lvlJc w:val="left"/>
      <w:lvlText w:val="(%1)"/>
      <w:numFmt w:val="lowerLetter"/>
      <w:start w:val="2"/>
    </w:lvl>
    <w:lvl w:ilvl="1">
      <w:lvlJc w:val="left"/>
      <w:lvlText w:val="(%2)"/>
      <w:numFmt w:val="lowerRoman"/>
      <w:start w:val="1"/>
    </w:lvl>
  </w:abstractNum>
  <w:abstractNum w:abstractNumId="13">
    <w:nsid w:val="47398C89"/>
    <w:multiLevelType w:val="hybridMultilevel"/>
    <w:lvl w:ilvl="0">
      <w:lvlJc w:val="left"/>
      <w:lvlText w:val="(%1)"/>
      <w:numFmt w:val="lowerLetter"/>
      <w:start w:val="6"/>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lowerLetter"/>
      <w:start w:val="1"/>
    </w:lvl>
  </w:abstractNum>
  <w:abstractNum w:abstractNumId="16">
    <w:nsid w:val="741226BB"/>
    <w:multiLevelType w:val="hybridMultilevel"/>
    <w:lvl w:ilvl="0">
      <w:lvlJc w:val="left"/>
      <w:lvlText w:val="(%1)"/>
      <w:numFmt w:val="lowerLetter"/>
      <w:start w:val="4"/>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1)"/>
      <w:numFmt w:val="lowerLetter"/>
      <w:start w:val="4"/>
    </w:lvl>
  </w:abstractNum>
  <w:abstractNum w:abstractNumId="21">
    <w:nsid w:val="7E0C57B1"/>
    <w:multiLevelType w:val="hybridMultilevel"/>
    <w:lvl w:ilvl="0">
      <w:lvlJc w:val="left"/>
      <w:lvlText w:val="(%1)"/>
      <w:numFmt w:val="lowerLetter"/>
      <w:start w:val="1"/>
    </w:lvl>
  </w:abstractNum>
  <w:abstractNum w:abstractNumId="22">
    <w:nsid w:val="77AE35EB"/>
    <w:multiLevelType w:val="hybridMultilevel"/>
    <w:lvl w:ilvl="0">
      <w:lvlJc w:val="left"/>
      <w:lvlText w:val="(%1)"/>
      <w:numFmt w:val="lowerLetter"/>
      <w:start w:val="1"/>
    </w:lvl>
    <w:lvl w:ilvl="1">
      <w:lvlJc w:val="left"/>
      <w:lvlText w:val="(%2)"/>
      <w:numFmt w:val="lowerRoman"/>
      <w:start w:val="1"/>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Letter"/>
      <w:start w:val="3"/>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2"/>
    </w:lvl>
    <w:lvl w:ilvl="1">
      <w:lvlJc w:val="left"/>
      <w:lvlText w:val="(%2)"/>
      <w:numFmt w:val="lowerLetter"/>
      <w:start w:val="1"/>
    </w:lvl>
  </w:abstractNum>
  <w:abstractNum w:abstractNumId="31">
    <w:nsid w:val="1381823A"/>
    <w:multiLevelType w:val="hybridMultilevel"/>
    <w:lvl w:ilvl="0">
      <w:lvlJc w:val="left"/>
      <w:lvlText w:val="%1"/>
      <w:numFmt w:val="decimal"/>
      <w:start w:val="1"/>
    </w:lvl>
    <w:lvl w:ilvl="1">
      <w:lvlJc w:val="left"/>
      <w:lvlText w:val="(%2)"/>
      <w:numFmt w:val="lowerLetter"/>
      <w:start w:val="2"/>
    </w:lvl>
  </w:abstractNum>
  <w:abstractNum w:abstractNumId="32">
    <w:nsid w:val="5DB70AE5"/>
    <w:multiLevelType w:val="hybridMultilevel"/>
    <w:lvl w:ilvl="0">
      <w:lvlJc w:val="left"/>
      <w:lvlText w:val="%1."/>
      <w:numFmt w:val="decimal"/>
      <w:start w:val="3"/>
    </w:lvl>
    <w:lvl w:ilvl="1">
      <w:lvlJc w:val="left"/>
      <w:lvlText w:val="(%2)"/>
      <w:numFmt w:val="lowerLetter"/>
      <w:start w:val="1"/>
    </w:lvl>
  </w:abstractNum>
  <w:abstractNum w:abstractNumId="33">
    <w:nsid w:val="100F8FCA"/>
    <w:multiLevelType w:val="hybridMultilevel"/>
    <w:lvl w:ilvl="0">
      <w:lvlJc w:val="left"/>
      <w:lvlText w:val="(%1)"/>
      <w:numFmt w:val="lowerLetter"/>
      <w:start w:val="4"/>
    </w:lvl>
  </w:abstractNum>
  <w:abstractNum w:abstractNumId="34">
    <w:nsid w:val="6590700B"/>
    <w:multiLevelType w:val="hybridMultilevel"/>
    <w:lvl w:ilvl="0">
      <w:lvlJc w:val="left"/>
      <w:lvlText w:val="%1."/>
      <w:numFmt w:val="decimal"/>
      <w:start w:val="4"/>
    </w:lvl>
  </w:abstractNum>
  <w:abstractNum w:abstractNumId="35">
    <w:nsid w:val="15014ACB"/>
    <w:multiLevelType w:val="hybridMultilevel"/>
    <w:lvl w:ilvl="0">
      <w:lvlJc w:val="left"/>
      <w:lvlText w:val="%1"/>
      <w:numFmt w:val="lowerRoman"/>
      <w:start w:val="1"/>
    </w:lvl>
    <w:lvl w:ilvl="1">
      <w:lvlJc w:val="left"/>
      <w:lvlText w:val="%2."/>
      <w:numFmt w:val="decimal"/>
      <w:start w:val="8"/>
    </w:lvl>
  </w:abstractNum>
  <w:abstractNum w:abstractNumId="36">
    <w:nsid w:val="5F5E7FD0"/>
    <w:multiLevelType w:val="hybridMultilevel"/>
    <w:lvl w:ilvl="0">
      <w:lvlJc w:val="left"/>
      <w:lvlText w:val="(%1)"/>
      <w:numFmt w:val="lowerRoman"/>
      <w:start w:val="1"/>
    </w:lvl>
    <w:lvl w:ilvl="1">
      <w:lvlJc w:val="left"/>
      <w:lvlText w:val="%2."/>
      <w:numFmt w:val="decimal"/>
      <w:start w:val="11"/>
    </w:lvl>
  </w:abstractNum>
  <w:abstractNum w:abstractNumId="37">
    <w:nsid w:val="98A3148"/>
    <w:multiLevelType w:val="hybridMultilevel"/>
    <w:lvl w:ilvl="0">
      <w:lvlJc w:val="left"/>
      <w:lvlText w:val="1"/>
      <w:numFmt w:val="bullet"/>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decimal"/>
      <w:start w:val="2"/>
    </w:lvl>
    <w:lvl w:ilvl="1">
      <w:lvlJc w:val="left"/>
      <w:lvlText w:val="(%2)"/>
      <w:numFmt w:val="lowerLetter"/>
      <w:start w:val="1"/>
    </w:lvl>
  </w:abstractNum>
  <w:abstractNum w:abstractNumId="41">
    <w:nsid w:val="168E121F"/>
    <w:multiLevelType w:val="hybridMultilevel"/>
    <w:lvl w:ilvl="0">
      <w:lvlJc w:val="left"/>
      <w:lvlText w:val="%1"/>
      <w:numFmt w:val="decimal"/>
      <w:start w:val="1"/>
    </w:lvl>
    <w:lvl w:ilvl="1">
      <w:lvlJc w:val="left"/>
      <w:lvlText w:val="(%2)"/>
      <w:numFmt w:val="lowerLetter"/>
      <w:start w:val="2"/>
    </w:lvl>
  </w:abstractNum>
  <w:abstractNum w:abstractNumId="42">
    <w:nsid w:val="1EBA5D23"/>
    <w:multiLevelType w:val="hybridMultilevel"/>
    <w:lvl w:ilvl="0">
      <w:lvlJc w:val="left"/>
      <w:lvlText w:val="%1."/>
      <w:numFmt w:val="decimal"/>
      <w:start w:val="3"/>
    </w:lvl>
    <w:lvl w:ilvl="1">
      <w:lvlJc w:val="left"/>
      <w:lvlText w:val="(%2)"/>
      <w:numFmt w:val="lowerLetter"/>
      <w:start w:val="1"/>
    </w:lvl>
  </w:abstractNum>
  <w:abstractNum w:abstractNumId="43">
    <w:nsid w:val="661E3F1E"/>
    <w:multiLevelType w:val="hybridMultilevel"/>
    <w:lvl w:ilvl="0">
      <w:lvlJc w:val="left"/>
      <w:lvlText w:val="(%1)"/>
      <w:numFmt w:val="lowerLetter"/>
      <w:start w:val="4"/>
    </w:lvl>
  </w:abstractNum>
  <w:abstractNum w:abstractNumId="44">
    <w:nsid w:val="5DC79EA8"/>
    <w:multiLevelType w:val="hybridMultilevel"/>
    <w:lvl w:ilvl="0">
      <w:lvlJc w:val="left"/>
      <w:lvlText w:val="%1"/>
      <w:numFmt w:val="lowerRoman"/>
      <w:start w:val="1"/>
    </w:lvl>
    <w:lvl w:ilvl="1">
      <w:lvlJc w:val="left"/>
      <w:lvlText w:val="%2."/>
      <w:numFmt w:val="decimal"/>
      <w:start w:val="4"/>
    </w:lvl>
  </w:abstractNum>
  <w:abstractNum w:abstractNumId="45">
    <w:nsid w:val="540A471C"/>
    <w:multiLevelType w:val="hybridMultilevel"/>
    <w:lvl w:ilvl="0">
      <w:lvlJc w:val="left"/>
      <w:lvlText w:val="(%1)"/>
      <w:numFmt w:val="lowerRoman"/>
      <w:start w:val="1"/>
    </w:lvl>
    <w:lvl w:ilvl="1">
      <w:lvlJc w:val="left"/>
      <w:lvlText w:val="%2"/>
      <w:numFmt w:val="decimal"/>
      <w:start w:val="1"/>
    </w:lvl>
  </w:abstractNum>
  <w:abstractNum w:abstractNumId="46">
    <w:nsid w:val="7BD3EE7B"/>
    <w:multiLevelType w:val="hybridMultilevel"/>
    <w:lvl w:ilvl="0">
      <w:lvlJc w:val="left"/>
      <w:lvlText w:val="%1."/>
      <w:numFmt w:val="decimal"/>
      <w:start w:val="10"/>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decimal"/>
      <w:start w:val="2"/>
    </w:lvl>
    <w:lvl w:ilvl="1">
      <w:lvlJc w:val="left"/>
      <w:lvlText w:val="(%2)"/>
      <w:numFmt w:val="lowerLetter"/>
      <w:start w:val="1"/>
    </w:lvl>
  </w:abstractNum>
  <w:abstractNum w:abstractNumId="53">
    <w:nsid w:val="8F2B15E"/>
    <w:multiLevelType w:val="hybridMultilevel"/>
    <w:lvl w:ilvl="0">
      <w:lvlJc w:val="left"/>
      <w:lvlText w:val="(%1)"/>
      <w:numFmt w:val="lowerLetter"/>
      <w:start w:val="2"/>
    </w:lvl>
  </w:abstractNum>
  <w:abstractNum w:abstractNumId="54">
    <w:nsid w:val="1A32234B"/>
    <w:multiLevelType w:val="hybridMultilevel"/>
    <w:lvl w:ilvl="0">
      <w:lvlJc w:val="left"/>
      <w:lvlText w:val="%1"/>
      <w:numFmt w:val="decimal"/>
      <w:start w:val="1"/>
    </w:lvl>
    <w:lvl w:ilvl="1">
      <w:lvlJc w:val="left"/>
      <w:lvlText w:val="(%2)"/>
      <w:numFmt w:val="lowerLetter"/>
      <w:start w:val="3"/>
    </w:lvl>
  </w:abstractNum>
  <w:abstractNum w:abstractNumId="55">
    <w:nsid w:val="3B0FD379"/>
    <w:multiLevelType w:val="hybridMultilevel"/>
    <w:lvl w:ilvl="0">
      <w:lvlJc w:val="left"/>
      <w:lvlText w:val="%1."/>
      <w:numFmt w:val="decimal"/>
      <w:start w:val="3"/>
    </w:lvl>
    <w:lvl w:ilvl="1">
      <w:lvlJc w:val="left"/>
      <w:lvlText w:val="(%2)"/>
      <w:numFmt w:val="lowerLetter"/>
      <w:start w:val="1"/>
    </w:lvl>
  </w:abstractNum>
  <w:abstractNum w:abstractNumId="56">
    <w:nsid w:val="68EB2F63"/>
    <w:multiLevelType w:val="hybridMultilevel"/>
    <w:lvl w:ilvl="0">
      <w:lvlJc w:val="left"/>
      <w:lvlText w:val="%1"/>
      <w:numFmt w:val="lowerRoman"/>
      <w:start w:val="1"/>
    </w:lvl>
    <w:lvl w:ilvl="1">
      <w:lvlJc w:val="left"/>
      <w:lvlText w:val="%2."/>
      <w:numFmt w:val="decimal"/>
      <w:start w:val="4"/>
    </w:lvl>
  </w:abstractNum>
  <w:abstractNum w:abstractNumId="57">
    <w:nsid w:val="4962813B"/>
    <w:multiLevelType w:val="hybridMultilevel"/>
    <w:lvl w:ilvl="0">
      <w:lvlJc w:val="left"/>
      <w:lvlText w:val="(%1)"/>
      <w:numFmt w:val="lowerRoman"/>
      <w:start w:val="1"/>
    </w:lvl>
    <w:lvl w:ilvl="1">
      <w:lvlJc w:val="left"/>
      <w:lvlText w:val="%2."/>
      <w:numFmt w:val="decimal"/>
      <w:start w:val="10"/>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1."/>
      <w:numFmt w:val="decimal"/>
      <w:start w:val="2"/>
    </w:lvl>
    <w:lvl w:ilvl="1">
      <w:lvlJc w:val="left"/>
      <w:lvlText w:val="(%2)"/>
      <w:numFmt w:val="lowerLetter"/>
      <w:start w:val="1"/>
    </w:lvl>
  </w:abstractNum>
  <w:abstractNum w:abstractNumId="64">
    <w:nsid w:val="100F59DC"/>
    <w:multiLevelType w:val="hybridMultilevel"/>
    <w:lvl w:ilvl="0">
      <w:lvlJc w:val="left"/>
      <w:lvlText w:val="%1"/>
      <w:numFmt w:val="decimal"/>
      <w:start w:val="1"/>
    </w:lvl>
    <w:lvl w:ilvl="1">
      <w:lvlJc w:val="left"/>
      <w:lvlText w:val="(%2)"/>
      <w:numFmt w:val="lowerLetter"/>
      <w:start w:val="2"/>
    </w:lvl>
  </w:abstractNum>
  <w:abstractNum w:abstractNumId="65">
    <w:nsid w:val="7FB7E0AA"/>
    <w:multiLevelType w:val="hybridMultilevel"/>
    <w:lvl w:ilvl="0">
      <w:lvlJc w:val="left"/>
      <w:lvlText w:val="%1."/>
      <w:numFmt w:val="decimal"/>
      <w:start w:val="3"/>
    </w:lvl>
    <w:lvl w:ilvl="1">
      <w:lvlJc w:val="left"/>
      <w:lvlText w:val="(%2)"/>
      <w:numFmt w:val="lowerLetter"/>
      <w:start w:val="1"/>
    </w:lvl>
  </w:abstractNum>
  <w:abstractNum w:abstractNumId="66">
    <w:nsid w:val="6EB5BD4"/>
    <w:multiLevelType w:val="hybridMultilevel"/>
    <w:lvl w:ilvl="0">
      <w:lvlJc w:val="left"/>
      <w:lvlText w:val="(%1)"/>
      <w:numFmt w:val="lowerLetter"/>
      <w:start w:val="3"/>
    </w:lvl>
  </w:abstractNum>
  <w:abstractNum w:abstractNumId="67">
    <w:nsid w:val="6F6DD9AC"/>
    <w:multiLevelType w:val="hybridMultilevel"/>
    <w:lvl w:ilvl="0">
      <w:lvlJc w:val="left"/>
      <w:lvlText w:val="%1."/>
      <w:numFmt w:val="decimal"/>
      <w:start w:val="4"/>
    </w:lvl>
  </w:abstractNum>
  <w:abstractNum w:abstractNumId="68">
    <w:nsid w:val="94211F2"/>
    <w:multiLevelType w:val="hybridMultilevel"/>
    <w:lvl w:ilvl="0">
      <w:lvlJc w:val="left"/>
      <w:lvlText w:val="%1"/>
      <w:numFmt w:val="lowerRoman"/>
      <w:start w:val="1"/>
    </w:lvl>
    <w:lvl w:ilvl="1">
      <w:lvlJc w:val="left"/>
      <w:lvlText w:val="%2."/>
      <w:numFmt w:val="decimal"/>
      <w:start w:val="9"/>
    </w:lvl>
  </w:abstractNum>
  <w:abstractNum w:abstractNumId="69">
    <w:nsid w:val="885E1B"/>
    <w:multiLevelType w:val="hybridMultilevel"/>
    <w:lvl w:ilvl="0">
      <w:lvlJc w:val="left"/>
      <w:lvlText w:val="(%1)"/>
      <w:numFmt w:val="lowerRoman"/>
      <w:start w:val="1"/>
    </w:lvl>
    <w:lvl w:ilvl="1">
      <w:lvlJc w:val="left"/>
      <w:lvlText w:val="%2."/>
      <w:numFmt w:val="decimal"/>
      <w:start w:val="10"/>
    </w:lvl>
  </w:abstractNum>
  <w:abstractNum w:abstractNumId="70">
    <w:nsid w:val="76272110"/>
    <w:multiLevelType w:val="hybridMultilevel"/>
    <w:lvl w:ilvl="0">
      <w:lvlJc w:val="left"/>
      <w:lvlText w:val="2"/>
      <w:numFmt w:val="bullet"/>
      <w:start w:val="1"/>
    </w:lvl>
  </w:abstractNum>
  <w:abstractNum w:abstractNumId="71">
    <w:nsid w:val="4C04A8AF"/>
    <w:multiLevelType w:val="hybridMultilevel"/>
    <w:lvl w:ilvl="0">
      <w:lvlJc w:val="left"/>
      <w:lvlText w:val="%1."/>
      <w:numFmt w:val="decimal"/>
      <w:start w:val="1"/>
    </w:lvl>
    <w:lvl w:ilvl="1">
      <w:lvlJc w:val="left"/>
      <w:lvlText w:val="(%2)"/>
      <w:numFmt w:val="lowerLetter"/>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1"/>
      <w:numFmt w:val="lowerRoman"/>
      <w:start w:val="1"/>
    </w:lvl>
    <w:lvl w:ilvl="1">
      <w:lvlJc w:val="left"/>
      <w:lvlText w:val="%2."/>
      <w:numFmt w:val="decimal"/>
      <w:start w:val="4"/>
    </w:lvl>
  </w:abstractNum>
  <w:abstractNum w:abstractNumId="77">
    <w:nsid w:val="2DF6D648"/>
    <w:multiLevelType w:val="hybridMultilevel"/>
    <w:lvl w:ilvl="0">
      <w:lvlJc w:val="left"/>
      <w:lvlText w:val="(%1)"/>
      <w:numFmt w:val="lowerRoman"/>
      <w:start w:val="1"/>
    </w:lvl>
    <w:lvl w:ilvl="1">
      <w:lvlJc w:val="left"/>
      <w:lvlText w:val="%2"/>
      <w:numFmt w:val="decimal"/>
      <w:start w:val="1"/>
    </w:lvl>
  </w:abstractNum>
  <w:abstractNum w:abstractNumId="78">
    <w:nsid w:val="46B7D447"/>
    <w:multiLevelType w:val="hybridMultilevel"/>
    <w:lvl w:ilvl="0">
      <w:lvlJc w:val="left"/>
      <w:lvlText w:val="%1."/>
      <w:numFmt w:val="decimal"/>
      <w:start w:val="12"/>
    </w:lvl>
  </w:abstractNum>
  <w:abstractNum w:abstractNumId="79">
    <w:nsid w:val="4A2AC315"/>
    <w:multiLevelType w:val="hybridMultilevel"/>
    <w:lvl w:ilvl="0">
      <w:lvlJc w:val="left"/>
      <w:lvlText w:val="3"/>
      <w:numFmt w:val="bullet"/>
      <w:start w:val="1"/>
    </w:lvl>
  </w:abstractNum>
  <w:abstractNum w:abstractNumId="80">
    <w:nsid w:val="39EE015C"/>
    <w:multiLevelType w:val="hybridMultilevel"/>
    <w:lvl w:ilvl="0">
      <w:lvlJc w:val="left"/>
      <w:lvlText w:val="%1."/>
      <w:numFmt w:val="decimal"/>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1."/>
      <w:numFmt w:val="decimal"/>
      <w:start w:val="3"/>
    </w:lvl>
  </w:abstractNum>
  <w:abstractNum w:abstractNumId="85">
    <w:nsid w:val="26F324BA"/>
    <w:multiLevelType w:val="hybridMultilevel"/>
    <w:lvl w:ilvl="0">
      <w:lvlJc w:val="left"/>
      <w:lvlText w:val="%1"/>
      <w:numFmt w:val="lowerRoman"/>
      <w:start w:val="1"/>
    </w:lvl>
    <w:lvl w:ilvl="1">
      <w:lvlJc w:val="left"/>
      <w:lvlText w:val="%2."/>
      <w:numFmt w:val="decimal"/>
      <w:start w:val="5"/>
    </w:lvl>
  </w:abstractNum>
  <w:abstractNum w:abstractNumId="86">
    <w:nsid w:val="7F01579B"/>
    <w:multiLevelType w:val="hybridMultilevel"/>
    <w:lvl w:ilvl="0">
      <w:lvlJc w:val="left"/>
      <w:lvlText w:val="(%1)"/>
      <w:numFmt w:val="lowerRoman"/>
      <w:start w:val="1"/>
    </w:lvl>
    <w:lvl w:ilvl="1">
      <w:lvlJc w:val="left"/>
      <w:lvlText w:val="%2."/>
      <w:numFmt w:val="decimal"/>
      <w:start w:val="11"/>
    </w:lvl>
  </w:abstractNum>
  <w:abstractNum w:abstractNumId="87">
    <w:nsid w:val="49DA307D"/>
    <w:multiLevelType w:val="hybridMultilevel"/>
    <w:lvl w:ilvl="0">
      <w:lvlJc w:val="left"/>
      <w:lvlText w:val="%1."/>
      <w:numFmt w:val="decimal"/>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decimal"/>
      <w:start w:val="3"/>
    </w:lvl>
  </w:abstractNum>
  <w:abstractNum w:abstractNumId="92">
    <w:nsid w:val="5FB8011C"/>
    <w:multiLevelType w:val="hybridMultilevel"/>
    <w:lvl w:ilvl="0">
      <w:lvlJc w:val="left"/>
      <w:lvlText w:val="%1"/>
      <w:numFmt w:val="lowerRoman"/>
      <w:start w:val="1"/>
    </w:lvl>
    <w:lvl w:ilvl="1">
      <w:lvlJc w:val="left"/>
      <w:lvlText w:val="%2."/>
      <w:numFmt w:val="decimal"/>
      <w:start w:val="5"/>
    </w:lvl>
  </w:abstractNum>
  <w:abstractNum w:abstractNumId="93">
    <w:nsid w:val="6AA78F7F"/>
    <w:multiLevelType w:val="hybridMultilevel"/>
    <w:lvl w:ilvl="0">
      <w:lvlJc w:val="left"/>
      <w:lvlText w:val="(%1)"/>
      <w:numFmt w:val="lowerRoman"/>
      <w:start w:val="1"/>
    </w:lvl>
    <w:lvl w:ilvl="1">
      <w:lvlJc w:val="left"/>
      <w:lvlText w:val="%2."/>
      <w:numFmt w:val="decimal"/>
      <w:start w:val="11"/>
    </w:lvl>
  </w:abstractNum>
  <w:abstractNum w:abstractNumId="94">
    <w:nsid w:val="7672BD23"/>
    <w:multiLevelType w:val="hybridMultilevel"/>
    <w:lvl w:ilvl="0">
      <w:lvlJc w:val="left"/>
      <w:lvlText w:val="(%1)"/>
      <w:numFmt w:val="lowerRoman"/>
      <w:start w:val="1"/>
    </w:lvl>
  </w:abstractNum>
  <w:abstractNum w:abstractNumId="95">
    <w:nsid w:val="6FC75AF8"/>
    <w:multiLevelType w:val="hybridMultilevel"/>
    <w:lvl w:ilvl="0">
      <w:lvlJc w:val="left"/>
      <w:lvlText w:val="4"/>
      <w:numFmt w:val="bullet"/>
      <w:start w:val="1"/>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decimal"/>
      <w:start w:val="3"/>
    </w:lvl>
  </w:abstractNum>
  <w:abstractNum w:abstractNumId="101">
    <w:nsid w:val="555C55B5"/>
    <w:multiLevelType w:val="hybridMultilevel"/>
    <w:lvl w:ilvl="0">
      <w:lvlJc w:val="left"/>
      <w:lvlText w:val="%1"/>
      <w:numFmt w:val="lowerRoman"/>
      <w:start w:val="1"/>
    </w:lvl>
    <w:lvl w:ilvl="1">
      <w:lvlJc w:val="left"/>
      <w:lvlText w:val="%2."/>
      <w:numFmt w:val="decimal"/>
      <w:start w:val="5"/>
    </w:lvl>
  </w:abstractNum>
  <w:abstractNum w:abstractNumId="102">
    <w:nsid w:val="3FA62ACA"/>
    <w:multiLevelType w:val="hybridMultilevel"/>
    <w:lvl w:ilvl="0">
      <w:lvlJc w:val="left"/>
      <w:lvlText w:val="(%1)"/>
      <w:numFmt w:val="lowerRoman"/>
      <w:start w:val="1"/>
    </w:lvl>
    <w:lvl w:ilvl="1">
      <w:lvlJc w:val="left"/>
      <w:lvlText w:val="%2."/>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2026-06-15T15:06:35Z</dcterms:created>
  <dcterms:modified xsi:type="dcterms:W3CDTF">2026-06-15T15:06:35Z</dcterms:modified>
</cp:coreProperties>
</file>