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78105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920" w:right="1780" w:hanging="3863"/>
        <w:spacing w:after="0" w:line="285" w:lineRule="auto"/>
        <w:tabs>
          <w:tab w:leader="none" w:pos="65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32" w:lineRule="exact"/>
        <w:rPr>
          <w:sz w:val="24"/>
          <w:szCs w:val="24"/>
          <w:color w:val="auto"/>
        </w:rPr>
      </w:pPr>
    </w:p>
    <w:p>
      <w:pPr>
        <w:ind w:left="660" w:hanging="603"/>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tabs>
          <w:tab w:leader="none" w:pos="700" w:val="left"/>
          <w:tab w:leader="none" w:pos="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001-36076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FATE THERAPEUTICS,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0" w:type="dxa"/>
        <w:tblCellMar>
          <w:top w:w="0" w:type="dxa"/>
          <w:left w:w="0" w:type="dxa"/>
          <w:bottom w:w="0" w:type="dxa"/>
          <w:right w:w="0" w:type="dxa"/>
        </w:tblCellMar>
      </w:tblPr>
      <w:tr>
        <w:trPr>
          <w:trHeight w:val="198"/>
        </w:trPr>
        <w:tc>
          <w:tcPr>
            <w:tcW w:w="3620" w:type="dxa"/>
            <w:vAlign w:val="bottom"/>
          </w:tcPr>
          <w:p>
            <w:pPr>
              <w:jc w:val="center"/>
              <w:ind w:left="185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40" w:type="dxa"/>
            <w:vAlign w:val="bottom"/>
          </w:tcPr>
          <w:p>
            <w:pPr>
              <w:jc w:val="right"/>
              <w:ind w:right="2291"/>
              <w:spacing w:after="0"/>
              <w:rPr>
                <w:sz w:val="20"/>
                <w:szCs w:val="20"/>
                <w:color w:val="auto"/>
              </w:rPr>
            </w:pPr>
            <w:r>
              <w:rPr>
                <w:rFonts w:ascii="Times New Roman" w:cs="Times New Roman" w:eastAsia="Times New Roman" w:hAnsi="Times New Roman"/>
                <w:sz w:val="16"/>
                <w:szCs w:val="16"/>
                <w:b w:val="1"/>
                <w:bCs w:val="1"/>
                <w:color w:val="auto"/>
              </w:rPr>
              <w:t>65-1311552</w:t>
            </w:r>
          </w:p>
        </w:tc>
        <w:tc>
          <w:tcPr>
            <w:tcW w:w="0" w:type="dxa"/>
            <w:vAlign w:val="bottom"/>
          </w:tcPr>
          <w:p>
            <w:pPr>
              <w:spacing w:after="0"/>
              <w:rPr>
                <w:sz w:val="1"/>
                <w:szCs w:val="1"/>
                <w:color w:val="auto"/>
              </w:rPr>
            </w:pPr>
          </w:p>
        </w:tc>
      </w:tr>
      <w:tr>
        <w:trPr>
          <w:trHeight w:val="135"/>
        </w:trPr>
        <w:tc>
          <w:tcPr>
            <w:tcW w:w="3620" w:type="dxa"/>
            <w:vAlign w:val="bottom"/>
          </w:tcPr>
          <w:p>
            <w:pPr>
              <w:jc w:val="center"/>
              <w:ind w:left="183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40" w:type="dxa"/>
            <w:vAlign w:val="bottom"/>
          </w:tcPr>
          <w:p>
            <w:pPr>
              <w:jc w:val="center"/>
              <w:ind w:right="2191"/>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620" w:type="dxa"/>
            <w:vAlign w:val="bottom"/>
          </w:tcPr>
          <w:p>
            <w:pPr>
              <w:jc w:val="center"/>
              <w:ind w:left="183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tcPr>
          <w:p>
            <w:pPr>
              <w:jc w:val="center"/>
              <w:ind w:right="219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39"/>
        </w:trPr>
        <w:tc>
          <w:tcPr>
            <w:tcW w:w="6980" w:type="dxa"/>
            <w:vAlign w:val="bottom"/>
            <w:gridSpan w:val="5"/>
          </w:tcPr>
          <w:p>
            <w:pPr>
              <w:jc w:val="center"/>
              <w:ind w:right="1460"/>
              <w:spacing w:after="0"/>
              <w:rPr>
                <w:sz w:val="20"/>
                <w:szCs w:val="20"/>
                <w:color w:val="auto"/>
              </w:rPr>
            </w:pPr>
            <w:r>
              <w:rPr>
                <w:rFonts w:ascii="Times New Roman" w:cs="Times New Roman" w:eastAsia="Times New Roman" w:hAnsi="Times New Roman"/>
                <w:sz w:val="16"/>
                <w:szCs w:val="16"/>
                <w:b w:val="1"/>
                <w:bCs w:val="1"/>
                <w:color w:val="auto"/>
              </w:rPr>
              <w:t>12278 Scripps Summit Drive, San Diego, California</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tcPr>
          <w:p>
            <w:pPr>
              <w:jc w:val="right"/>
              <w:ind w:right="2471"/>
              <w:spacing w:after="0"/>
              <w:rPr>
                <w:sz w:val="20"/>
                <w:szCs w:val="20"/>
                <w:color w:val="auto"/>
              </w:rPr>
            </w:pPr>
            <w:r>
              <w:rPr>
                <w:rFonts w:ascii="Times New Roman" w:cs="Times New Roman" w:eastAsia="Times New Roman" w:hAnsi="Times New Roman"/>
                <w:sz w:val="16"/>
                <w:szCs w:val="16"/>
                <w:b w:val="1"/>
                <w:bCs w:val="1"/>
                <w:color w:val="auto"/>
              </w:rPr>
              <w:t>92131</w:t>
            </w:r>
          </w:p>
        </w:tc>
        <w:tc>
          <w:tcPr>
            <w:tcW w:w="0" w:type="dxa"/>
            <w:vAlign w:val="bottom"/>
          </w:tcPr>
          <w:p>
            <w:pPr>
              <w:spacing w:after="0"/>
              <w:rPr>
                <w:sz w:val="1"/>
                <w:szCs w:val="1"/>
                <w:color w:val="auto"/>
              </w:rPr>
            </w:pPr>
          </w:p>
        </w:tc>
      </w:tr>
      <w:tr>
        <w:trPr>
          <w:trHeight w:val="166"/>
        </w:trPr>
        <w:tc>
          <w:tcPr>
            <w:tcW w:w="6980" w:type="dxa"/>
            <w:vAlign w:val="bottom"/>
            <w:gridSpan w:val="5"/>
          </w:tcPr>
          <w:p>
            <w:pPr>
              <w:jc w:val="center"/>
              <w:ind w:right="146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tcPr>
          <w:p>
            <w:pPr>
              <w:jc w:val="center"/>
              <w:ind w:right="2191"/>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21"/>
        </w:trPr>
        <w:tc>
          <w:tcPr>
            <w:tcW w:w="3620" w:type="dxa"/>
            <w:vAlign w:val="bottom"/>
          </w:tcPr>
          <w:p>
            <w:pPr>
              <w:spacing w:after="0"/>
              <w:rPr>
                <w:sz w:val="19"/>
                <w:szCs w:val="19"/>
                <w:color w:val="auto"/>
              </w:rPr>
            </w:pPr>
          </w:p>
        </w:tc>
        <w:tc>
          <w:tcPr>
            <w:tcW w:w="3120" w:type="dxa"/>
            <w:vAlign w:val="bottom"/>
            <w:gridSpan w:val="3"/>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(858) 875-1800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4"/>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620" w:type="dxa"/>
            <w:vAlign w:val="bottom"/>
          </w:tcPr>
          <w:p>
            <w:pPr>
              <w:spacing w:after="0"/>
              <w:rPr>
                <w:sz w:val="20"/>
                <w:szCs w:val="20"/>
                <w:color w:val="auto"/>
              </w:rPr>
            </w:pPr>
          </w:p>
        </w:tc>
        <w:tc>
          <w:tcPr>
            <w:tcW w:w="4120" w:type="dxa"/>
            <w:vAlign w:val="bottom"/>
            <w:gridSpan w:val="7"/>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36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620" w:type="dxa"/>
            <w:vAlign w:val="bottom"/>
            <w:tcBorders>
              <w:left w:val="single" w:sz="8" w:color="auto"/>
              <w:bottom w:val="single" w:sz="8" w:color="auto"/>
            </w:tcBorders>
          </w:tcPr>
          <w:p>
            <w:pPr>
              <w:jc w:val="center"/>
              <w:ind w:left="70"/>
              <w:spacing w:after="0" w:line="89" w:lineRule="exact"/>
              <w:rPr>
                <w:sz w:val="20"/>
                <w:szCs w:val="20"/>
                <w:color w:val="auto"/>
              </w:rPr>
            </w:pPr>
            <w:r>
              <w:rPr>
                <w:rFonts w:ascii="Times New Roman" w:cs="Times New Roman" w:eastAsia="Times New Roman" w:hAnsi="Times New Roman"/>
                <w:sz w:val="10"/>
                <w:szCs w:val="10"/>
                <w:b w:val="1"/>
                <w:bCs w:val="1"/>
                <w:color w:val="auto"/>
              </w:rPr>
              <w:t>Title of each class</w:t>
            </w:r>
          </w:p>
        </w:tc>
        <w:tc>
          <w:tcPr>
            <w:tcW w:w="14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gridSpan w:val="2"/>
          </w:tcPr>
          <w:p>
            <w:pPr>
              <w:jc w:val="center"/>
              <w:ind w:right="260"/>
              <w:spacing w:after="0" w:line="89" w:lineRule="exact"/>
              <w:rPr>
                <w:sz w:val="20"/>
                <w:szCs w:val="20"/>
                <w:color w:val="auto"/>
              </w:rPr>
            </w:pPr>
            <w:r>
              <w:rPr>
                <w:rFonts w:ascii="Times New Roman" w:cs="Times New Roman" w:eastAsia="Times New Roman" w:hAnsi="Times New Roman"/>
                <w:sz w:val="10"/>
                <w:szCs w:val="10"/>
                <w:b w:val="1"/>
                <w:bCs w:val="1"/>
                <w:color w:val="auto"/>
              </w:rPr>
              <w:t>Trading symbol(s)</w:t>
            </w: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40" w:type="dxa"/>
            <w:vAlign w:val="bottom"/>
            <w:tcBorders>
              <w:bottom w:val="single" w:sz="8" w:color="auto"/>
              <w:right w:val="single" w:sz="8" w:color="auto"/>
            </w:tcBorders>
          </w:tcPr>
          <w:p>
            <w:pPr>
              <w:jc w:val="center"/>
              <w:ind w:right="471"/>
              <w:spacing w:after="0" w:line="89" w:lineRule="exact"/>
              <w:rPr>
                <w:sz w:val="20"/>
                <w:szCs w:val="20"/>
                <w:color w:val="auto"/>
              </w:rPr>
            </w:pPr>
            <w:r>
              <w:rPr>
                <w:rFonts w:ascii="Times New Roman" w:cs="Times New Roman" w:eastAsia="Times New Roman" w:hAnsi="Times New Roman"/>
                <w:sz w:val="10"/>
                <w:szCs w:val="10"/>
                <w:b w:val="1"/>
                <w:bCs w:val="1"/>
                <w:color w:val="auto"/>
              </w:rPr>
              <w:t>Name of each exchange on which registered</w:t>
            </w:r>
          </w:p>
        </w:tc>
        <w:tc>
          <w:tcPr>
            <w:tcW w:w="0" w:type="dxa"/>
            <w:vAlign w:val="bottom"/>
          </w:tcPr>
          <w:p>
            <w:pPr>
              <w:spacing w:after="0"/>
              <w:rPr>
                <w:sz w:val="1"/>
                <w:szCs w:val="1"/>
                <w:color w:val="auto"/>
              </w:rPr>
            </w:pPr>
          </w:p>
        </w:tc>
      </w:tr>
      <w:tr>
        <w:trPr>
          <w:trHeight w:val="179"/>
        </w:trPr>
        <w:tc>
          <w:tcPr>
            <w:tcW w:w="3620" w:type="dxa"/>
            <w:vAlign w:val="bottom"/>
            <w:tcBorders>
              <w:left w:val="single" w:sz="8" w:color="auto"/>
              <w:bottom w:val="single" w:sz="8" w:color="auto"/>
            </w:tcBorders>
          </w:tcPr>
          <w:p>
            <w:pPr>
              <w:jc w:val="center"/>
              <w:ind w:left="70"/>
              <w:spacing w:after="0" w:line="179" w:lineRule="exact"/>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1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2"/>
          </w:tcPr>
          <w:p>
            <w:pPr>
              <w:jc w:val="center"/>
              <w:ind w:right="260"/>
              <w:spacing w:after="0" w:line="179" w:lineRule="exact"/>
              <w:rPr>
                <w:sz w:val="20"/>
                <w:szCs w:val="20"/>
                <w:color w:val="auto"/>
              </w:rPr>
            </w:pPr>
            <w:r>
              <w:rPr>
                <w:rFonts w:ascii="Times New Roman" w:cs="Times New Roman" w:eastAsia="Times New Roman" w:hAnsi="Times New Roman"/>
                <w:sz w:val="16"/>
                <w:szCs w:val="16"/>
                <w:b w:val="1"/>
                <w:bCs w:val="1"/>
                <w:color w:val="auto"/>
                <w:w w:val="98"/>
              </w:rPr>
              <w:t>FATE</w:t>
            </w: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40" w:type="dxa"/>
            <w:vAlign w:val="bottom"/>
            <w:tcBorders>
              <w:bottom w:val="single" w:sz="8" w:color="auto"/>
              <w:right w:val="single" w:sz="8" w:color="auto"/>
            </w:tcBorders>
          </w:tcPr>
          <w:p>
            <w:pPr>
              <w:jc w:val="center"/>
              <w:ind w:right="451"/>
              <w:spacing w:after="0" w:line="179" w:lineRule="exact"/>
              <w:rPr>
                <w:sz w:val="20"/>
                <w:szCs w:val="20"/>
                <w:color w:val="auto"/>
              </w:rPr>
            </w:pPr>
            <w:r>
              <w:rPr>
                <w:rFonts w:ascii="Times New Roman" w:cs="Times New Roman" w:eastAsia="Times New Roman" w:hAnsi="Times New Roman"/>
                <w:sz w:val="16"/>
                <w:szCs w:val="16"/>
                <w:b w:val="1"/>
                <w:bCs w:val="1"/>
                <w:color w:val="auto"/>
              </w:rPr>
              <w:t>NASDAQ Global Market</w:t>
            </w:r>
          </w:p>
        </w:tc>
        <w:tc>
          <w:tcPr>
            <w:tcW w:w="0" w:type="dxa"/>
            <w:vAlign w:val="bottom"/>
          </w:tcPr>
          <w:p>
            <w:pPr>
              <w:spacing w:after="0"/>
              <w:rPr>
                <w:sz w:val="1"/>
                <w:szCs w:val="1"/>
                <w:color w:val="auto"/>
              </w:rPr>
            </w:pPr>
          </w:p>
        </w:tc>
      </w:tr>
      <w:tr>
        <w:trPr>
          <w:trHeight w:val="244"/>
        </w:trPr>
        <w:tc>
          <w:tcPr>
            <w:tcW w:w="8000" w:type="dxa"/>
            <w:vAlign w:val="bottom"/>
            <w:gridSpan w:val="9"/>
          </w:tcPr>
          <w:p>
            <w:pPr>
              <w:jc w:val="center"/>
              <w:ind w:left="317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4500" w:type="dxa"/>
            <w:vAlign w:val="bottom"/>
            <w:gridSpan w:val="3"/>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vMerge w:val="restart"/>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4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06"/>
        </w:trPr>
        <w:tc>
          <w:tcPr>
            <w:tcW w:w="6980" w:type="dxa"/>
            <w:vAlign w:val="bottom"/>
            <w:gridSpan w:val="5"/>
          </w:tcPr>
          <w:p>
            <w:pPr>
              <w:ind w:left="52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Yes</w:t>
            </w:r>
          </w:p>
        </w:tc>
        <w:tc>
          <w:tcPr>
            <w:tcW w:w="240" w:type="dxa"/>
            <w:vAlign w:val="bottom"/>
            <w:vMerge w:val="continue"/>
          </w:tcPr>
          <w:p>
            <w:pPr>
              <w:spacing w:after="0"/>
              <w:rPr>
                <w:sz w:val="17"/>
                <w:szCs w:val="17"/>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w:t>
            </w:r>
          </w:p>
        </w:tc>
        <w:tc>
          <w:tcPr>
            <w:tcW w:w="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w:t>
            </w:r>
          </w:p>
        </w:tc>
        <w:tc>
          <w:tcPr>
            <w:tcW w:w="3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980" w:type="dxa"/>
            <w:vAlign w:val="bottom"/>
            <w:gridSpan w:val="5"/>
          </w:tcPr>
          <w:p>
            <w:pPr>
              <w:ind w:left="52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tc>
        <w:tc>
          <w:tcPr>
            <w:tcW w:w="2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Yes</w:t>
            </w:r>
          </w:p>
        </w:tc>
        <w:tc>
          <w:tcPr>
            <w:tcW w:w="24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or</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w:t>
            </w:r>
          </w:p>
        </w:tc>
        <w:tc>
          <w:tcPr>
            <w:tcW w:w="324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00" w:firstLine="509"/>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or No </w:t>
      </w:r>
      <w:r>
        <w:rPr>
          <w:rFonts w:ascii="MS PGothic" w:cs="MS PGothic" w:eastAsia="MS PGothic" w:hAnsi="MS PGothic"/>
          <w:sz w:val="13"/>
          <w:szCs w:val="13"/>
          <w:color w:val="auto"/>
        </w:rPr>
        <w:t>☐</w:t>
      </w:r>
    </w:p>
    <w:p>
      <w:pPr>
        <w:spacing w:after="0" w:line="7" w:lineRule="exact"/>
        <w:rPr>
          <w:sz w:val="24"/>
          <w:szCs w:val="24"/>
          <w:color w:val="auto"/>
        </w:rPr>
      </w:pPr>
    </w:p>
    <w:p>
      <w:pPr>
        <w:ind w:right="260" w:firstLine="509"/>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560" w:firstLine="509"/>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3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880" w:type="dxa"/>
            <w:vAlign w:val="bottom"/>
          </w:tcPr>
          <w:p>
            <w:pPr>
              <w:ind w:left="2600"/>
              <w:spacing w:after="0"/>
              <w:rPr>
                <w:sz w:val="20"/>
                <w:szCs w:val="20"/>
                <w:color w:val="auto"/>
              </w:rPr>
            </w:pPr>
            <w:r>
              <w:rPr>
                <w:rFonts w:ascii="Times New Roman" w:cs="Times New Roman" w:eastAsia="Times New Roman" w:hAnsi="Times New Roman"/>
                <w:sz w:val="15"/>
                <w:szCs w:val="15"/>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3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880" w:type="dxa"/>
            <w:vAlign w:val="bottom"/>
          </w:tcPr>
          <w:p>
            <w:pPr>
              <w:ind w:left="26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3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88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spacing w:after="0" w:line="21" w:lineRule="exact"/>
        <w:rPr>
          <w:sz w:val="24"/>
          <w:szCs w:val="24"/>
          <w:color w:val="auto"/>
        </w:rPr>
      </w:pPr>
    </w:p>
    <w:p>
      <w:pPr>
        <w:ind w:right="160" w:firstLine="509"/>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20" w:firstLine="509"/>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300" w:firstLine="509"/>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440" w:firstLine="509"/>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520"/>
        <w:spacing w:after="0" w:line="150" w:lineRule="exact"/>
        <w:tabs>
          <w:tab w:leader="none" w:pos="6200" w:val="left"/>
          <w:tab w:leader="none" w:pos="67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ind w:right="20" w:firstLine="509"/>
        <w:spacing w:after="0" w:line="251" w:lineRule="auto"/>
        <w:rPr>
          <w:sz w:val="20"/>
          <w:szCs w:val="20"/>
          <w:color w:val="auto"/>
        </w:rPr>
      </w:pPr>
      <w:r>
        <w:rPr>
          <w:rFonts w:ascii="Times New Roman" w:cs="Times New Roman" w:eastAsia="Times New Roman" w:hAnsi="Times New Roman"/>
          <w:sz w:val="13"/>
          <w:szCs w:val="13"/>
          <w:color w:val="auto"/>
        </w:rPr>
        <w:t>The aggregate market value of the common stock held by non-affiliates of the registrant was approximately $369,000,000 as of June 30, 2024 based upon the closing sale price on The Nasdaq Global Market reported for such date. Shares of common stock held by each executive officer and director and certain holders of more than 10% of the outstanding shares of the registrant’s common stock have been excluded in that such persons may be deemed to be affiliates. Shares of common stock held by other persons, including certain other holders of more than 10% of the outstanding shares of common stock, have not been excluded in that such persons are not deemed to be affiliates. This determination of affiliate status is not necessarily a conclusive determination for other purposes.</w:t>
      </w:r>
    </w:p>
    <w:p>
      <w:pPr>
        <w:spacing w:after="0" w:line="2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The number of outstanding shares of the registrant’s common stock, par value $0.001 per share, as of February 25, 2025 was 114,597,425.</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6" w:lineRule="exact"/>
        <w:rPr>
          <w:sz w:val="24"/>
          <w:szCs w:val="24"/>
          <w:color w:val="auto"/>
        </w:rPr>
      </w:pPr>
    </w:p>
    <w:p>
      <w:pPr>
        <w:jc w:val="both"/>
        <w:ind w:right="100" w:firstLine="509"/>
        <w:spacing w:after="0" w:line="264" w:lineRule="auto"/>
        <w:rPr>
          <w:sz w:val="20"/>
          <w:szCs w:val="20"/>
          <w:color w:val="auto"/>
        </w:rPr>
      </w:pPr>
      <w:r>
        <w:rPr>
          <w:rFonts w:ascii="Times New Roman" w:cs="Times New Roman" w:eastAsia="Times New Roman" w:hAnsi="Times New Roman"/>
          <w:sz w:val="13"/>
          <w:szCs w:val="13"/>
          <w:color w:val="auto"/>
        </w:rPr>
        <w:t>Portions of the registrant’s definitive proxy statement to be filed with the Securities and Exchange Commission, or SEC, on or before the date 120 days after the conclusion of the registrant’s fiscal year ended December 31, 2024 pursuant to Regulation 14A, in connection with the registrant’s 2025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80" w:type="dxa"/>
            <w:vAlign w:val="bottom"/>
            <w:gridSpan w:val="8"/>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FATE THERAPEUTICS, INC.</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80" w:type="dxa"/>
            <w:vAlign w:val="bottom"/>
            <w:gridSpan w:val="8"/>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80" w:type="dxa"/>
            <w:vAlign w:val="bottom"/>
            <w:gridSpan w:val="11"/>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2024</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80" w:type="dxa"/>
            <w:vAlign w:val="bottom"/>
            <w:gridSpan w:val="8"/>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540" w:type="dxa"/>
            <w:vAlign w:val="bottom"/>
            <w:gridSpan w:val="34"/>
            <w:vMerge w:val="restart"/>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6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540" w:type="dxa"/>
            <w:vAlign w:val="bottom"/>
            <w:gridSpan w:val="34"/>
            <w:vMerge w:val="continue"/>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4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FORWARD-LOOKING STATEMENTS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02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600" w:type="dxa"/>
            <w:vAlign w:val="bottom"/>
            <w:tcBorders>
              <w:top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20" w:type="dxa"/>
            <w:vAlign w:val="bottom"/>
            <w:gridSpan w:val="4"/>
          </w:tcPr>
          <w:p>
            <w:pPr>
              <w:spacing w:after="0"/>
              <w:rPr>
                <w:sz w:val="17"/>
                <w:szCs w:val="17"/>
                <w:color w:val="auto"/>
              </w:rPr>
            </w:pPr>
          </w:p>
        </w:tc>
        <w:tc>
          <w:tcPr>
            <w:tcW w:w="6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7"/>
                <w:szCs w:val="17"/>
                <w:color w:val="auto"/>
              </w:rPr>
            </w:pPr>
          </w:p>
        </w:tc>
        <w:tc>
          <w:tcPr>
            <w:tcW w:w="8860" w:type="dxa"/>
            <w:vAlign w:val="bottom"/>
            <w:gridSpan w:val="2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600" w:type="dxa"/>
            <w:vAlign w:val="bottom"/>
            <w:gridSpan w:val="2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5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48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520" w:type="dxa"/>
            <w:vAlign w:val="bottom"/>
            <w:gridSpan w:val="2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6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7"/>
              </w:rPr>
              <w:t>PART II</w:t>
            </w:r>
          </w:p>
        </w:tc>
        <w:tc>
          <w:tcPr>
            <w:tcW w:w="340" w:type="dxa"/>
            <w:vAlign w:val="bottom"/>
            <w:gridSpan w:val="3"/>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686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w:t>
            </w:r>
          </w:p>
        </w:tc>
        <w:tc>
          <w:tcPr>
            <w:tcW w:w="266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Equity Securities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gridSpan w:val="5"/>
            <w:shd w:val="clear" w:color="auto" w:fill="0000FF"/>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5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3"/>
          </w:tcPr>
          <w:p>
            <w:pPr>
              <w:spacing w:after="0"/>
              <w:rPr>
                <w:sz w:val="17"/>
                <w:szCs w:val="17"/>
                <w:color w:val="auto"/>
              </w:rPr>
            </w:pPr>
          </w:p>
        </w:tc>
        <w:tc>
          <w:tcPr>
            <w:tcW w:w="30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5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10"/>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5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30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76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right w:val="single" w:sz="8" w:color="0000EE"/>
            </w:tcBorders>
            <w:gridSpan w:val="10"/>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5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7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III</w:t>
            </w:r>
          </w:p>
        </w:tc>
        <w:tc>
          <w:tcPr>
            <w:tcW w:w="26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42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bottom w:val="single" w:sz="8" w:color="0000EE"/>
            </w:tcBorders>
          </w:tcPr>
          <w:p>
            <w:pPr>
              <w:spacing w:after="0"/>
              <w:rPr>
                <w:sz w:val="17"/>
                <w:szCs w:val="17"/>
                <w:color w:val="auto"/>
              </w:rPr>
            </w:pPr>
          </w:p>
        </w:tc>
        <w:tc>
          <w:tcPr>
            <w:tcW w:w="770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5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2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408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7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7"/>
              </w:rPr>
              <w:t>PART IV</w:t>
            </w:r>
          </w:p>
        </w:tc>
        <w:tc>
          <w:tcPr>
            <w:tcW w:w="280" w:type="dxa"/>
            <w:vAlign w:val="bottom"/>
            <w:gridSpan w:val="2"/>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36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5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40" w:type="dxa"/>
            <w:vAlign w:val="bottom"/>
            <w:gridSpan w:val="12"/>
            <w:shd w:val="clear" w:color="auto" w:fill="0000FF"/>
          </w:tcPr>
          <w:p>
            <w:pPr>
              <w:spacing w:after="0" w:line="20" w:lineRule="exact"/>
              <w:rPr>
                <w:sz w:val="1"/>
                <w:szCs w:val="1"/>
                <w:color w:val="auto"/>
              </w:rPr>
            </w:pPr>
          </w:p>
        </w:tc>
        <w:tc>
          <w:tcPr>
            <w:tcW w:w="798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4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432"/>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7"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Securities and Exchange Commission (SEC) before making investment decisions regarding our common stock.</w:t>
      </w:r>
    </w:p>
    <w:p>
      <w:pPr>
        <w:spacing w:after="0" w:line="74" w:lineRule="exact"/>
        <w:rPr>
          <w:sz w:val="20"/>
          <w:szCs w:val="20"/>
          <w:color w:val="auto"/>
        </w:rPr>
      </w:pPr>
    </w:p>
    <w:p>
      <w:pPr>
        <w:ind w:left="1020" w:right="22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and programs represent novel therapeutic approaches to treating disease, and our product candidates may cause undesirable side effects or have other properties that could delay or halt their preclinical or clinical development, prevent their regulatory approval, limit their commercial potential or result in significant negative consequences. If we fail to complete the preclinical or clinical development of, or to obtain regulatory approval for, our product candidates on a timely basis or at all, our business would be significantly harmed.</w:t>
      </w:r>
    </w:p>
    <w:p>
      <w:pPr>
        <w:spacing w:after="0" w:line="75"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product candidates will require substantial additional funding, which, if available, may cause dilution to our stockholders, and without which we will be unable to complete development of, or obtain regulatory approval for, our product candidates. Additionally, we may not be able to secure adequate funding on acceptable terms or on a timely basis.</w:t>
      </w:r>
    </w:p>
    <w:p>
      <w:pPr>
        <w:spacing w:after="0" w:line="67" w:lineRule="exact"/>
        <w:rPr>
          <w:rFonts w:ascii="Times New Roman" w:cs="Times New Roman" w:eastAsia="Times New Roman" w:hAnsi="Times New Roman"/>
          <w:sz w:val="18"/>
          <w:szCs w:val="18"/>
          <w:color w:val="auto"/>
        </w:rPr>
      </w:pPr>
    </w:p>
    <w:p>
      <w:pPr>
        <w:ind w:left="1020" w:right="20" w:hanging="503"/>
        <w:spacing w:after="0" w:line="25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induced pluripotent stem cell (iPSC) product platform enables the production of next-generation product candidates, and we have multiple iPSC-derived cell product candidates currently undergoing clinical development. We may elect to deprioritize or discontinue the clinical development of one or more of our product candidates for any number of reasons, including due to our prioritization of product candidates, data or results from our ongoing clinical trials, and the competitive therapeutic landscape for which our product candidates are being developed. In addition, one or more of our product candidates undergoing clinical development may have therapeutic potential in more than one disease area, and we may elect to prioritize clinical development in one disease area over another disease area.</w:t>
      </w:r>
    </w:p>
    <w:p>
      <w:pPr>
        <w:spacing w:after="0" w:line="79"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iPSC technology and gene-editing technology in the creation of our product candidates. If we are unable to use these technologies in the creation of our product candidates, our business would be significantly harmed.</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delays in initiating, conducting or completing our clinical trials, including difficulties recruiting appropriate clinical trial investigators, enrolling patients in our clinical trials, or manufacturing adequate clinical supplies, and we may not be able to initiate, conduct or complete our clinical trials at all.</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from other biotechnology and pharmaceutical companies, and our operating results will suffer if we fail to compete effectively.</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interim and preliminary data from our preclinical studies or clinical trials may change as more data become available and are subject to audit and verification procedures that could result in material changes in the final data. Furthermore, results from our ongoing or future clinical trials involving our product candidates may differ materially from initial, interim and preliminary data as well as previous study results.</w:t>
      </w:r>
    </w:p>
    <w:p>
      <w:pPr>
        <w:spacing w:after="0" w:line="71"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distribution of our product candidates is complex and subject to a multitude of risks. Additionally, the U.S. Food and Drug Administration (FDA) or other regulatory authorities may impose additional requirements on our manufacturing operations. These risks and requirements could substantially limit our supply of our product candidates and increase our costs, and the development and commercialization of our product candidates could be significantly delayed or restricted.</w:t>
      </w:r>
    </w:p>
    <w:p>
      <w:pPr>
        <w:spacing w:after="0" w:line="71"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manufacturing our product candidates on a clinical scale, and no experience manufacturing on a commercial scale. Any failure to manufacture sufficient quantities of our product candidates consistently and at acceptable quality and costs may result in delays to our clinical development plans and impair our ability to obtain approval for, or commercialize, our product candidates and would materially and adversely affect our business.</w:t>
      </w:r>
    </w:p>
    <w:p>
      <w:pPr>
        <w:spacing w:after="0" w:line="71"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including sole source suppliers, for certain aspects in the production of our product candidates, the loss of which suppliers could adversely impact our ability to conduct our clinical trials.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challenges recruiting and retaining key personnel due to labor market changes, availability of qualified candidates, and competition for employees from other companies.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cost fluctuations and inflationary pressures, including increases in prices of materials and costs of labor, which may adversely impact our operating performance, expenses, cash utilization and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strategic partnerships and collaboration arrangements for the development and commercialization of certain of our product candidates in certain indications or geographic territories, and if these arrangements are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 w:name="page4"/>
    <w:bookmarkEnd w:id="3"/>
    <w:p>
      <w:pPr>
        <w:ind w:left="1020" w:right="180"/>
        <w:spacing w:after="0" w:line="282" w:lineRule="auto"/>
        <w:rPr>
          <w:sz w:val="20"/>
          <w:szCs w:val="20"/>
          <w:color w:val="auto"/>
        </w:rPr>
      </w:pPr>
      <w:r>
        <w:rPr>
          <w:rFonts w:ascii="Times New Roman" w:cs="Times New Roman" w:eastAsia="Times New Roman" w:hAnsi="Times New Roman"/>
          <w:sz w:val="18"/>
          <w:szCs w:val="18"/>
          <w:color w:val="auto"/>
        </w:rPr>
        <w:t>unsuccessful or are terminated, this could result in delays and other obstacles in the development, manufacture or commercialization of any of our product candidates and materially harm our results of operations.</w:t>
      </w:r>
    </w:p>
    <w:p>
      <w:pPr>
        <w:spacing w:after="0" w:line="54" w:lineRule="exact"/>
        <w:rPr>
          <w:sz w:val="20"/>
          <w:szCs w:val="20"/>
          <w:color w:val="auto"/>
        </w:rPr>
      </w:pPr>
    </w:p>
    <w:p>
      <w:pPr>
        <w:ind w:left="1020" w:right="6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losses since our inception, and anticipate that we will continue to incur significant losses for the foreseeable future.</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or obtain and maintain patent protection for our technology and product candidates, other companies could develop products based on our technologies and discoveries, which may reduce demand for, or limit the commercial potential of, our products and harm our business.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license agreements, we could lose rights to our product candidates or key technologies.</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experience marketing any product candidates and do not have a sales force or distribution capabilities, and if our products are approved, we may be unable to commercialize them successfully.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 candidates will depend upon the degree of market acceptance by physicians, patients, third-party payers and others in the medical community and may require additional evidence to support the anticipated benefits, comparative risks, and costs.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and other disruptions could compromise sensitive information related to our business.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may be able to exercise significant control over our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subject to fluctuation based on a variety of factors.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qualify as a “smaller reporting company” and a “non-accelerated filer,” and any decision on our part to comply with only certain reduced reporting and disclosure requirements applicable to such companies could make our stock less attractive to investors.</w:t>
      </w:r>
    </w:p>
    <w:p>
      <w:pPr>
        <w:spacing w:after="0" w:line="53"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market conditions, any continued and prolonged public health emergency similar to the COVID-19 pandemic, global geopolitical tensions, including wars and other armed conflicts, or significant political, trade, or regulatory developments in the jurisdictions in which we may develop or commercialize our product candidates or conduct our operations, could adversely impact various aspects of our business, results of operations and financial condition, and could cause disruptions to our supply chain and the development and manufacture of our product candidates.</w:t>
      </w:r>
    </w:p>
    <w:p>
      <w:pPr>
        <w:spacing w:after="0" w:line="287"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The summary risk factors described above should be read together with the text of the full risk factors below, in the section titled “Risk Factors”, and the other information set forth in this Annual Report on Form 10-K, including our consolidated financial statements and the related notes, as well as in other documents that we file with the SEC. The risks summarized above or described in full below are not the only risks that we face.</w:t>
      </w:r>
    </w:p>
    <w:p>
      <w:pPr>
        <w:ind w:right="140"/>
        <w:spacing w:after="0" w:line="260" w:lineRule="auto"/>
        <w:rPr>
          <w:sz w:val="20"/>
          <w:szCs w:val="20"/>
          <w:color w:val="auto"/>
        </w:rPr>
      </w:pPr>
      <w:r>
        <w:rPr>
          <w:rFonts w:ascii="Times New Roman" w:cs="Times New Roman" w:eastAsia="Times New Roman" w:hAnsi="Times New Roman"/>
          <w:sz w:val="18"/>
          <w:szCs w:val="18"/>
          <w:b w:val="1"/>
          <w:bCs w:val="1"/>
          <w:color w:val="auto"/>
        </w:rPr>
        <w:t>Additional risks and uncertainties not precisely known to us or that we currently deem to be immaterial may also materially adversely affect our business, financial condition, results of operations and future growth prospects.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risks and uncertainties, as well as assumptions that, even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Annual Report on Form 10-K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81"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size, duration, costs and results of our clinical trials and preclinical studies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timing to advance our product candidates in, and to successfully initiate, conduct, enroll and complete,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differentiation and potential of our product candidates, and the disease indications for which we intend to develop our product candidates;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likelihood of, and our ability to obtain and maintain, regulatory clearance of our Investigational New Drug (IND) applications for and regulatory approval of our product candidates;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technology platform, including our iPSC product platform, and our ability to leverage our platform in our research, development and commercialization activities for our product candidates;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for clinical development and, if approved, for commercialization, and the timing and costs of such manufacture;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clinical and, if approved, commercial materials and supplies used to manufacture our product candidates;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 parties in connection with the development of our product candidates, including third parties conducting our clinical trials as well as third-party suppliers;</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successfully partner with, and retain strategic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and our ability, and the ability of our collaborators, to successfully develop product candidates under the respective collaborations;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initiate and complete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actual or potential collaborators, to commercialize our product candidates,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and approval pathways in the United States and foreign countries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scope and value of our intellectual property rights;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licensors, to obtain, maintain, defend and enforce intellectual property rights protecting our product candidates, and our ability to develop and commercialize our product candidates without infringing the proprietary rights of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revenues and need for additional financing;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5" w:name="page6"/>
    <w:bookmarkEnd w:id="5"/>
    <w:p>
      <w:pPr>
        <w:ind w:left="1020" w:right="1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rapidly evolving therapeutic technologies and respond to other developments relating to our competitors and our industry;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described under Part I, Item 1A. Risk Factors of this Annual Report on Form 10-K.</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77"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In this Annual Report on Form 10-K, unless the context requires otherwise, “Fate Therapeutics,” “Company,” “we,” “our,” and “us” means Fate Therapeutics, Inc. and its subsidiaries.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bringing a first-in-class pipeline of off-the-shelf cellular immunotherapies to patients.</w:t>
      </w:r>
    </w:p>
    <w:p>
      <w:pPr>
        <w:spacing w:after="0" w:line="54"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have pioneered a therapeutic approach that we generally refer to as cell programming: we create and engineer human induced pluripotent stem cells (iPSCs) to incorporate novel synthetic controls of cell function; we generate a clonal master iPSC line for use as a renewable source of cell manufacture; and we direct the fate of the clonal master iPSC line to produce our cell therapy product candidate. Analogous to master cell lines used to manufacture biopharmaceutical drug products such as monoclonal antibodies, we believe our proprietary clonal master iPSC lines can be used to mass produce multiplexed-engineered, cellular immunotherapies which have off-the-shelf availability, can be administered alone or in combination with standard-of-care therapies, and can reach significant numbers of patients.</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Utilizing our iPSC product platform, we are developing off-the-shelf, multiplexed-engineered T-cell and natural killer (NK) cell product candidates which are selectively designed, incorporate novel synthetic controls of cell function, and are intended to deliver multiple therapeutic mechanisms to patients. We have a pipeline of iPSC-derived, chimeric antigen receptor (CAR)-targeted T-cell and NK cell product candidates currently under development:</w:t>
      </w: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440" w:type="dxa"/>
            <w:vAlign w:val="bottom"/>
            <w:tcBorders>
              <w:top w:val="single" w:sz="8" w:color="auto"/>
              <w:left w:val="single" w:sz="8" w:color="auto"/>
              <w:right w:val="single" w:sz="8" w:color="auto"/>
            </w:tcBorders>
            <w:shd w:val="clear" w:color="auto" w:fill="7F7F7F"/>
          </w:tcPr>
          <w:p>
            <w:pPr>
              <w:spacing w:after="0"/>
              <w:rPr>
                <w:sz w:val="22"/>
                <w:szCs w:val="22"/>
                <w:color w:val="auto"/>
              </w:rPr>
            </w:pPr>
          </w:p>
        </w:tc>
        <w:tc>
          <w:tcPr>
            <w:tcW w:w="3220" w:type="dxa"/>
            <w:vAlign w:val="bottom"/>
            <w:tcBorders>
              <w:top w:val="single" w:sz="8" w:color="auto"/>
              <w:right w:val="single" w:sz="8" w:color="auto"/>
            </w:tcBorders>
            <w:shd w:val="clear" w:color="auto" w:fill="7F7F7F"/>
          </w:tcPr>
          <w:p>
            <w:pPr>
              <w:spacing w:after="0"/>
              <w:rPr>
                <w:sz w:val="22"/>
                <w:szCs w:val="22"/>
                <w:color w:val="auto"/>
              </w:rPr>
            </w:pPr>
          </w:p>
        </w:tc>
        <w:tc>
          <w:tcPr>
            <w:tcW w:w="1380" w:type="dxa"/>
            <w:vAlign w:val="bottom"/>
            <w:tcBorders>
              <w:top w:val="single" w:sz="8" w:color="auto"/>
              <w:right w:val="single" w:sz="8" w:color="auto"/>
            </w:tcBorders>
            <w:shd w:val="clear" w:color="auto" w:fill="7F7F7F"/>
          </w:tcPr>
          <w:p>
            <w:pPr>
              <w:spacing w:after="0"/>
              <w:rPr>
                <w:sz w:val="22"/>
                <w:szCs w:val="22"/>
                <w:color w:val="auto"/>
              </w:rPr>
            </w:pPr>
          </w:p>
        </w:tc>
        <w:tc>
          <w:tcPr>
            <w:tcW w:w="1400" w:type="dxa"/>
            <w:vAlign w:val="bottom"/>
            <w:tcBorders>
              <w:top w:val="single" w:sz="8" w:color="auto"/>
              <w:right w:val="single" w:sz="8" w:color="auto"/>
            </w:tcBorders>
            <w:shd w:val="clear" w:color="auto" w:fill="7F7F7F"/>
          </w:tcPr>
          <w:p>
            <w:pPr>
              <w:spacing w:after="0"/>
              <w:rPr>
                <w:sz w:val="22"/>
                <w:szCs w:val="22"/>
                <w:color w:val="auto"/>
              </w:rPr>
            </w:pPr>
          </w:p>
        </w:tc>
        <w:tc>
          <w:tcPr>
            <w:tcW w:w="1340" w:type="dxa"/>
            <w:vAlign w:val="bottom"/>
            <w:tcBorders>
              <w:top w:val="single" w:sz="8" w:color="auto"/>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Synthetic</w:t>
            </w:r>
          </w:p>
        </w:tc>
        <w:tc>
          <w:tcPr>
            <w:tcW w:w="1420" w:type="dxa"/>
            <w:vAlign w:val="bottom"/>
            <w:tcBorders>
              <w:top w:val="single" w:sz="8" w:color="auto"/>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1040" w:type="dxa"/>
            <w:vAlign w:val="bottom"/>
            <w:tcBorders>
              <w:top w:val="single" w:sz="8" w:color="auto"/>
              <w:right w:val="single" w:sz="8" w:color="auto"/>
            </w:tcBorders>
            <w:shd w:val="clear" w:color="auto" w:fill="7F7F7F"/>
          </w:tcPr>
          <w:p>
            <w:pPr>
              <w:spacing w:after="0"/>
              <w:rPr>
                <w:sz w:val="22"/>
                <w:szCs w:val="22"/>
                <w:color w:val="auto"/>
              </w:rPr>
            </w:pPr>
          </w:p>
        </w:tc>
      </w:tr>
      <w:tr>
        <w:trPr>
          <w:trHeight w:val="294"/>
        </w:trPr>
        <w:tc>
          <w:tcPr>
            <w:tcW w:w="1440" w:type="dxa"/>
            <w:vAlign w:val="bottom"/>
            <w:tcBorders>
              <w:left w:val="single" w:sz="8" w:color="auto"/>
              <w:bottom w:val="single" w:sz="8" w:color="7F7F7F"/>
              <w:right w:val="single" w:sz="8" w:color="auto"/>
            </w:tcBorders>
            <w:shd w:val="clear" w:color="auto" w:fill="7F7F7F"/>
          </w:tcPr>
          <w:p>
            <w:pPr>
              <w:ind w:left="36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3220" w:type="dxa"/>
            <w:vAlign w:val="bottom"/>
            <w:tcBorders>
              <w:bottom w:val="single" w:sz="8" w:color="7F7F7F"/>
              <w:right w:val="single" w:sz="8" w:color="auto"/>
            </w:tcBorders>
            <w:shd w:val="clear" w:color="auto" w:fill="7F7F7F"/>
          </w:tcPr>
          <w:p>
            <w:pPr>
              <w:ind w:left="118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380" w:type="dxa"/>
            <w:vAlign w:val="bottom"/>
            <w:tcBorders>
              <w:bottom w:val="single" w:sz="8" w:color="7F7F7F"/>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auto"/>
              </w:rPr>
              <w:t>Cell Type</w:t>
            </w:r>
          </w:p>
        </w:tc>
        <w:tc>
          <w:tcPr>
            <w:tcW w:w="1400" w:type="dxa"/>
            <w:vAlign w:val="bottom"/>
            <w:tcBorders>
              <w:bottom w:val="single" w:sz="8" w:color="7F7F7F"/>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CAR Target(s)</w:t>
            </w:r>
          </w:p>
        </w:tc>
        <w:tc>
          <w:tcPr>
            <w:tcW w:w="1340" w:type="dxa"/>
            <w:vAlign w:val="bottom"/>
            <w:tcBorders>
              <w:bottom w:val="single" w:sz="8" w:color="7F7F7F"/>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Controls</w:t>
            </w:r>
          </w:p>
        </w:tc>
        <w:tc>
          <w:tcPr>
            <w:tcW w:w="1420" w:type="dxa"/>
            <w:vAlign w:val="bottom"/>
            <w:tcBorders>
              <w:bottom w:val="single" w:sz="8" w:color="7F7F7F"/>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Stage</w:t>
            </w:r>
          </w:p>
        </w:tc>
        <w:tc>
          <w:tcPr>
            <w:tcW w:w="1040" w:type="dxa"/>
            <w:vAlign w:val="bottom"/>
            <w:tcBorders>
              <w:bottom w:val="single" w:sz="8" w:color="7F7F7F"/>
              <w:right w:val="single" w:sz="8" w:color="auto"/>
            </w:tcBorders>
            <w:shd w:val="clear" w:color="auto" w:fill="7F7F7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Partner</w:t>
            </w:r>
          </w:p>
        </w:tc>
      </w:tr>
      <w:tr>
        <w:trPr>
          <w:trHeight w:val="267"/>
        </w:trPr>
        <w:tc>
          <w:tcPr>
            <w:tcW w:w="4660" w:type="dxa"/>
            <w:vAlign w:val="bottom"/>
            <w:tcBorders>
              <w:top w:val="single" w:sz="8" w:color="auto"/>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Autoimmune Diseases</w:t>
            </w:r>
          </w:p>
        </w:tc>
        <w:tc>
          <w:tcPr>
            <w:tcW w:w="1380" w:type="dxa"/>
            <w:vAlign w:val="bottom"/>
            <w:tcBorders>
              <w:top w:val="single" w:sz="8" w:color="auto"/>
            </w:tcBorders>
          </w:tcPr>
          <w:p>
            <w:pPr>
              <w:spacing w:after="0"/>
              <w:rPr>
                <w:sz w:val="23"/>
                <w:szCs w:val="23"/>
                <w:color w:val="auto"/>
              </w:rPr>
            </w:pPr>
          </w:p>
        </w:tc>
        <w:tc>
          <w:tcPr>
            <w:tcW w:w="140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1040" w:type="dxa"/>
            <w:vAlign w:val="bottom"/>
            <w:tcBorders>
              <w:top w:val="single" w:sz="8" w:color="auto"/>
              <w:right w:val="single" w:sz="8" w:color="auto"/>
            </w:tcBorders>
          </w:tcPr>
          <w:p>
            <w:pPr>
              <w:spacing w:after="0"/>
              <w:rPr>
                <w:sz w:val="23"/>
                <w:szCs w:val="23"/>
                <w:color w:val="auto"/>
              </w:rPr>
            </w:pPr>
          </w:p>
        </w:tc>
      </w:tr>
      <w:tr>
        <w:trPr>
          <w:trHeight w:val="54"/>
        </w:trPr>
        <w:tc>
          <w:tcPr>
            <w:tcW w:w="144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r>
        <w:trPr>
          <w:trHeight w:val="264"/>
        </w:trPr>
        <w:tc>
          <w:tcPr>
            <w:tcW w:w="1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FT819</w:t>
            </w:r>
          </w:p>
        </w:tc>
        <w:tc>
          <w:tcPr>
            <w:tcW w:w="3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Systemic Lupus Erythematosus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CAR 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CD19</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Phase 1</w:t>
            </w:r>
          </w:p>
        </w:tc>
        <w:tc>
          <w:tcPr>
            <w:tcW w:w="1040" w:type="dxa"/>
            <w:vAlign w:val="bottom"/>
            <w:tcBorders>
              <w:right w:val="single" w:sz="8" w:color="auto"/>
            </w:tcBorders>
          </w:tcPr>
          <w:p>
            <w:pPr>
              <w:spacing w:after="0"/>
              <w:rPr>
                <w:sz w:val="22"/>
                <w:szCs w:val="22"/>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r>
        <w:trPr>
          <w:trHeight w:val="245"/>
        </w:trPr>
        <w:tc>
          <w:tcPr>
            <w:tcW w:w="1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FT819</w:t>
            </w:r>
          </w:p>
        </w:tc>
        <w:tc>
          <w:tcPr>
            <w:tcW w:w="3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Antibody-Associated Vasculitis,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CAR 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CD19</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Phase 1</w:t>
            </w:r>
          </w:p>
        </w:tc>
        <w:tc>
          <w:tcPr>
            <w:tcW w:w="1040" w:type="dxa"/>
            <w:vAlign w:val="bottom"/>
            <w:tcBorders>
              <w:right w:val="single" w:sz="8" w:color="auto"/>
            </w:tcBorders>
          </w:tcPr>
          <w:p>
            <w:pPr>
              <w:spacing w:after="0"/>
              <w:rPr>
                <w:sz w:val="21"/>
                <w:szCs w:val="2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3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Idiopathic Inflammatory Myositis, and</w:t>
            </w:r>
          </w:p>
        </w:tc>
        <w:tc>
          <w:tcPr>
            <w:tcW w:w="13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34"/>
        </w:trPr>
        <w:tc>
          <w:tcPr>
            <w:tcW w:w="1440" w:type="dxa"/>
            <w:vAlign w:val="bottom"/>
            <w:tcBorders>
              <w:left w:val="single" w:sz="8" w:color="auto"/>
              <w:right w:val="single" w:sz="8" w:color="auto"/>
            </w:tcBorders>
          </w:tcPr>
          <w:p>
            <w:pPr>
              <w:spacing w:after="0"/>
              <w:rPr>
                <w:sz w:val="20"/>
                <w:szCs w:val="20"/>
                <w:color w:val="auto"/>
              </w:rPr>
            </w:pPr>
          </w:p>
        </w:tc>
        <w:tc>
          <w:tcPr>
            <w:tcW w:w="3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Systemic Sclerosis</w:t>
            </w:r>
          </w:p>
        </w:tc>
        <w:tc>
          <w:tcPr>
            <w:tcW w:w="13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r>
        <w:trPr>
          <w:trHeight w:val="245"/>
        </w:trPr>
        <w:tc>
          <w:tcPr>
            <w:tcW w:w="1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FT522</w:t>
            </w:r>
          </w:p>
        </w:tc>
        <w:tc>
          <w:tcPr>
            <w:tcW w:w="3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 Cell-mediated Autoimmunity in</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 NK</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CD19; 41BB</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Phase 1</w:t>
            </w:r>
          </w:p>
        </w:tc>
        <w:tc>
          <w:tcPr>
            <w:tcW w:w="1040" w:type="dxa"/>
            <w:vAlign w:val="bottom"/>
            <w:tcBorders>
              <w:right w:val="single" w:sz="8" w:color="auto"/>
            </w:tcBorders>
          </w:tcPr>
          <w:p>
            <w:pPr>
              <w:spacing w:after="0"/>
              <w:rPr>
                <w:sz w:val="21"/>
                <w:szCs w:val="21"/>
                <w:color w:val="auto"/>
              </w:rPr>
            </w:pPr>
          </w:p>
        </w:tc>
      </w:tr>
      <w:tr>
        <w:trPr>
          <w:trHeight w:val="234"/>
        </w:trPr>
        <w:tc>
          <w:tcPr>
            <w:tcW w:w="1440" w:type="dxa"/>
            <w:vAlign w:val="bottom"/>
            <w:tcBorders>
              <w:left w:val="single" w:sz="8" w:color="auto"/>
              <w:right w:val="single" w:sz="8" w:color="auto"/>
            </w:tcBorders>
          </w:tcPr>
          <w:p>
            <w:pPr>
              <w:spacing w:after="0"/>
              <w:rPr>
                <w:sz w:val="20"/>
                <w:szCs w:val="20"/>
                <w:color w:val="auto"/>
              </w:rPr>
            </w:pPr>
          </w:p>
        </w:tc>
        <w:tc>
          <w:tcPr>
            <w:tcW w:w="3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combination with rituximab</w:t>
            </w:r>
          </w:p>
        </w:tc>
        <w:tc>
          <w:tcPr>
            <w:tcW w:w="13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r>
        <w:trPr>
          <w:trHeight w:val="264"/>
        </w:trPr>
        <w:tc>
          <w:tcPr>
            <w:tcW w:w="1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FT829</w:t>
            </w:r>
          </w:p>
        </w:tc>
        <w:tc>
          <w:tcPr>
            <w:tcW w:w="3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Autoimmunity</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CAR 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disclosed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Not disclosed</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Preclinical</w:t>
            </w:r>
          </w:p>
        </w:tc>
        <w:tc>
          <w:tcPr>
            <w:tcW w:w="1040" w:type="dxa"/>
            <w:vAlign w:val="bottom"/>
            <w:tcBorders>
              <w:right w:val="single" w:sz="8" w:color="auto"/>
            </w:tcBorders>
          </w:tcPr>
          <w:p>
            <w:pPr>
              <w:spacing w:after="0"/>
              <w:rPr>
                <w:sz w:val="22"/>
                <w:szCs w:val="22"/>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r>
        <w:trPr>
          <w:trHeight w:val="264"/>
        </w:trPr>
        <w:tc>
          <w:tcPr>
            <w:tcW w:w="46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Oncology – Solid Tumors</w:t>
            </w:r>
          </w:p>
        </w:tc>
        <w:tc>
          <w:tcPr>
            <w:tcW w:w="1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54"/>
        </w:trPr>
        <w:tc>
          <w:tcPr>
            <w:tcW w:w="144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r>
        <w:trPr>
          <w:trHeight w:val="264"/>
        </w:trPr>
        <w:tc>
          <w:tcPr>
            <w:tcW w:w="1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FT825</w:t>
            </w:r>
          </w:p>
        </w:tc>
        <w:tc>
          <w:tcPr>
            <w:tcW w:w="3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Solid Tumors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CAR 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HER2</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Phase 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Ono</w:t>
            </w: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r>
        <w:trPr>
          <w:trHeight w:val="263"/>
        </w:trPr>
        <w:tc>
          <w:tcPr>
            <w:tcW w:w="1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Undisclosed</w:t>
            </w:r>
          </w:p>
        </w:tc>
        <w:tc>
          <w:tcPr>
            <w:tcW w:w="3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Solid Tumors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CAR 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 disclosed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Not disclosed</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Preclinical</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Ono</w:t>
            </w: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r>
        <w:trPr>
          <w:trHeight w:val="263"/>
        </w:trPr>
        <w:tc>
          <w:tcPr>
            <w:tcW w:w="1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FT836</w:t>
            </w:r>
          </w:p>
        </w:tc>
        <w:tc>
          <w:tcPr>
            <w:tcW w:w="3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Solid Tumors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CAR 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MICA/B</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Not disclosed</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Preclinical</w:t>
            </w:r>
          </w:p>
        </w:tc>
        <w:tc>
          <w:tcPr>
            <w:tcW w:w="1040" w:type="dxa"/>
            <w:vAlign w:val="bottom"/>
            <w:tcBorders>
              <w:right w:val="single" w:sz="8" w:color="auto"/>
            </w:tcBorders>
          </w:tcPr>
          <w:p>
            <w:pPr>
              <w:spacing w:after="0"/>
              <w:rPr>
                <w:sz w:val="22"/>
                <w:szCs w:val="22"/>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use of human cells as therapeutic entities has disease-transforming potential across a broad spectrum of severe, life-threatening diseases. One particular form of cell therapy, CAR T-cell therapy, has emerged as a revolutionary and potentially curative treatment for patients with certain hematologic malignancies. In fact, multiple CAR T-cell therapies have now been approved by the United States Food and Drug Administration (FDA) for the treatment of relapsed / refractory B-cell malignancies and relapsed / refractory multiple myeloma. Additionally, several groups have demonstrated use of CAR T-cell therapy for the treatment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autoimmune diseases including systemic lupus erythematosus, idiopathic inflammatory myositis, systemic sclerosis, and myasthenia gravis.</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Cell therapies approved for commercialization, as well as those undergoing clinical development, today most often rely on the use of autologous, or a patient’s own, cells and are generally only available for patient treatment at a limited number of specialized medical centers. Sourcing, engineering, expanding and delivering cells patient-by-patient is logistically complex and expensive, resource intensive, and challenging to manufacture. Significant hurdles remain to ensure that autologous cell therapies can be consistently manufactured and reliably delivered at the scale necessary to support broad patient access.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iPSCs, which possess the unique dual properties of unlimited self-renewal and differentiation potential into all cell types of the body, can be used to overcome key limitations inherent to the manufacture, development and commercialization of today’s cell therapies. We have established a proprietary iPSC product platform and have amassed significant internal expertise in the production of off-the-shelf, multiplexed-engineered, T-cell and NK cell product candidates for therapeutic use. Our proprietary iPSC product platform includes: generating, engineering, isolating and characterizing single-cell iPSC clones; creating, qualifying, and cryopreserving clonal master iPSC lines; differentiating clonal master cell iPSC lines to produce T cells and NK cells at scale; and cryopreserving and storing these T cells and NK cells under conditions that support multi-year stability. Our cell product candidates can be mass produced at significant scale in a cost-effective manner, are well-defined and uniform in composition, and can be stored in inventory and delivered off-the-shelf to maximize patient reach. Our proprietary iPSC product platform is supported by an intellectual property portfolio of over 550 issued patents and 550 pending patent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-356870</wp:posOffset>
            </wp:positionV>
            <wp:extent cx="28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operate our own fully-integrated Good Manufacturing Practice (GMP) facility for manufacture of our iPSC-derived CAR T-cell and CAR NK cell product candidates that is intended to support all phases of clinical development as well as initial commercialization. We believe our therapeutic approach is highly differentiated and has the potential to overcome numerous challenges associated with today’s cell therapies, address significant unmet need, and deliver transformative medical benefit for patients.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mission is to bring off-the-shelf cellular immunotherapies with disease-transforming potential initially to patients with cancer and autoimmune diseases. The key pillars of our strategy include:</w:t>
      </w:r>
    </w:p>
    <w:p>
      <w:pPr>
        <w:spacing w:after="0" w:line="50" w:lineRule="exact"/>
        <w:rPr>
          <w:sz w:val="20"/>
          <w:szCs w:val="20"/>
          <w:color w:val="auto"/>
        </w:rPr>
      </w:pPr>
    </w:p>
    <w:p>
      <w:pPr>
        <w:ind w:left="1020" w:hanging="503"/>
        <w:spacing w:after="0" w:line="25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 therapeutic differentiation with FT819 for the treatment of Systemic Lupus Erythematosus (SLE). </w:t>
      </w:r>
      <w:r>
        <w:rPr>
          <w:rFonts w:ascii="Times New Roman" w:cs="Times New Roman" w:eastAsia="Times New Roman" w:hAnsi="Times New Roman"/>
          <w:sz w:val="18"/>
          <w:szCs w:val="18"/>
          <w:color w:val="auto"/>
        </w:rPr>
        <w:t>Autoimmune diseases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organs throughout the body and are often characterized by the presence of auto-antibodies, which are produced by aberrant B cells and can attack healthy cells and tissues. The chronic and debilitating nature of these diseases results in substantial medical expenses and a low quality of life, creating a significant burden for patients, their families and the health care system. Current treatment options for SLE, which include corticosteroids, immunosuppressive medications, and biologics, often require chronic administration and have life-threatening side effects, with a majority of patients not adequately responding to today’s approved therapies.</w:t>
      </w:r>
    </w:p>
    <w:p>
      <w:pPr>
        <w:spacing w:after="0" w:line="78" w:lineRule="exact"/>
        <w:rPr>
          <w:rFonts w:ascii="Times New Roman" w:cs="Times New Roman" w:eastAsia="Times New Roman" w:hAnsi="Times New Roman"/>
          <w:sz w:val="18"/>
          <w:szCs w:val="18"/>
          <w:color w:val="auto"/>
        </w:rPr>
      </w:pPr>
    </w:p>
    <w:p>
      <w:pPr>
        <w:ind w:left="1020"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FT819, our off-the-shelf, iPSC-derived, CD19-targeted CAR T-cell product candidate, has the potential to eliminate disease-causing B cells, enable reconstitution of a healthy immune cell compartment, and induce complete and durable responses in B cell-mediated autoimmune diseases. We base this on a ground-breaking academic clinical study published in Nature Medicine in September 2022, where intense conditioning chemotherapy, consisting of treatment of multiple days of cyclophosphamide (Cy) and fludarabine (Flu), coupled with an investigational autologous CD19-targeted CAR T-cell therapy were administered to five patients with SLE. Rapid B-cell depletion and elimination of auto-antibody production enabled all patients to achieve clinical remission. Recovery of a naïve B-cell compartment occurred several months after treatment, enabling an “immune reset” marked by restoration of a normal functioning immune system for the five patients.</w:t>
      </w:r>
    </w:p>
    <w:p>
      <w:pPr>
        <w:spacing w:after="0" w:line="83" w:lineRule="exact"/>
        <w:rPr>
          <w:rFonts w:ascii="Times New Roman" w:cs="Times New Roman" w:eastAsia="Times New Roman" w:hAnsi="Times New Roman"/>
          <w:sz w:val="18"/>
          <w:szCs w:val="18"/>
          <w:color w:val="auto"/>
        </w:rPr>
      </w:pPr>
    </w:p>
    <w:p>
      <w:pPr>
        <w:ind w:left="102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conducting a multi-center, Phase 1 clinical trial of FT819 for the treatment of moderate-to-severe SLE. In contrast to treatment with autologous CAR T-cell therapy, patients enrolled in our Phase 1 clinical study are not required to undergo apheresis, may be administered a less intense, Flu-free conditioning regimen, and are administered drug product that is available on-demand. In addition, our Phase 1 clinical trial includes the opportunity for patients, in the absence of conditioning chemotherapy, to receive FT819 as an add-on to current maintenance therapy. We believe our therapeutic approach with FT819 is highly differentiated and may offer a more convenient and favorable experience for patients, including treatment in the outpatient setting. We intend to expand clinical investigation of FT819 to countries outside of the United States in 2025.</w:t>
      </w:r>
    </w:p>
    <w:p>
      <w:pPr>
        <w:spacing w:after="0" w:line="76" w:lineRule="exact"/>
        <w:rPr>
          <w:rFonts w:ascii="Times New Roman" w:cs="Times New Roman" w:eastAsia="Times New Roman" w:hAnsi="Times New Roman"/>
          <w:sz w:val="18"/>
          <w:szCs w:val="18"/>
          <w:color w:val="auto"/>
        </w:rPr>
      </w:pPr>
    </w:p>
    <w:p>
      <w:pPr>
        <w:ind w:left="1020" w:right="22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the clinical footprint of our iPSC product platform within the field of autoimmunity, including initiating clinical investigation in additional B cell-mediated autoimmune diseases. </w:t>
      </w:r>
      <w:r>
        <w:rPr>
          <w:rFonts w:ascii="Times New Roman" w:cs="Times New Roman" w:eastAsia="Times New Roman" w:hAnsi="Times New Roman"/>
          <w:sz w:val="18"/>
          <w:szCs w:val="18"/>
          <w:color w:val="auto"/>
        </w:rPr>
        <w:t>The prevalence of autoimmune diseases is both widespread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growing, with over 80 known autoimmune diseases affecting up to 8% of the U.S. population. Since the targeting and deep depletion of B cells may be a key mechanism of action to enable an immune reset and durable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5" w:right="399" w:bottom="1440" w:gutter="0" w:footer="0" w:header="0"/>
        </w:sectPr>
      </w:pPr>
    </w:p>
    <w:bookmarkStart w:id="8" w:name="page9"/>
    <w:bookmarkEnd w:id="8"/>
    <w:p>
      <w:pPr>
        <w:ind w:left="503" w:right="100"/>
        <w:spacing w:after="0" w:line="254" w:lineRule="auto"/>
        <w:rPr>
          <w:sz w:val="20"/>
          <w:szCs w:val="20"/>
          <w:color w:val="auto"/>
        </w:rPr>
      </w:pPr>
      <w:r>
        <w:rPr>
          <w:rFonts w:ascii="Times New Roman" w:cs="Times New Roman" w:eastAsia="Times New Roman" w:hAnsi="Times New Roman"/>
          <w:sz w:val="18"/>
          <w:szCs w:val="18"/>
          <w:color w:val="auto"/>
        </w:rPr>
        <w:t>clinical remissions across autoimmune diseases, we plan to expand our clinical investigation of FT819 within the field of autoimmunity. In December 2024, we reached agreement with the FDA to allow for the clinical investigation of additional B cell-mediated autoimmune diseases under our current Phase 1 clinical trial of FT819. In February 2025, we submitted an amended clinical protocol to the FDA which included three additional diseases: anti-neutrophilic cytoplasmic antibody-associated vasculitis (AAV), idiopathic inflammatory myositis (IMM), and systemic sclerosis (SSc). We have completed a first dose-escalation cohort, and have also initiated a dose-expansion cohort, for FT819 at 360 million cells in SLE. We plan to initiate dose-expansion cohorts in one or more of AAV, IMM, and SSc in 2025 at that same cell dose. We believe the independent assessment of multiple B cell-mediated autoimmune diseases under one Phase 1 basket study enables the most cost-effective and efficient pathway for broad clinical development.</w:t>
      </w:r>
    </w:p>
    <w:p>
      <w:pPr>
        <w:spacing w:after="0" w:line="84" w:lineRule="exact"/>
        <w:rPr>
          <w:sz w:val="20"/>
          <w:szCs w:val="20"/>
          <w:color w:val="auto"/>
        </w:rPr>
      </w:pPr>
    </w:p>
    <w:p>
      <w:pPr>
        <w:ind w:left="503" w:right="40"/>
        <w:spacing w:after="0" w:line="282" w:lineRule="auto"/>
        <w:rPr>
          <w:sz w:val="20"/>
          <w:szCs w:val="20"/>
          <w:color w:val="auto"/>
        </w:rPr>
      </w:pPr>
      <w:r>
        <w:rPr>
          <w:rFonts w:ascii="Times New Roman" w:cs="Times New Roman" w:eastAsia="Times New Roman" w:hAnsi="Times New Roman"/>
          <w:sz w:val="18"/>
          <w:szCs w:val="18"/>
          <w:color w:val="auto"/>
        </w:rPr>
        <w:t>In October 2024, our investigational new drug (IND) application was allowed by the FDA to initiate clinical development of FT522, our off-the-shelf, CD19-targeted CAR NK cell product candidate, for the treatment of certain B cell-mediated autoimmune diseases.</w:t>
      </w:r>
    </w:p>
    <w:p>
      <w:pPr>
        <w:spacing w:after="0" w:line="54" w:lineRule="exact"/>
        <w:rPr>
          <w:sz w:val="20"/>
          <w:szCs w:val="20"/>
          <w:color w:val="auto"/>
        </w:rPr>
      </w:pPr>
    </w:p>
    <w:p>
      <w:pPr>
        <w:ind w:left="503"/>
        <w:spacing w:after="0" w:line="253" w:lineRule="auto"/>
        <w:rPr>
          <w:sz w:val="20"/>
          <w:szCs w:val="20"/>
          <w:color w:val="auto"/>
        </w:rPr>
      </w:pPr>
      <w:r>
        <w:rPr>
          <w:rFonts w:ascii="Times New Roman" w:cs="Times New Roman" w:eastAsia="Times New Roman" w:hAnsi="Times New Roman"/>
          <w:sz w:val="18"/>
          <w:szCs w:val="18"/>
          <w:color w:val="auto"/>
        </w:rPr>
        <w:t>We believe there is a significant opportunity to combine, in the absence of conditioning chemotherapy, FT522 with rituximab to drive deeper B-cell depletion, and achieve higher rates of clinical remissions, for the treatment of autoimmune diseases. FT522 incorporates a proprietary high-affinity, non-cleavable CD16 (hnCD16) Fc receptor, which receptor has two unique features designed to synergize with monoclonal antibody therapy and augment antibody-dependent cellular cytotoxicity (ADCC): a high-affinity homozygous 158V variant to promote binding to the Fc domain of IgG antibodies, and a modification to block its cleavage and down-regulation upon receptor activation. In addition, FT522 is our first product candidate that incorporates our novel Alloimmune Defense Receptor (ADR) technology, which is designed to reduce or eliminate the need for administration of intense conditioning chemotherapy to patients receiving cellular immunotherapy. These attributes may create therapeutic differentiation for FT522 by enabling a more favorable safety profile, treatment in the community setting, and a broader commercial opportunity. We are currently evaluating opportunities and timelines for the clinical development of FT522 in autoimmune diseases.</w:t>
      </w:r>
    </w:p>
    <w:p>
      <w:pPr>
        <w:spacing w:after="0" w:line="82" w:lineRule="exact"/>
        <w:rPr>
          <w:sz w:val="20"/>
          <w:szCs w:val="20"/>
          <w:color w:val="auto"/>
        </w:rPr>
      </w:pPr>
    </w:p>
    <w:p>
      <w:pPr>
        <w:ind w:left="503" w:right="60" w:hanging="503"/>
        <w:spacing w:after="0" w:line="25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Design and develop off-the-shelf, multiplexed-engineered CAR T-cell immunotherapies that incorporate multiple novel mechanisms of action for the treatment of solid tumors. </w:t>
      </w:r>
      <w:r>
        <w:rPr>
          <w:rFonts w:ascii="Times New Roman" w:cs="Times New Roman" w:eastAsia="Times New Roman" w:hAnsi="Times New Roman"/>
          <w:sz w:val="18"/>
          <w:szCs w:val="18"/>
          <w:color w:val="auto"/>
        </w:rPr>
        <w:t>While autologous CAR T-cell therapies have emerged as highly effective treatments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with relapsed / refractory hematologic malignancies, adoption of FDA-approved CAR T-cell therapy has been relatively modest to date due to complex logistics, high cost, and toxicities that necessitate administration only in specialized centers with intensive care units, as compared to more accessible outpatient infusion centers and community hospitals. In addition, successful development of autologous CAR T-cell therapies for the treatment of solid tumors has been hampered by on-target, off-tumor toxicities, inefficient CAR T-cell trafficking to the tumor, and modest efficacy. Today, there are no FDA-approved CAR T-cell therapies for the treatment of solid tumors.</w:t>
      </w:r>
    </w:p>
    <w:p>
      <w:pPr>
        <w:spacing w:after="0" w:line="78" w:lineRule="exact"/>
        <w:rPr>
          <w:rFonts w:ascii="Times New Roman" w:cs="Times New Roman" w:eastAsia="Times New Roman" w:hAnsi="Times New Roman"/>
          <w:sz w:val="18"/>
          <w:szCs w:val="18"/>
          <w:color w:val="auto"/>
        </w:rPr>
      </w:pPr>
    </w:p>
    <w:p>
      <w:pPr>
        <w:ind w:left="503"/>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advancing CAR T-cell product candidates that incorporate multiple novel synthetic controls selectively designed to overcome key mechanisms that limit CAR T-cell safety and efficacy in treating solid tumors. For example, our most advanced CAR T-cell product candidate for the treatment of solid tumors is FT825, which is currently undergoing Phase 1 clinical investigation in collaboration with Ono Pharmaceutical. FT825 incorporates seven novel synthetic controls of cell function including a novel binding domain targeting human epidermal growth factor receptor 2 (HER2), which is uniquely derived from a cancer-specific monoclonal antibody and has been shown in preclinical studies to overcome on-target, off-tumor toxicities by preferentially recognizing tumor-associated variants of HER2. FT825 also incorporates a novel synthetic CXCR2 receptor to promote effector cell trafficking to the tumor site, a novel synthetic TGFβ receptor to resist immunosuppressive signals in the tumor microenvironment, and our proprietary hnCD16 Fc receptor to support targeting of additional cancer antigen when combined with therapeutic antibodies.</w:t>
      </w:r>
    </w:p>
    <w:p>
      <w:pPr>
        <w:spacing w:after="0" w:line="80" w:lineRule="exact"/>
        <w:rPr>
          <w:rFonts w:ascii="Times New Roman" w:cs="Times New Roman" w:eastAsia="Times New Roman" w:hAnsi="Times New Roman"/>
          <w:sz w:val="18"/>
          <w:szCs w:val="18"/>
          <w:color w:val="auto"/>
        </w:rPr>
      </w:pPr>
    </w:p>
    <w:p>
      <w:pPr>
        <w:ind w:left="503"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are conducting IND-enabling activities for FT836, a CAR T-cell product candidate targeting major histocompatibility complex (MHC) proteins A (MICA) and B (MICB). While expression of MICA/B cell-surface proteins is detectable across many types of cancer cells with limited expression on healthy tissue, proteolytic cleavage and shedding of MICA/B is a common mechanism of tumor escape. We have designed FT836 to uniquely target a specific domain of MICA/B that is resistant to shedding as a potential pan-tumor targeting strategy. We believe there is significant opportunity to develop off-the-shelf CAR T-cell therapies that incorporate multiple therapeutic mechanisms of action, and can be combined with standard-of-care treatment regimens to significantly improve patient outcomes in the treatment of solid tumors.</w:t>
      </w:r>
    </w:p>
    <w:p>
      <w:pPr>
        <w:spacing w:after="0" w:line="292" w:lineRule="exact"/>
        <w:rPr>
          <w:rFonts w:ascii="Times New Roman" w:cs="Times New Roman" w:eastAsia="Times New Roman" w:hAnsi="Times New Roman"/>
          <w:sz w:val="18"/>
          <w:szCs w:val="18"/>
          <w:color w:val="auto"/>
        </w:rPr>
      </w:pPr>
    </w:p>
    <w:p>
      <w:pPr>
        <w:ind w:left="503" w:right="80" w:hanging="503"/>
        <w:spacing w:after="0" w:line="259"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Discover and incorporate novel synthetic controls of cell function into our iPSC product platform that significantly improve the patient experience, expand patient reach, and enhance therapeutic differentiation. </w:t>
      </w:r>
      <w:r>
        <w:rPr>
          <w:rFonts w:ascii="Times New Roman" w:cs="Times New Roman" w:eastAsia="Times New Roman" w:hAnsi="Times New Roman"/>
          <w:sz w:val="18"/>
          <w:szCs w:val="18"/>
          <w:color w:val="auto"/>
        </w:rPr>
        <w:t>Conditioning chemotherapy is one of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barriers that limit patient reach and disease application of cellular immunotherapy. Conditioning chemotherapy often results in severe blood cell deficiencies and related toxicities, requiring administration in large tertiary care facilities. We are exploring the integration of novel synthetic controls of cell function</w:t>
      </w:r>
    </w:p>
    <w:p>
      <w:pPr>
        <w:spacing w:after="0" w:line="183"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215" w:right="379" w:bottom="1440" w:gutter="0" w:footer="0" w:header="0"/>
        </w:sectPr>
      </w:pPr>
    </w:p>
    <w:bookmarkStart w:id="9" w:name="page10"/>
    <w:bookmarkEnd w:id="9"/>
    <w:p>
      <w:pPr>
        <w:ind w:left="1020" w:right="260"/>
        <w:spacing w:after="0" w:line="282" w:lineRule="auto"/>
        <w:rPr>
          <w:sz w:val="20"/>
          <w:szCs w:val="20"/>
          <w:color w:val="auto"/>
        </w:rPr>
      </w:pPr>
      <w:r>
        <w:rPr>
          <w:rFonts w:ascii="Times New Roman" w:cs="Times New Roman" w:eastAsia="Times New Roman" w:hAnsi="Times New Roman"/>
          <w:sz w:val="18"/>
          <w:szCs w:val="18"/>
          <w:color w:val="auto"/>
        </w:rPr>
        <w:t>into our iPSC product platform that may enable our off-the-shelf, iPSC-derived cell product candidates to be administered without intense conditioning chemotherapy and in the community setting on an outpatient basis.</w:t>
      </w:r>
    </w:p>
    <w:p>
      <w:pPr>
        <w:spacing w:after="0" w:line="54" w:lineRule="exact"/>
        <w:rPr>
          <w:sz w:val="20"/>
          <w:szCs w:val="20"/>
          <w:color w:val="auto"/>
        </w:rPr>
      </w:pPr>
    </w:p>
    <w:p>
      <w:pPr>
        <w:ind w:left="1020"/>
        <w:spacing w:after="0" w:line="254" w:lineRule="auto"/>
        <w:rPr>
          <w:sz w:val="20"/>
          <w:szCs w:val="20"/>
          <w:color w:val="auto"/>
        </w:rPr>
      </w:pPr>
      <w:r>
        <w:rPr>
          <w:rFonts w:ascii="Times New Roman" w:cs="Times New Roman" w:eastAsia="Times New Roman" w:hAnsi="Times New Roman"/>
          <w:sz w:val="18"/>
          <w:szCs w:val="18"/>
          <w:color w:val="auto"/>
        </w:rPr>
        <w:t>For example, FT522 is our first iPSC-derived cell product candidate to incorporate our novel alloimmune defense receptor (ADR) technology, which is designed to reduce or eliminate the need for administration of intense conditioning chemotherapy to patients receiving cellular immunotherapy. FT522 incorporates a synthetic ADR receptor that targets the cell surface receptor 4-1BB (CD137), a member of the tumor necrosis factor receptor superfamily that is upregulated on activated CD4+, CD8+, and regulatory T-cells as well as activated NK cells of the host immune system. The ADR receptor is designed to (a) selectively recognize and destroy alloreactive host immune cells, (b) maintain other components of the host immune system to preserve hematopoietic cell function, and (c) activate the product candidate to enhance its potency and persistence. Published preclinical studies have shown that ADR-armed allogeneic cells are protected from both T-and NK-cell mediated rejection (Mo et al. Nature Biotechnology, 39, 56–63 (2021)), providing proof-of-concept that ADR-armed allogeneic cells can persist and function in immunocompetent patients.</w:t>
      </w:r>
    </w:p>
    <w:p>
      <w:pPr>
        <w:spacing w:after="0" w:line="80" w:lineRule="exact"/>
        <w:rPr>
          <w:sz w:val="20"/>
          <w:szCs w:val="20"/>
          <w:color w:val="auto"/>
        </w:rPr>
      </w:pPr>
    </w:p>
    <w:p>
      <w:pPr>
        <w:ind w:left="1020" w:right="60"/>
        <w:spacing w:after="0" w:line="256" w:lineRule="auto"/>
        <w:rPr>
          <w:sz w:val="20"/>
          <w:szCs w:val="20"/>
          <w:color w:val="auto"/>
        </w:rPr>
      </w:pPr>
      <w:r>
        <w:rPr>
          <w:rFonts w:ascii="Times New Roman" w:cs="Times New Roman" w:eastAsia="Times New Roman" w:hAnsi="Times New Roman"/>
          <w:sz w:val="18"/>
          <w:szCs w:val="18"/>
          <w:color w:val="auto"/>
        </w:rPr>
        <w:t>In addition to our ADR technology, we have also begun to incorporate the knock-out of CD58 (CD58KO) into our iPSC product platform, which we collectively refer to as our Sword &amp; Shield technology, to both target and evade host alloreactive immune cells. In preclinical studies, we have shown that iPSC-derived Sword &amp; Shield CAR T cells demonstrated functional persistence and durable anti-tumor activity, indicating the potential of Sword &amp; Shield CAR T cells to thrive without administration of conditioning chemotherapy. We believe that the use of a more tolerable treatment paradigm for cellular immunotherapies may significantly improve the patient experience, expand patient reach, and enhance therapeutic differentiation.</w:t>
      </w:r>
    </w:p>
    <w:p>
      <w:pPr>
        <w:spacing w:after="0" w:line="75" w:lineRule="exact"/>
        <w:rPr>
          <w:sz w:val="20"/>
          <w:szCs w:val="20"/>
          <w:color w:val="auto"/>
        </w:rPr>
      </w:pPr>
    </w:p>
    <w:p>
      <w:pPr>
        <w:ind w:left="1020" w:right="140" w:hanging="503"/>
        <w:spacing w:after="0" w:line="25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Selectively share our proprietary iPSC product platform with strategic partners. </w:t>
      </w:r>
      <w:r>
        <w:rPr>
          <w:rFonts w:ascii="Times New Roman" w:cs="Times New Roman" w:eastAsia="Times New Roman" w:hAnsi="Times New Roman"/>
          <w:sz w:val="18"/>
          <w:szCs w:val="18"/>
          <w:color w:val="auto"/>
        </w:rPr>
        <w:t>The research, development and commercialization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 therapies for the treatment of human diseases is rapidly expanding. We believe we are well positioned to form partnerships with third parties seeking to develop and commercialize iPSC-derived cell therapies for the treatment of human diseases. For example, we are collaborating with Ono Pharmaceutical to research and develop off-the-shelf, multiplexed-engineered, iPSC-derived CAR T-cell and CAR NK cell product candidates for the treatment of solid tumors. We will continue to seek partnerships with companies and institutions for the research, development and commercialization of iPSC-derived cell therapies for the treatment of human diseases.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Off-the-shelf, Multiplexed-engineered, iPSC-derived Cellular Immunotherapy Pipeline</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FT819: CAR T-cell Program</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FT819 is our first iPSC-derived CAR T-cell product candidate and, to our knowledge, is the first-ever iPSC-derived CAR T-cell product candidate to undergo clinical investigation in the world. FT819 incorporates two novel synthetic controls of cell function: a novel 1XX CAR construct inserted directly into the T-cell receptor (TCR) alpha chain (TRAC) locus that targets CD19; and the complete disruption of TCR expression for the prevention of graft-versus-host disease (GvHD), a potentially life-threatening complication associated with donor-derived T-cell therapy. Together, these features of FT819 are designed to induce antigen-specific cytotoxicity, enhance CAR activity through TRAC-regulated expression, and mitigate risk of GvHD.</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Published preclinical data has shown that directing a CD19-specific CAR to the TRAC locus resulted in uniform CAR expression in human peripheral blood T cells, enhanced T-cell potency, and delayed effector T-cell differentiation and exhaustion (Eyquem et al. Nature. 543, 113–117, 2017), and that CAR T-cells utilizing a novel 1XX CAR signaling domain exhibited enhanced antitumor activity, persistence and long-term cytotoxicity as well as a decrease in T-cell exhaustion (Feucht et al.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25, 82–88, 2019). In preclinical studies, we have shown that iPSC-derived TCR-CAR+ CAR T cells targeting CD19:</w:t>
      </w:r>
    </w:p>
    <w:p>
      <w:pPr>
        <w:spacing w:after="0" w:line="73" w:lineRule="exact"/>
        <w:rPr>
          <w:sz w:val="20"/>
          <w:szCs w:val="20"/>
          <w:color w:val="auto"/>
        </w:rPr>
      </w:pPr>
    </w:p>
    <w:p>
      <w:pPr>
        <w:ind w:left="1020" w:right="40" w:hanging="503"/>
        <w:spacing w:after="0" w:line="28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displayed antigen-specific anti-tumor potency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including cytokine release and targeted cellular cytotoxicity, comparable to peripheral blood CD19-specific CAR T cells;</w:t>
      </w:r>
    </w:p>
    <w:p>
      <w:pPr>
        <w:spacing w:after="0" w:line="52"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respond or proliferate against HLA-mismatched (CD19-) peripheral blood mononuclear cells as targets in a mixed lymphocyte reaction, indicating the risk of GvHD is alleviated;</w:t>
      </w:r>
    </w:p>
    <w:p>
      <w:pPr>
        <w:spacing w:after="0" w:line="51" w:lineRule="exact"/>
        <w:rPr>
          <w:rFonts w:ascii="Times New Roman" w:cs="Times New Roman" w:eastAsia="Times New Roman" w:hAnsi="Times New Roman"/>
          <w:sz w:val="18"/>
          <w:szCs w:val="18"/>
          <w:color w:val="auto"/>
        </w:rPr>
      </w:pPr>
    </w:p>
    <w:p>
      <w:pPr>
        <w:ind w:left="1020" w:right="500" w:hanging="503"/>
        <w:spacing w:after="0" w:line="28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controlled tumor progression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comparable to peripheral blood CD19-specific CAR T cells in a preclinical mouse model of acute lymphoblastic leukemia; and</w:t>
      </w:r>
    </w:p>
    <w:p>
      <w:pPr>
        <w:spacing w:after="0" w:line="50" w:lineRule="exact"/>
        <w:rPr>
          <w:rFonts w:ascii="Times New Roman" w:cs="Times New Roman" w:eastAsia="Times New Roman" w:hAnsi="Times New Roman"/>
          <w:sz w:val="18"/>
          <w:szCs w:val="18"/>
          <w:color w:val="auto"/>
        </w:rPr>
      </w:pPr>
    </w:p>
    <w:p>
      <w:pPr>
        <w:ind w:left="1020" w:right="240" w:hanging="503"/>
        <w:spacing w:after="0" w:line="28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enhanced tumor clearance and durable control of leukemia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as compared to primary CAR19 T cells, in a xenograft mouse model of disseminated lymphoblastic leukemia.</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i w:val="1"/>
          <w:iCs w:val="1"/>
          <w:color w:val="auto"/>
        </w:rPr>
        <w:t>B-cell Lymphoma</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successfully completed the dose-escalation stage of a multi-center, Phase 1 clinical trial to assess the safety, pharmacokinetics, and activity of FT819 in patients with relapsed / refractory B-cell malignancies (BCM), including B-cell lymphoma (BCL) (NCT04629729). 43 heavily pre-treated patients (B-cell lymphoma, n=25; chronic lymphocytic leukemia, n=12; and acute lymphocytic leukemia, n=6) were treated with conditioning chemotherapy and a single dose of FT819 across five dose levels ranging from 90 million cells to 1 billion cells. The safety and tolerability profile of FT819 was favorable, with no dose-limiting toxicities (DLTs), no events of any grade of immune effector-cell associated neurotoxicity syndrome (ICANS) or GvHD, and low incidence (14%) of only low-grade cytokine release syndrome (CRS). There were no study discontinuations or deaths related to FT819. Clinical responses were observed across all three histologies. In 17 patients with aggressive large BCL, 12 (71%) of whom had previously been treated with autologous CD19-targeted CAR T-cell therapy, the overall response and complete response rates were 47% and 24%, respectively. With the completion of the dose-escalation stage of the Phase 1 study in relapsed / refractory BCM, we elected to focus further clinical development of FT819 exclusively in autoimmunity.</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 Cell-mediated Autoimmune Diseases</w:t>
      </w:r>
    </w:p>
    <w:p>
      <w:pPr>
        <w:spacing w:after="0" w:line="11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believe the clinical and translational data from the Phase 1 study in relapsed / refractory BCM demonstrated proof-of-concept for the treatment of patients with autoimmune diseases, where multiple mechanisms implicated in generating an immune reset in patients with B cell-mediated autoimmune diseases were observed:</w:t>
      </w:r>
    </w:p>
    <w:p>
      <w:pPr>
        <w:spacing w:after="0" w:line="68" w:lineRule="exact"/>
        <w:rPr>
          <w:sz w:val="20"/>
          <w:szCs w:val="20"/>
          <w:color w:val="auto"/>
        </w:rPr>
      </w:pPr>
    </w:p>
    <w:p>
      <w:pPr>
        <w:jc w:val="both"/>
        <w:ind w:left="1020" w:right="1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Blood samples taken from 23 patients treated for relapsed / refractory BCL showed rapid and deep CD19+ B-cell depletion, with sustained suppression of B cells, in the periphery during the initial 30-day period following administration of conditioning chemotherapy and FT819;</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case studies demonstrating secondary and tertiary tissue trafficking, infiltration, and activity of FT819, with complete elimination of CD19+ cells in tissue;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case studies of plasma cell depletion and B-cell reconstitution showing recovery of naïve and immature phenotypes, with little to no recovery of activated memory B cells or plasmablasts;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case studies demonstrating the capacity of FT819 to induce rapid, deep, and sustained B-cell depletion without the use of fludarabine as a conditioning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45720</wp:posOffset>
            </wp:positionV>
            <wp:extent cx="5426075" cy="1645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2607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currently conducting a multi-center, Phase 1 clinical trial to evaluate the safety, pharmacokinetics, and anti-B cell activity of FT819 in patients with moderate to severe SLE, including those with active lupus nephritis (LN) or active extrarenal lupus (NCT06308978). The Phase 1 autoimmunity study allows for the administration of conditioning chemotherapy consisting of cyclophosphamide (Cy) and fludarabine (Flu) as well as two alternative, Flu-free conditioning regimens (single-agent Cy or single-agent bendamustine). In February 2024, we were awarded $7.9 million from the California Institute for Regenerative Medicine (CIRM) to support the clinical investigation of FT819 for the treatment of moderate to severe SLE.</w:t>
      </w:r>
    </w:p>
    <w:p>
      <w:pPr>
        <w:spacing w:after="0" w:line="7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First Patient Case Study</w:t>
      </w:r>
      <w:r>
        <w:rPr>
          <w:rFonts w:ascii="Times New Roman" w:cs="Times New Roman" w:eastAsia="Times New Roman" w:hAnsi="Times New Roman"/>
          <w:sz w:val="18"/>
          <w:szCs w:val="18"/>
          <w:color w:val="auto"/>
        </w:rPr>
        <w:t>. In April 2024, we announced that the first patient, a 27-year-old African American-Asian woman with refractory disease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despite having been treated with multiple standard-of-care therapies, had been treated in the Phase 1 autoimmunity study. The patient presented with active LN and severe disease, which was marked by renal BILAG A (British Isles Lupus Assessment Group) disease activity score based on biopsy, SLEDAI-2K (Systemic Lupus Erythematosus Disease Activity Index) score of 20, FACIT-Fatigue (Functional Assessment of Chronic Illness Therapy-Fatigue) score of 33 (range 0-52, where a score of 52 indicates no fatigue), and PGA (Physician Global Assessment) score of 2.5 (where a score of 3 indicates most severe activity). Following administration of a Flu-free conditioning regimen and a single dose of FT819 at 360 million cells, the patient was discharged from the hospital without notable adverse events (AEs) after a protocol-required three-day stay. Rapid elimination of CD19+ B cells in the periphery was observed following treatment. B-cell recovery occurred by 3-month follow-up, where the B-cell</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3" w:right="379" w:bottom="1440" w:gutter="0" w:footer="0" w:header="0"/>
        </w:sectPr>
      </w:pPr>
    </w:p>
    <w:bookmarkStart w:id="11" w:name="page12"/>
    <w:bookmarkEnd w:id="11"/>
    <w:p>
      <w:pPr>
        <w:ind w:right="80"/>
        <w:spacing w:after="0" w:line="256" w:lineRule="auto"/>
        <w:rPr>
          <w:sz w:val="20"/>
          <w:szCs w:val="20"/>
          <w:color w:val="auto"/>
        </w:rPr>
      </w:pPr>
      <w:r>
        <w:rPr>
          <w:rFonts w:ascii="Times New Roman" w:cs="Times New Roman" w:eastAsia="Times New Roman" w:hAnsi="Times New Roman"/>
          <w:sz w:val="18"/>
          <w:szCs w:val="18"/>
          <w:color w:val="auto"/>
        </w:rPr>
        <w:t>compartment was predominantly comprised of naïve, non-class switched B cells with near-complete elimination of switched memory B cells, indicative of an immune reset. The patient reported that her debilitating fatigue had entirely resolved without further treatment, and treatment with methylprednisolone was discontinued at 3-month follow-up. The patient achieved DORIS (definition of remission in SLE) clinical remission, including with resolution of arthritis and substantial reduction in proteinuria, as of 6-month follow-up. As of a data cutoff date of December 4, 2024, the patient had experienced no Grade ≥3 AEs, no serious adverse events (SAEs), and no events of any grade of CRS, ICANS, or GvHD, and continued on-study in DORIS clinical remission and free of all immunosuppressive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62230</wp:posOffset>
            </wp:positionV>
            <wp:extent cx="4886325" cy="4054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86325" cy="405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Additional Treated Patients</w:t>
      </w:r>
      <w:r>
        <w:rPr>
          <w:rFonts w:ascii="Times New Roman" w:cs="Times New Roman" w:eastAsia="Times New Roman" w:hAnsi="Times New Roman"/>
          <w:sz w:val="18"/>
          <w:szCs w:val="18"/>
          <w:color w:val="auto"/>
        </w:rPr>
        <w:t>. In December 2024, we announced that two additional patients, each of whom presented with active LN despite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treated with multiple standard-of-care therapies, were administered a Flu-free conditioning regimen and a single dose of FT819 at 360 million cells. In both patients, FT819 was detected in the peripheral blood and rapid, deep, and sustained elimination of CD19+ B cells in the periphery was observed during the first month of treatment. As of a data cutoff date of December 4, 2024, both patients remain on-study, and there have been no DLTs and no events of any grade of CRS, ICANS, or GvHD.</w:t>
      </w:r>
    </w:p>
    <w:p>
      <w:pPr>
        <w:spacing w:after="0" w:line="77"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Enrollment in the multi-center, Phase 1 study of FT819 for the treatment of moderate-to-severe SLE is currently ongoing. Based on clinical observations from the first three treated patients, we have initiated dose expansion in up to 10 patients at the first dose level of 360 million cells and are also initiating dose escalation at 900 million cells. In addition, we have opened a second study arm for the treatment of moderate-to-severe SLE, which is designed to assess the safety, pharmacokinetics, and anti-B cell activity of a single dose of FT819 as an add-on to maintenance therapy without administration of any conditioning chemotherapy. In December 2024, we announced that the first patient had been treated in this second study arm at a starting cell dose of 360 million cells.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FT825: CAR T-cell Program</w:t>
      </w:r>
    </w:p>
    <w:p>
      <w:pPr>
        <w:spacing w:after="0" w:line="121" w:lineRule="exact"/>
        <w:rPr>
          <w:sz w:val="20"/>
          <w:szCs w:val="20"/>
          <w:color w:val="auto"/>
        </w:rPr>
      </w:pPr>
    </w:p>
    <w:p>
      <w:pPr>
        <w:ind w:right="720" w:firstLine="509"/>
        <w:spacing w:after="0" w:line="266" w:lineRule="auto"/>
        <w:rPr>
          <w:sz w:val="20"/>
          <w:szCs w:val="20"/>
          <w:color w:val="auto"/>
        </w:rPr>
      </w:pPr>
      <w:r>
        <w:rPr>
          <w:rFonts w:ascii="Times New Roman" w:cs="Times New Roman" w:eastAsia="Times New Roman" w:hAnsi="Times New Roman"/>
          <w:sz w:val="18"/>
          <w:szCs w:val="18"/>
          <w:color w:val="auto"/>
        </w:rPr>
        <w:t>FT825 is our first iPSC-derived CAR T-cell product candidate for the treatment of solid tumors being developed in collaboration with Ono Pharmaceutical. The use of autologous CAR T-cell therapies for the treatment of solid tumors has been hampered by tumor-associated antigen heterogeneity, inefficient CAR T-cell trafficking to the tumor, immunosuppression inherent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2" w:name="page13"/>
    <w:bookmarkEnd w:id="12"/>
    <w:p>
      <w:pPr>
        <w:ind w:right="20"/>
        <w:spacing w:after="0" w:line="272" w:lineRule="auto"/>
        <w:rPr>
          <w:sz w:val="20"/>
          <w:szCs w:val="20"/>
          <w:color w:val="auto"/>
        </w:rPr>
      </w:pPr>
      <w:r>
        <w:rPr>
          <w:rFonts w:ascii="Times New Roman" w:cs="Times New Roman" w:eastAsia="Times New Roman" w:hAnsi="Times New Roman"/>
          <w:sz w:val="17"/>
          <w:szCs w:val="17"/>
          <w:color w:val="auto"/>
        </w:rPr>
        <w:t>the tumor microenvironment, and differentiating tumor-associated antigen expression between tumor and normal tissue. To date there are no FDA-approved CAR T-cell therapies for the treatment of solid tumors. FT825 is specifically designed to overcome these challenges in treating solid tumors, and incorporates seven novel synthetic controls of cell function: a 1XX CAR construct inserted directly into the TRAC locus that is armed with a novel human epidermal growth factor receptor 2 (HER2) binding domain designed to preferentially target tumor cells; a novel high-affinity 158V, non-cleavable CD16 (hnCD16) Fc receptor that has been modified to prevent its down-regulation and to enhance antibody-dependent cellular cytotoxicity (ADCC); a synthetic IL-7/IL-7 receptor fusion (IL-7RF), a potent cytokine complex that is intended to promote T-cell stemness; a synthetic CXCR2 receptor to promote cell trafficking; a synthetic TGFβ receptor to redirect immunosuppressive signals in the tumor microenvironment; the complete elimination of CD38 expression to promote persistence and function in high oxidative stress environments; and the complete disruption of TCR expression for the prevention of GvHD.</w:t>
      </w:r>
    </w:p>
    <w:p>
      <w:pPr>
        <w:spacing w:after="0" w:line="6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While HER2-directed therapies, such as trastuzumab (</w:t>
      </w:r>
      <w:r>
        <w:rPr>
          <w:rFonts w:ascii="Times New Roman" w:cs="Times New Roman" w:eastAsia="Times New Roman" w:hAnsi="Times New Roman"/>
          <w:sz w:val="18"/>
          <w:szCs w:val="18"/>
          <w:i w:val="1"/>
          <w:iCs w:val="1"/>
          <w:color w:val="auto"/>
        </w:rPr>
        <w:t>Herceptin</w:t>
      </w:r>
      <w:r>
        <w:rPr>
          <w:rFonts w:ascii="Times New Roman" w:cs="Times New Roman" w:eastAsia="Times New Roman" w:hAnsi="Times New Roman"/>
          <w:sz w:val="18"/>
          <w:szCs w:val="18"/>
          <w:color w:val="auto"/>
        </w:rPr>
        <w:t>) and trastuzumab deruxtecan (</w:t>
      </w:r>
      <w:r>
        <w:rPr>
          <w:rFonts w:ascii="Times New Roman" w:cs="Times New Roman" w:eastAsia="Times New Roman" w:hAnsi="Times New Roman"/>
          <w:sz w:val="18"/>
          <w:szCs w:val="18"/>
          <w:i w:val="1"/>
          <w:iCs w:val="1"/>
          <w:color w:val="auto"/>
        </w:rPr>
        <w:t>Enhertu</w:t>
      </w:r>
      <w:r>
        <w:rPr>
          <w:rFonts w:ascii="Times New Roman" w:cs="Times New Roman" w:eastAsia="Times New Roman" w:hAnsi="Times New Roman"/>
          <w:sz w:val="18"/>
          <w:szCs w:val="18"/>
          <w:color w:val="auto"/>
        </w:rPr>
        <w:t xml:space="preserve">), are effective in treating HER2-positive cancers, widespread HER2 expression in normal epithelial tissue can lead to significant on-target, off-tumor toxicities. In preclinical studies of FT825 presented at the 2023 Society for Immunotherapy of Cancer (SITC) Annual Meeting, the product candidate’s novel HER2 binding domain exhibited robust, dose-dependent cytolytic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against both HER2-high and HER2-low cell lines from multiple tumor types, and showed a highly selective and differentiated targeting profile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against HER2-expressing cancer cell lines versus healthy tissue in comparison to other HER2-directed agents such as trastuzumab (see figure below). We believe the cancer selectivity of the product candidate’s novel HER2 binding domain is attributable to its derivation from a cancer-specific monoclonal antibody H</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CasMab-2 (Kaneko et al., 2024), which has been shown to differentially and preferentially recognize both locally misfolded HER2 and p95 truncation variants of HER2. FT825 also exhibited enhanced trafficking and resistance to TGFβ-induced suppression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(see figure below). In addition to its CAR-mediated anti-tumor activity against HER2, co-activation of the product candidate’s hnCD16 Fc receptor through combination with monoclonal antibody therapy showed enhanced anti-tumor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207010</wp:posOffset>
            </wp:positionV>
            <wp:extent cx="5837555" cy="3385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37555"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January 2024, we announced the initiation of enrollment of a multi-center, Phase 1 clinical trial of FT825 for the treatment of advanced solid tumors (NCT06241456) alongside our collaborator Ono Pharmaceutical (see “Our Partnership with Ono Pharmaceutical”). The Phase 1 study is designed to assess the safety, tolerability, and pharmacokinetics, as well as anti-tumor activity by overall response rate, duration of response and disease control rate, of a single dose of FT825 as monotherapy and in combination with monoclonal antibody therapy.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3" w:name="page14"/>
    <w:bookmarkEnd w:id="13"/>
    <w:p>
      <w:pPr>
        <w:ind w:firstLine="509"/>
        <w:spacing w:after="0" w:line="256" w:lineRule="auto"/>
        <w:rPr>
          <w:sz w:val="20"/>
          <w:szCs w:val="20"/>
          <w:color w:val="auto"/>
        </w:rPr>
      </w:pPr>
      <w:r>
        <w:rPr>
          <w:rFonts w:ascii="Times New Roman" w:cs="Times New Roman" w:eastAsia="Times New Roman" w:hAnsi="Times New Roman"/>
          <w:sz w:val="18"/>
          <w:szCs w:val="18"/>
          <w:color w:val="auto"/>
        </w:rPr>
        <w:t>At the 2024 SITC 39th Annual Meeting, we presented initial clinical data from three heavily pre-treated patients, all of whom were previously treated with at least five prior lines of therapy including HER2-targeted therapy. Each patient was administered a conditioning chemotherapy regimen and a single dose of FT825 at the first dose level of 100 million cells. As of a data cutoff date of October 25, 2024, FT825 demonstrated a favorable safety profile with no DLTs and no events of any grade of CRS, ICANS, or GvHD. In addition, at Day 8 following treatment, peak CAR T-cell expansion was observed and phenotyping of FT825 sourced from the patients’ peripheral blood was indicative of an activated state (as evidenced by high levels of Granzyme B expression and maintenance of CAR expression) with no evidence of exhaustion (as evidenced by low levels of PD-1 and TIM3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199390</wp:posOffset>
            </wp:positionV>
            <wp:extent cx="4774565" cy="131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7456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Enrollment in the multi-center, Phase 1 study of FT825 for the treatment of advanced solid tumors is currently ongoing at the second dose level of 300 million cells as monotherapy and at the first dose level of 100 million cells in combination with epidermal growth factor receptor (EGFR)-targeted monoclonal antibody therapy.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FT522: CAR NK Cell Program</w:t>
      </w:r>
    </w:p>
    <w:p>
      <w:pPr>
        <w:spacing w:after="0" w:line="12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FT522 is our first iPSC-derived CAR NK cell product candidate that incorporates our novel Alloimmune Defense Receptor (ADR) technology, which is designed to reduce or eliminate the need for administration of intense conditioning chemotherapy to patients receiving cellular immunotherapy. While approved autologous CAR T-cell therapies have demonstrated compelling efficacy in treating patients with relapsed / refractory hematologic malignancies, several key challenges limit its adoption and patient reach including the need to co-administer conditioning chemotherapy to patients. Conditioning chemotherapy induces toxicities, necessitates treatment at specialized medical centers with intensive care units, and prevents effective combination with standard-of-care treatment regimens widely used in the community setting. Its use has also been associated with treatment-emergent secondary malignancies, such as myelodysplastic syndrome.</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FT522 incorporates a novel synthetic ADR targeting the cell surface receptor 4-1BB (CD137), a member of the tumor necrosis factor receptor superfamily that is upregulated on activated CD4+, CD8+, and regulatory T cells, as well as activated NK cells, of the host immune system. Four additional synthetic controls of cell function incorporated into FT522 include: a proprietary CAR that targets CD19; a novel high-affinity 158V, non-cleavable CD16 (hnCD16) Fc receptor that has been modified to prevent its down-regulation and to enhance ADCC in combination with a monoclonal antibody; an IL-15/IL-15 receptor fusion (IL-15RF), a potent cytokine complex that is intended to augment NK cell activity; and the complete elimination of CD38 expression to promote persistence and function in high oxidative stress environments. These features of FT522 are designed to reduce or eliminate the need for administration of intense conditioning chemotherapy to patients, enable dual-antigen targeting of antigens expressed on B cells through combination with monoclonal antibody therapy, and extend the functional persistence of FT522.</w:t>
      </w:r>
    </w:p>
    <w:p>
      <w:pPr>
        <w:spacing w:after="0" w:line="8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preclinical studies, we showed that ADR-armed CAR NK cells selectively targeted and eliminated alloreactive immune cells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co-culture assay with allogeneic peripheral blood mononuclear cells (see figure below); targeted and eliminated activated T-regulatory cells, overcoming a major suppressive mechanism associated with poor anti-tumor activity; and were potentiated through 4-1BB engagement, promoting NK cell expansion and persistence. In addition, in a disseminated Nalm6 leukemia model comprised of alloreactive T cells and CD19+ tumor cells resistant to T-cell killing (MHC class 1-null), ADR-armed, CD19-targeted, iPSC-derived CAR NK cells exhibited uncompromised effector function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compared to ADR-null, CD19-targeted, iPSC-derived CAR NK cells, suggesting that ADR-armed NK cells functionally persist, proliferate, and kill tumor cells while resisting rejection by alloreactive T cells. These preclinical data suggest that FT522 has the potential to robustly deplete CD19+ B cells, evade host immune cell rejection, and drive clinical responses without administration of intense conditioning chemotherapy to patients.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1579880</wp:posOffset>
            </wp:positionH>
            <wp:positionV relativeFrom="page">
              <wp:posOffset>783590</wp:posOffset>
            </wp:positionV>
            <wp:extent cx="4714875" cy="2134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4714875"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B-cell Lymphoma</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completing a multi-center, Phase 1 clinical trial of FT522 to assess its safety, pharmacokinetics, and activity in patients with relapsed / refractory BCL (NCT05950334). The Phase 1 study includes two regimens: Regimen A, or the “conditioning” arm, which consists of three days of conditioning chemotherapy; one dose of rituximab; and three doses of FT522; and Regimen B, or the “no conditioning” arm, which consists of one dose of rituximab and three doses of FT522 without conditioning chemotherapy. At the 2024 American College of Rheumatology (ACR) Convergence meeting, we presented initial clinical and translational data from the Phase 1 study of FT522 in relapsed / refractory BCL. As of a data cutoff date of November 8, 2024:</w:t>
      </w:r>
    </w:p>
    <w:p>
      <w:pPr>
        <w:spacing w:after="0" w:line="77" w:lineRule="exact"/>
        <w:rPr>
          <w:sz w:val="20"/>
          <w:szCs w:val="20"/>
          <w:color w:val="auto"/>
        </w:rPr>
      </w:pPr>
    </w:p>
    <w:p>
      <w:pPr>
        <w:ind w:left="1020" w:right="20" w:hanging="503"/>
        <w:spacing w:after="0" w:line="25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Regimen A “Conditioning”</w:t>
      </w:r>
      <w:r>
        <w:rPr>
          <w:rFonts w:ascii="Times New Roman" w:cs="Times New Roman" w:eastAsia="Times New Roman" w:hAnsi="Times New Roman"/>
          <w:sz w:val="18"/>
          <w:szCs w:val="18"/>
          <w:color w:val="auto"/>
        </w:rPr>
        <w:t>. At the first dose level of 300 million cells per dose (A-DL1; n=6), all three patients with indolent lymphoma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achieved a complete response (CR) and one patient with mantle cell lymphoma achieved a partial response (PR), while two patients with diffuse large B-cell lymphoma (DLBCL) did not respond to treatment (1 stable disease (SD); 1 progressive disease). At the second dose level of 900 million cells per dose (A-DL2; n=3), two of three patients with DLBCL achieved an overall response (1 CR; 1 PR; 1 SD). The potential for FT522 dose-dependent activity was supported by pharmacokinetics (PK), which showed a greater than 20-fold increase in median cumulative PK between the two dose levels (&gt;80,000 copies*day/µgDNA for A-DL2 and &lt;4,000 copies*day/µgDNA for A-DL1).</w:t>
      </w:r>
    </w:p>
    <w:p>
      <w:pPr>
        <w:spacing w:after="0" w:line="74"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Regimen B “No Conditioning”</w:t>
      </w:r>
      <w:r>
        <w:rPr>
          <w:rFonts w:ascii="Times New Roman" w:cs="Times New Roman" w:eastAsia="Times New Roman" w:hAnsi="Times New Roman"/>
          <w:sz w:val="18"/>
          <w:szCs w:val="18"/>
          <w:color w:val="auto"/>
        </w:rPr>
        <w:t>. At the first dose level of 300 million cells per dose (B-DL1; n=3), live FT522 cells were detected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peripheral blood through Day 15 (one week post-infusion of the third dose), demonstrating the ability of FT522 to persist in the presence of an unmatched, fully-intact immune system. Notably, in all three patients, each dose of FT522 maintained functional activity as evidenced by a similar percent reduction in circulating CD19+ B cells in the patients’ peripheral blood with each infused dose. These first-of-kind translational data support the potential of live FT522 cells to functionally persist and deplete pathogenic CD19+ B cells without administration of conditioning chemotherapy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128270</wp:posOffset>
            </wp:positionV>
            <wp:extent cx="3985895" cy="213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8589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Tolerability</w:t>
      </w:r>
      <w:r>
        <w:rPr>
          <w:rFonts w:ascii="Times New Roman" w:cs="Times New Roman" w:eastAsia="Times New Roman" w:hAnsi="Times New Roman"/>
          <w:sz w:val="18"/>
          <w:szCs w:val="18"/>
          <w:color w:val="auto"/>
        </w:rPr>
        <w:t>. There have been no DLTs, and no events of CRS, ICANS, or GvHD.</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Enrollment in the multi-center, Phase 1 study of FT522 for the treatment of relapsed / refractory BCL has been completed in Regimen A at the second dose level of 900 million cells per dose and we are planning to complete enrollment in Regimen B at the second dose level of 900 million cells per dose. We intend to analyze the data from both Regimen A and Regimen B at 900 million cells per dose for safety and activity to assess whether to pursue any further clinical development of FT522.</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 Cell-mediated Autoimmune Diseases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re-challenge assay using peripheral blood mononuclear cells (PBMCs) from unmatched SLE donors, FT522 uniquely drove rapid and deep CD19+ B cell depletion, eliminated alloreactive T cells and maintained functional persistence, indicating that FT522 has the potential to function effectively in the presence of an unmatched host immune system. In addition, in a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biodistribution study, FT522 showed dose-dependent trafficking, infiltration, and residency in secondary and tertiary tissues without cytokine support at human dose equivalency levels of 250 million cells per dose and 1 billion cells per dose (based on 20 gram mouse and 65 kilogram human allometric conversion).</w:t>
      </w:r>
    </w:p>
    <w:p>
      <w:pPr>
        <w:spacing w:after="0" w:line="7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Recently, the FDA allowed our Investigational New Drug (IND) application to assess the safety, pharmacokinetics, and activity of FT522 across a basket of B cell-mediated autoimmune diseases including anti-neutrophilic cytoplasmic AAV, IMM, SSc, and SLE. The Phase 1 clinical protocol permits treatment of patients with up to four weekly doses of FT522, without administration of conditioning chemotherapy, as an add-on to rituximab induction therapy (Regimen A) and as an add-on to maintenance therapy in combination with rituximab (Regimen B). We are currently evaluating opportunities and timelines for the clinical development of FT522.</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Preclinical Programs</w:t>
      </w:r>
    </w:p>
    <w:p>
      <w:pPr>
        <w:spacing w:after="0" w:line="119"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FT836 CAR T-cell Program</w:t>
      </w:r>
      <w:r>
        <w:rPr>
          <w:rFonts w:ascii="Times New Roman" w:cs="Times New Roman" w:eastAsia="Times New Roman" w:hAnsi="Times New Roman"/>
          <w:sz w:val="18"/>
          <w:szCs w:val="18"/>
          <w:color w:val="auto"/>
        </w:rPr>
        <w:t>. FT836 is our a multiplexed-engineered CAR T-cell product candidate targeting MHC proteins MICA and MICB.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expression of MICA/B cell-surface proteins is induced by cellular stress or malignant transformation, and is detectable across many types of cancer cells with limited expression on healthy tissue. MICA/B targeting is emerging as a novel cancer-specific strategy to attack a wide range of solid tumors, however, proteolytic cleavage and shedding of MICA/B at the membrane-proximal α3 domain is a common mechanism of tumor escape. FT836 is designed to uniquely target and bind the α3 domain, which has been shown to stabilize MICA/B expression and induce robust cytolytic killing of tumor cells.</w:t>
      </w:r>
    </w:p>
    <w:p>
      <w:pPr>
        <w:spacing w:after="0" w:line="76"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The novel suite of synthetic controls incorporated into FT836 is intended to address critical challenges that have limited CAR T-cell safety and efficacy in treating solid tumors including on-target, off-tumor toxicity, effector cell suppression in the tumor microenvironment, tumor heterogeneity, and limited functional persistence. At the 2024 SITC 39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Annual Meeting, we presented preclinical data showing that FT836 exerted potent and durable anti-tumor activity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across a broad array of solid tumors (see figure below). In addition, treatment of tumor cells with chemotherapy or radiation therapy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elicited an increase in MICA/B expression and further enhanced the cytolytic activity of FT836, indicating the potential for combination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standard-of-care regimens used for the treatment of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635</wp:posOffset>
            </wp:positionV>
            <wp:extent cx="4894580" cy="1482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9458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FT836 is also our first product candidate to incorporate our novel </w:t>
      </w:r>
      <w:r>
        <w:rPr>
          <w:rFonts w:ascii="Times New Roman" w:cs="Times New Roman" w:eastAsia="Times New Roman" w:hAnsi="Times New Roman"/>
          <w:sz w:val="18"/>
          <w:szCs w:val="18"/>
          <w:i w:val="1"/>
          <w:iCs w:val="1"/>
          <w:color w:val="auto"/>
        </w:rPr>
        <w:t>Sword &amp; Shield</w:t>
      </w:r>
      <w:r>
        <w:rPr>
          <w:rFonts w:ascii="Times New Roman" w:cs="Times New Roman" w:eastAsia="Times New Roman" w:hAnsi="Times New Roman"/>
          <w:sz w:val="18"/>
          <w:szCs w:val="18"/>
          <w:color w:val="auto"/>
        </w:rPr>
        <w:t xml:space="preserve"> technology, which utilizes our ADR technology alongside CD58KO, to both target and evade host alloreactive immune cells. In preclinical studies presented at SITC, iPSC-derived </w:t>
      </w:r>
      <w:r>
        <w:rPr>
          <w:rFonts w:ascii="Times New Roman" w:cs="Times New Roman" w:eastAsia="Times New Roman" w:hAnsi="Times New Roman"/>
          <w:sz w:val="18"/>
          <w:szCs w:val="18"/>
          <w:i w:val="1"/>
          <w:iCs w:val="1"/>
          <w:color w:val="auto"/>
        </w:rPr>
        <w:t>Sword &amp; Shield</w:t>
      </w:r>
      <w:r>
        <w:rPr>
          <w:rFonts w:ascii="Times New Roman" w:cs="Times New Roman" w:eastAsia="Times New Roman" w:hAnsi="Times New Roman"/>
          <w:sz w:val="18"/>
          <w:szCs w:val="18"/>
          <w:color w:val="auto"/>
        </w:rPr>
        <w:t xml:space="preserve"> CAR T cells demonstrated functional persistence and durable anti-tumor activity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that was uniquely maintained upon supraphysiological challenge with alloreactive T cells, indicating the potential of </w:t>
      </w:r>
      <w:r>
        <w:rPr>
          <w:rFonts w:ascii="Times New Roman" w:cs="Times New Roman" w:eastAsia="Times New Roman" w:hAnsi="Times New Roman"/>
          <w:sz w:val="18"/>
          <w:szCs w:val="18"/>
          <w:i w:val="1"/>
          <w:iCs w:val="1"/>
          <w:color w:val="auto"/>
        </w:rPr>
        <w:t>Sword &amp; Shield</w:t>
      </w:r>
      <w:r>
        <w:rPr>
          <w:rFonts w:ascii="Times New Roman" w:cs="Times New Roman" w:eastAsia="Times New Roman" w:hAnsi="Times New Roman"/>
          <w:sz w:val="18"/>
          <w:szCs w:val="18"/>
          <w:color w:val="auto"/>
        </w:rPr>
        <w:t xml:space="preserve"> CAR T cells to thrive without administration of conditioning chemotherapy to deplete host immune cells.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1965325</wp:posOffset>
            </wp:positionH>
            <wp:positionV relativeFrom="page">
              <wp:posOffset>715010</wp:posOffset>
            </wp:positionV>
            <wp:extent cx="3625850" cy="986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362585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2025, we were awarded $4 million from CIRM to support the clinical translation of FT836 for the treatment of multiple solid tumor indications. We plan to submit an IND application to the FDA in 2025 to initiate Phase 1 clinical investigation of FT836 for the treatment of advanced solid tumors.</w:t>
      </w:r>
    </w:p>
    <w:p>
      <w:pPr>
        <w:spacing w:after="0" w:line="6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FT829 CAR T-cell Program</w:t>
      </w:r>
      <w:r>
        <w:rPr>
          <w:rFonts w:ascii="Times New Roman" w:cs="Times New Roman" w:eastAsia="Times New Roman" w:hAnsi="Times New Roman"/>
          <w:sz w:val="18"/>
          <w:szCs w:val="18"/>
          <w:color w:val="auto"/>
        </w:rPr>
        <w:t>. We are applying our iPSC product platform to preclinically develop next-generation CAR T-cell therapies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potential to target multiple aberrant cell types while evading recognition by alloreactive immune cells. FT829 is our first multi-antigen CAR T-cell product candidate that is designed to express two unique CARs: a first CAR targeting CD19+ B cells, and a second CAR targeting additional disease-causing cells. At the 2024 American Society of Hematology (ASH) Annual Meeting, we demonstrated that iPSC-derived CAR T cells targeting CD19 and the cell surface glycoprotein CD38 specifically eliminated a variety of malignant cell types, including CD19+ lymphoma and CD38+ multiple myeloma cell lines, in several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cytotoxicity assays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In addition, dual CAR T cells showed enhanced elimination of CD19+CD38+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compared to single CAR controls. In a preclinical proof-of-concept study in autoimmunity, using unmatched PBMCs sourced from a patient with SLE, dual CAR T cells showed robust eradication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of aberrant CD19+ B cells, CD38+ plasma cells, and CD38+ activated T cells. We plan to finalize the product configuration, and complete IND-enabling activities, in 2025 to support initial clinical investigation of FT829 for the treatment of autoimmune disease.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Partnership with Ono Pharmaceutical</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Under a collaboration and option agreement with Ono Pharmaceutical Co. Ltd. (Ono) entered into in September 2018 and amended in June 2022 and August 2024 (the Ono Agreement), we are conducting research and preclinical development of iPSC-derived CAR T-cell and CAR NK cell product candidates for the treatment of solid tumors.</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November 2022, we announced that Ono had exercised its preclinical option to FT825 / ONO-8250, an off-the-shelf, multiplexed-engineered, iPSC-derived CAR T-cell product candidate targeting HER2-expressing solid tumors (also referred to as Candidate 2 below), and that we exercised our preclinical option to co-develop and co-commercialize FT825 / ONO-8250 in the United States and Europe under a joint arrangement with Ono. As a result, we received an option exercise fee of $12.5 million from Ono. In January 2024, we announced the initiation of enrollment of a Phase 1 clinical trial of FT825 / ONO-8250 for the treatment of advanced solid tumors.</w:t>
      </w:r>
    </w:p>
    <w:p>
      <w:pPr>
        <w:spacing w:after="0" w:line="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companies are also currently conducting preclinical development of a second iPSC-derived CAR-targeted effector cell product candidate for the treatment of solid tumors (referred to as Candidate 3 below) under the Ono Agreement.</w:t>
      </w:r>
    </w:p>
    <w:p>
      <w:pPr>
        <w:spacing w:after="0" w:line="5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Under the original Ono Agreement entered into in September 2018, we and Ono intended to research and preclinically develop two iPSC-derived CAR T-cell product candidates, one of which was designated to target an antigen expressed on certain lymphoblastic leukemias (Candidate 1) and the second of which was designated to target an antigen expressed on certain solid tumors (Candidate 2) (each a Candidate and, collectively, the Candidates). We granted to Ono, during a specified period of time, a preclinical option to obtain an exclusive license under certain intellectual property rights to develop and commercialize: (a) Candidate 1 in Asia, where we retained rights for development and commercialization in all other territories of the world; and (b) Candidate 2 in all territories of the world, where we retained rights to co-develop and co-commercialize Candidate 2 in the United States and Europe under a joint arrangement with Ono under which we are eligible to share at least 50% of the profits and losses. We maintained worldwide rights of manufacture for each Candidate. For each Candidate, the preclinical option expired upon the earliest of: (a) the achievement of the pre-defined preclinical milestone under the joint development plan; (b) termination by Ono of research and development activities for the Candidate; and (c) the date that is the later of (i) four years after the effective date, and (ii) completion of all applicable activities contemplated under the joint development plan. Ono paid us an upfront, non-refundable and non-creditable payment of $10.0 million in connection with entering into the Ono Agreement. Additionally, as consideration for our conduct of research and preclinical development under a joint development plan, Ono agreed to pay us annual research and development fees set forth in the annual budget included in the joint development plan, which fees were estimated to be $20.0 million in aggregate over the course of the joint development plan.</w:t>
      </w:r>
    </w:p>
    <w:p>
      <w:pPr>
        <w:spacing w:after="0" w:line="8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In December 2020, we entered into a letter agreement with Ono pursuant to which Ono delivered to us proprietary antigen binding domains targeting an antigen expressed on certain solid tumors for incorporation into Candidate 2 and paid us a milestone fee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right="100"/>
        <w:spacing w:after="0" w:line="266" w:lineRule="auto"/>
        <w:rPr>
          <w:sz w:val="20"/>
          <w:szCs w:val="20"/>
          <w:color w:val="auto"/>
        </w:rPr>
      </w:pPr>
      <w:r>
        <w:rPr>
          <w:rFonts w:ascii="Times New Roman" w:cs="Times New Roman" w:eastAsia="Times New Roman" w:hAnsi="Times New Roman"/>
          <w:sz w:val="18"/>
          <w:szCs w:val="18"/>
          <w:color w:val="auto"/>
        </w:rPr>
        <w:t>of $10.0 million for further research and preclinical development of Candidate 2. In addition, Ono terminated all further research and preclinical development with respect to Candidate 1, and we retained all rights to research, develop and commercialize Candidate 1 throughout the world without any obligation to Ono.</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June 2022, we entered into an amendment with Ono to the Ono Agreement (the 2022 Ono Amendment). Pursuant to the 2022 Ono Amendment, the companies agreed to designate an additional antigen expressed on certain solid tumors for research and preclinical development, and Ono agreed to contribute to us proprietary antigen binding domains targeting such additional solid tumor antigen (Candidate 3). In addition, for both Candidate 2 and Candidate 3, the companies expanded the scope of the collaboration to include the research and preclinical development of iPSC-derived CAR NK cell product candidates (in addition to iPSC-derived CAR T-cell product candidates) targeting the designated solid tumor antigens. Similar to Candidate 2, we granted to Ono, during a specified period of time, a preclinical option (Candidate 3 Development Option) to obtain an exclusive license under certain intellectual property rights, subject to payment of an option exercise fee to us by Ono, to further develop and commercialize Candidate 3 in all territories of the world, where we retained rights to co-develop and co-commercialize Candidate 3 in the United States and Europe under a joint arrangement with Ono under which we are eligible to share at least 50% of the profits and losses. We maintained worldwide rights of manufacture for Candidate 3. Ono agreed to pay us annual research and development fees set forth in the annual budget included in the joint development plan for Candidate 3.</w:t>
      </w:r>
    </w:p>
    <w:p>
      <w:pPr>
        <w:spacing w:after="0" w:line="8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 November 2022, Ono exercised its option to obtain a license to develop and commercialize Candidate 2 (the Candidate 2 Development Option). We exercised our option (the CDCC Option) to co-develop and co-commercialize Candidate 2 in the United States and Europe. As a result, we received an option exercise payment of $12.5 million. We and Ono are proceeding under a joint development plan for the ongoing development of Candidate 2.</w:t>
      </w:r>
    </w:p>
    <w:p>
      <w:pPr>
        <w:spacing w:after="0" w:line="68" w:lineRule="exact"/>
        <w:rPr>
          <w:sz w:val="20"/>
          <w:szCs w:val="20"/>
          <w:color w:val="auto"/>
        </w:rPr>
      </w:pPr>
    </w:p>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On November 30, 2023, we entered into an amendment with Ono to the Ono Agreement (the 2023 Ono Amendment). Under the 2023 Ono Amendment, aggregate estimated research and preclinical development fees payable by Ono to us for Candidate 3 have been increased by approximately $1.4 million, for a total estimated $30.7 million in aggregate research and preclinical development fees over the course of the joint research plan.</w:t>
      </w:r>
    </w:p>
    <w:p>
      <w:pPr>
        <w:spacing w:after="0" w:line="50"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August 2024, we entered into an amendment with Ono to the Ono Agreement (the 2024 Ono Amendment and collectively with the 2023 Ono Amendment and 2022 Ono Amendment, the Ono Amendments). Under the 2024 Ono Amendment, the preclinical option period for Candidate 3 has been extended through June 2025 and the aggregate estimated research and preclinical development fees payable by Ono to us for Candidate 3 have been increased by approximately $7.3 million, for a total estimated $38.0 million in aggregate research and preclinical development fees over the course of the joint research plan. We will continue to receive committed funding under the joint research plan from Ono during the preclinical option period. The Candidate 3 Development Option expires upon the earlier of: (a) June 30, 2025 or (b) the achievement of the pre-defined preclinical milestone under the joint research plan for Candidate 3. Subject to payment of an extension fee by Ono, Ono may choose to defer its decision to exercise the Candidate 3 Development Option until no later than June 2026.</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Ono Agreement (as amended by the Ono Amendments), for Candidate 2 and for Candidate 3 (subject to exercise by Ono of its Candidate 3 Development Option), we are eligible to receive additional payments upon the achievement of certain clinical, regulatory and commercial milestones (the Ono Milestones) with respect to each Candidate in an amount up to $843.0 million in aggregate, with the applicable milestone payments for the United States and Europe subject to reduction by 50% if we elect to co-develop and co-commercialize the Candidate in the United States and Europe as described above. In addition, in those territories where Ono has exclusive rights of commercialization, we are eligible to receive tiered royalties (Royalties) ranging from the mid-single digits to the low-double digits based on annual net sales by Ono for each Candidate in such territories, with the Royalties subject to certain reductions.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Ono Agreement will terminate with respect to a Candidate if Ono does not exercise its development option for a Candidate within the option period, or in its entirety if Ono does not exercise any of its development options for the Candidates within their respective option periods. In addition, either party may terminate the Ono Agreement in the event of breach, insolvency or patent challenges by the other party; provided, that Ono may terminate the Ono Agreement in its sole discretion (x) on a Candidate-by-Candidate basis at any time after the second anniversary of the effective date of the Ono Agreement or (y) on a Candidate-by-Candidate or country-by-country basis at any time after the expiration of the development option period, subject to certain limitations. The Ono Agreement will expire on a Candidate-by-Candidate and country-by-country basis upon the expiration of the applicable royalty term, or in its entirety upon the expiration of all applicable payment obligations under the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seek to protect our product candidates and our cell programming technology through a variety of methods, including seeking and maintaining patents intended to cover our products and compositions, their methods of use and processes for their manufacture, our platform technologies and any other inventions that are commercially important to the development of our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8" w:name="page19"/>
    <w:bookmarkEnd w:id="18"/>
    <w:p>
      <w:pPr>
        <w:ind w:right="40"/>
        <w:spacing w:after="0" w:line="256" w:lineRule="auto"/>
        <w:rPr>
          <w:sz w:val="20"/>
          <w:szCs w:val="20"/>
          <w:color w:val="auto"/>
        </w:rPr>
      </w:pPr>
      <w:r>
        <w:rPr>
          <w:rFonts w:ascii="Times New Roman" w:cs="Times New Roman" w:eastAsia="Times New Roman" w:hAnsi="Times New Roman"/>
          <w:sz w:val="18"/>
          <w:szCs w:val="18"/>
          <w:color w:val="auto"/>
        </w:rPr>
        <w:t>We seek to obtain domestic and international patent protection and, in addition to filing and prosecuting patent applications in the United States, we typically file counterpart patent applications in additional countries where we believe such foreign filing is likely to be beneficial, including Europe, Japan, Canada, Australia and China. We continually assess and refine our intellectual property strategy in order to best fortify our position, and file additional patent applications when our intellectual property strategy warrants such filings. We also rely on know-how, continuing technological innovation and in-licensing opportunities to develop and maintain our proprietary position. We have entered into exclusive license agreements with various academic and research institutions to obtain the rights to use certain patents for the development and commercialization of our product candidates.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of February 28, 2025, our intellectual property portfolio is composed of over 450 issued patents and 150 patent applications that we license from academic and research institutions, and over 450 issued patents or pending patent applications that we own. These patents and patent applications generally provide us with the rights to develop our product candidates in the United States and worldwide. This portfolio covers compositions of programmed cellular immunotherapies, our cell programming approach for enhancing the therapeutic function of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and our platform for industrial-scale iPSC generation and engineering. We believe that we have a significant intellectual property position and substantial know-how relating to the programming of hematopoietic and immune cells and to the derivation, genetic engineering, and differentiation of iPSCs.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cannot be sure that patents will be granted with respect to any of our owned or licensed pending patent applications or with respect to any patent applications we may own or license in the future, nor can we be sure that any of our existing patents or any patents we may own or license in the future will be useful in protecting our technology. Please see “Risk Factors—Risks Related to Our Intellectual Property” for additional information on the risks associated with our intellectual property strategy and portfolio.</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Relating to iPSC Technology and Platform</w:t>
      </w:r>
    </w:p>
    <w:p>
      <w:pPr>
        <w:spacing w:after="0" w:line="119"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 xml:space="preserve">As of February 28, 2025, we own over 30 patent families directed to programming the fate of somatic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including patent applications pending in the U.S. and internationally related to our platform for industrial-scale iPSC generation and applications related to differentiation of iPSCs into specialized cells with therapeutic potential. These patent applications cover our proprietary small molecule-enhanced iPSC platform, including novel reprogramming factors and methods of reprogramming to obtain iPSCs. Our intellectual property portfolio also includes gene editing compositions and methods of genetic engineering, as well as methods of directing the fate of cells to obtain homogenous cell populations in the hematopoietic lineage, including CD34</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T-cells and NK cells. Our proprietary intellectual property enables highly-efficient iPSC derivation, selection, engineering, and clonal expansion while maintaining genomic stability. Any U.S. patents issued from these patent applications are expected to have statutory expiration dates ranging from 2031 to 2044.</w:t>
      </w:r>
    </w:p>
    <w:p>
      <w:pPr>
        <w:spacing w:after="0" w:line="9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Additionally, we have licensed from the Whitehead Institute for Biomedical Research a portfolio of four patent families, including issued patents and pending applications broadly applicable to the reprogramming of somatic cells. Our license is exclusive in commercial fields, including for drug discovery and therapeutic purposes. This portfolio covers compositions used in the reprogramming of mammalian somatic cells to a pluripotent state. The earliest filed patent family in the portfolio expired in November 2024, and the remaining issued patents and any U.S. patents that may issue from these pending patent applications are expected to have statutory expiration dates ranging from 2028 to 2029.</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also have exclusive licenses from The Scripps Research Institute to a portfolio of seven patent families relating to compositions and methods for reprogramming mammalian somatic cells, which covers non-genetic and viral-free reprogramming mechanisms, including the use of various small molecule classes and compounds and the introduction of cell-penetrating proteins to reprogram mammalian somatic cells. This portfolio includes issued U.S. patents (including U.S. Patents 8,044,201 and 8,691,573) that provide composition of matter protection for a class of small molecules, including thiazovivin, that is critical for inducing the generation, and maintaining the pluripotency, of iPSCs, and compositions and methods of using the small molecule. Any issued U.S. patents and any U.S. patents that may issue from patent applications pending in this portfolio are expected to have statutory expiration dates ranging from 2026 to 2031.</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also have exclusively licensed from the J. David Gladstone Institutes (Gladstone) intellectual property covering the generation of iPSCs using CRISPR-mediated gene activation. This approach for inducing pluripotency uses CRISPR to directly target a specific location of the genome and activate endogenous gene expression, and does not rely on established methods of cellular reprogramming that require the transduction of multiple transcription factors. Any U.S. patents that may issue from patent applications pending in the U.S. and internationally in this portfolio are expected to have a statutory expiration date in 2038.</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also have exclusive rights to four families of patent applications from the University of Minnesota. As of February 28, 2025, this portfolio includes over 75 issued patents or pending patent applications in the United States and foreign jurisdictions directed to compositions of NK cells, including adaptive memory NK cells and genetically-engineered NK cells, and therapeutic strategies for the treatment of cancer using these NK cells. These applications also describe compositions and methods of enhancing effector cell cytotoxicity by genetically engineering the CD16 Fc receptor in immune cells, including iPSC-derived NK and T cells. The portfolio also includes applications describing methods of increasing NK cell tumor specificity and cytotoxicity by incorporating CARs on NK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9" w:name="page20"/>
    <w:bookmarkEnd w:id="19"/>
    <w:p>
      <w:pPr>
        <w:ind w:right="180"/>
        <w:spacing w:after="0" w:line="282" w:lineRule="auto"/>
        <w:rPr>
          <w:sz w:val="20"/>
          <w:szCs w:val="20"/>
          <w:color w:val="auto"/>
        </w:rPr>
      </w:pPr>
      <w:r>
        <w:rPr>
          <w:rFonts w:ascii="Times New Roman" w:cs="Times New Roman" w:eastAsia="Times New Roman" w:hAnsi="Times New Roman"/>
          <w:sz w:val="18"/>
          <w:szCs w:val="18"/>
          <w:color w:val="auto"/>
        </w:rPr>
        <w:t>cells. Any U.S. patents that may issue from patent applications pending in this portfolio are expected to have statutory expiration dates between 2035 and 2038.</w:t>
      </w:r>
    </w:p>
    <w:p>
      <w:pPr>
        <w:spacing w:after="0" w:line="54"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also have exclusively licensed from MSKCC intellectual property covering the production and composition of iPSC-derived T-cells and their use in cellular immunotherapy, and have a license from MSKCC to two patent families covering novel CAR constructs as well as off-the-shelf CAR T-cells, including the use of CRISPR and other innovative technologies for their production. Collectively, this portfolio covers compositions of CAR constructs, compositions of T-cells and NK cells derived from pluripotent cells which are engineered with CARs, methods of engineering pluripotent cell lines, methods of deriving CAR T-cells from CAR expressing pluripotent stem cells, and methods of using CRISPR for producing off-the-shelf T-cell immunotherapies. Any U.S. patents that may issue from patent applications pending in this portfolio are expected to have statutory expiration dates between 2034 and 2038.</w:t>
      </w:r>
    </w:p>
    <w:p>
      <w:pPr>
        <w:spacing w:after="0" w:line="81" w:lineRule="exact"/>
        <w:rPr>
          <w:sz w:val="20"/>
          <w:szCs w:val="20"/>
          <w:color w:val="auto"/>
        </w:rPr>
      </w:pPr>
    </w:p>
    <w:p>
      <w:pPr>
        <w:ind w:right="380" w:firstLine="599"/>
        <w:spacing w:after="0" w:line="261" w:lineRule="auto"/>
        <w:rPr>
          <w:sz w:val="20"/>
          <w:szCs w:val="20"/>
          <w:color w:val="auto"/>
        </w:rPr>
      </w:pPr>
      <w:r>
        <w:rPr>
          <w:rFonts w:ascii="Times New Roman" w:cs="Times New Roman" w:eastAsia="Times New Roman" w:hAnsi="Times New Roman"/>
          <w:sz w:val="18"/>
          <w:szCs w:val="18"/>
          <w:color w:val="auto"/>
        </w:rPr>
        <w:t xml:space="preserve">In addition, we have licensed exclusive rights from the Max Delbruck Center for Molecular Medicine to intellectual property directed to novel humanized antibody fragments, antigen-binding domains and CAR constructs that </w:t>
      </w:r>
      <w:r>
        <w:rPr>
          <w:rFonts w:ascii="Times New Roman" w:cs="Times New Roman" w:eastAsia="Times New Roman" w:hAnsi="Times New Roman"/>
          <w:sz w:val="18"/>
          <w:szCs w:val="18"/>
          <w:color w:val="222222"/>
        </w:rPr>
        <w:t>uniquely target and specifically bind BCMA. Under the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agreement, we are granted an exclusive license for use in allogeneic engineered pluripotent stem cells. Any patents issuing from </w:t>
      </w:r>
      <w:r>
        <w:rPr>
          <w:rFonts w:ascii="Times New Roman" w:cs="Times New Roman" w:eastAsia="Times New Roman" w:hAnsi="Times New Roman"/>
          <w:sz w:val="18"/>
          <w:szCs w:val="18"/>
          <w:color w:val="000000"/>
        </w:rPr>
        <w:t>patent applications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pending in the U.S. and internationally in this portfolio are expected to have statutory expiration dates between 2033 and 2037.</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have also licensed exclusive rights from the Dana-Farber Cancer Institute (DFCI) to certain intellectual property covering novel antibody fragments that uniquely and specifically bind the alpha-3 domain of MICA/B. We are granted exclusive worldwide rights for use in iPSC-derived cellular therapeutics for the treatment of human disease under the license agreement. Any patents that may issue from patent applications pending in this portfolio are expected to have statutory expiration dates in 2038.</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we have licensed exclusive rights from BCM to intellectual property covering the composition and use of a novel ADR that selectively targets activated T-cells to protect engineered allogeneic cell products expressing the ADR from elimination in the host immune system. Under the license agreement with BCM, we are granted exclusive worldwide rights to use ADR in the field of iPSC-derived cell products, including T-cells and NK cells derived from iPSCs engineered with ADRs. As of February 28, 2025, the portfolio includes three issued patents and 14 pending applications broadly applicable to making and using ADR-expressing effector cells, including T-cells and NK cells differentiated from iPSCs engineered with ADRs. We expect U.S. patents related to this technology to have statutory expiration dates starting in 2039.</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Relating to CRISPR Engineering</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August 2019, we entered into a license agreement with Inscripta, Inc. Under the license agreement, we obtained a royalty-free, irrevocable license to a patent portfolio covering the composition, production and use of MAD7, a novel gene-editing CRISPR endonuclease from the </w:t>
      </w:r>
      <w:r>
        <w:rPr>
          <w:rFonts w:ascii="Times New Roman" w:cs="Times New Roman" w:eastAsia="Times New Roman" w:hAnsi="Times New Roman"/>
          <w:sz w:val="18"/>
          <w:szCs w:val="18"/>
          <w:i w:val="1"/>
          <w:iCs w:val="1"/>
          <w:color w:val="auto"/>
        </w:rPr>
        <w:t>Eubacterium rectale</w:t>
      </w:r>
      <w:r>
        <w:rPr>
          <w:rFonts w:ascii="Times New Roman" w:cs="Times New Roman" w:eastAsia="Times New Roman" w:hAnsi="Times New Roman"/>
          <w:sz w:val="18"/>
          <w:szCs w:val="18"/>
          <w:color w:val="auto"/>
        </w:rPr>
        <w:t xml:space="preserve"> genome. The intellectual property includes issued patents and pending applications broadly applicable to MAD7 and the editing of mammalian cells. Our license covers the making and using of MAD7 for editing iPSCs, making master engineered iPSC lines and using master engineered iPSC lines to manufacture human therapeutic products. We expect U.S. patents related to this work to have statutory expiration dates starting in 2037.</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Relating to the Programming of Hematopoietic Cells</w:t>
      </w:r>
    </w:p>
    <w:p>
      <w:pPr>
        <w:spacing w:after="0" w:line="12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 xml:space="preserve">As of February 28, 2025, we own 17 families of U.S. and foreign patents and pending patent applications covering our cell programming technology and compositions of programmed cellular immunotherapies. This portfolio includes over 150 issued patents or pending patent applications relating to methods of programming the biological properties and therapeutic function of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and the resulting therapeutic compositions of hematopoietic and immune cells. Patents and patent applications in this portfolio include claims covering (i) therapeutic compositions of hematopoietic and immune cells, including T-cells, NK cells, and CD34</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that have been programmed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with one or more agents to optimize their therapeutic function for application in oncology and immune diseases and (ii) methods of programming cells including by the activation or inhibition of therapeutically-relevant genes and cell-surface proteins, such as those involved in the homing, proliferation and survival of hematopoietic cells or those involved in the persistence, proliferation and reactivity of immune cells. Any U.S. patents within this portfolio that have issued or may yet issue from pending patent applications will have statutory expiration dates between 2032 and 2044.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Material Technology License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University of Minnesota</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In December 2016, we entered into a license agreement with the Regents of the University of Minnesota for rights relating to compositions and methods relating to NK cells, to modifications of cytotoxic receptors naturally expressed on NK cells including the CD16 Fc receptor, and to CARs for expression on NK cells. Under our agreement with the University of Minnesota, we acquired an exclusive royalty-bearing, sublicensable, worldwide license to make, use and sell licensed products in all fields for commercial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0" w:name="page21"/>
    <w:bookmarkEnd w:id="20"/>
    <w:p>
      <w:pPr>
        <w:ind w:right="20"/>
        <w:spacing w:after="0" w:line="258" w:lineRule="auto"/>
        <w:rPr>
          <w:sz w:val="20"/>
          <w:szCs w:val="20"/>
          <w:color w:val="auto"/>
        </w:rPr>
      </w:pPr>
      <w:r>
        <w:rPr>
          <w:rFonts w:ascii="Times New Roman" w:cs="Times New Roman" w:eastAsia="Times New Roman" w:hAnsi="Times New Roman"/>
          <w:sz w:val="18"/>
          <w:szCs w:val="18"/>
          <w:color w:val="auto"/>
        </w:rPr>
        <w:t>purposes. The licensed patent rights are described in more detail above under “Intellectual Property Relating to the Programming of Hematopoietic Cells.” The University of Minnesota retains the right to practice the patent rights for research, teaching and educational purposes, including in corporate-sponsored research subject to certain limitations during the initial three years of the license agreement. The University of Minnesota also retains the right to license other academic and non-profit research institutes to practice the patent rights for research, teaching and educational purposes, but not for corporate-sponsored research. Our license is also subject to pre-existing rights of the U.S. government.</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Under the terms of the license agreement, we are required to pay the University of Minnesota an annual license maintenance fee during the term of the agreement, and are also required to make payments of up to $4.6 million for development, regulatory and commercial milestones achieved with respect to each of the first three licensed products. If commercial sales of a licensed product commence, we will also be required to pay royalties at percentage rates in the low-single digits on net sales of licensed products. Our royalty payments are subject to reduction for any third-party payments required to be made until a minimum royalty percentage has been reached. In the event that we sublicense the patent rights, the University of Minnesota is also entitled to receive a percentage of the sublicensing income received by us.</w:t>
      </w:r>
    </w:p>
    <w:p>
      <w:pPr>
        <w:spacing w:after="0" w:line="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Under the license agreement with the University of Minnesota, we are obligated to use commercially reasonable efforts to develop and make commercially available licensed products. In particular, we are required to conduct activities toward specific development milestones of licensed products on an annual basis.</w:t>
      </w:r>
    </w:p>
    <w:p>
      <w:pPr>
        <w:spacing w:after="0" w:line="6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license agreement will continue until the abandonment of all patent rights or expiration of the last to expire licensed patent. The University of Minnesota may terminate the agreement if we default in the performance of any of our obligations and fail to cure the default within a specified grace period. The University of Minnesota may also terminate the agreement if we cease to carry out our business or become bankrupt or insolvent. We may terminate the agreement for any reason upon prior written notice to the University of Minnesota and payment of all amounts due to the University of Minnesota through the date of termination.</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Memorial Sloan-Kettering Cancer Center (MSKCC)</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In May 2018, we entered into an amended and restated license agreement with MSKCC. The agreement amends and restates the exclusive license agreement we entered into with MSKCC in August 2016, under which we obtained rights relating to compositions and methods covering iPSC-derived cellular immunotherapy, including T-cells and NK cells derived from iPSCs engineered with CARs. Pursuant to the amended and restated license agreement, we continue to hold exclusive rights to the foregoing patents and patent applications, and obtained additional licenses to certain patents and patent applications relating to compositions and methods covering novel CAR constructs as well as off-the-shelf CAR T-cells, including the use of CRISPR and other innovative technologies for their production.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our amended and restated agreement with MSKCC, we have royalty-bearing worldwide licenses to make, use and sell licensed products in all fields for human therapeutic uses. The licensed patent rights are described in more detail above under “Intellectual Property Relating to iPSC Technology.” For those patent families where our rights are exclusive, MSKCC retains the right to practice the patent rights for research, teaching and non-clinical research purposes, and to license other academic and non-profit research institutes to practice the patent rights for research, teaching and non-clinical research purposes. Our licenses are also subject to pre-existing rights of the U.S. government.</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amended and restated agreement, we are required to pay MSKCC an annual license maintenance fee during the term of the agreement, and are also required to make payments of up to $12.5 million for development, regulatory and commercial milestones achieved with respect to each licensed products. If commercial sales of a licensed product commence, we will also be required to pay royalties at percentage rates up to the high-single digits on net sales of licensed products. Our royalty payments are subject to reduction for any third-party payments required to be made until a minimum royalty percentage has been reached. In the event that we sublicense the patent rights, MSKCC is also entitled to receive a percentage of the sublicensing income received by us. Additionally, in the event a licensed product achieves a specified clinical milestone, MSKCC is then eligible to receive additional milestone payments, where the amount of such payments owed to MSKCC are contingent upon certain increases in the price of our common stock following the date of achievement of such clinical milestone.</w:t>
      </w:r>
    </w:p>
    <w:p>
      <w:pPr>
        <w:spacing w:after="0" w:line="8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Under the amended and restated agreement with MSKCC, we are obligated to use commercially reasonable efforts to develop and make commercially available licensed products. In particular, we are required to conduct activities and commit a minimum amount of funding toward specific development milestones of licensed products on an annual basis.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agreement will continue until the abandonment of all patent rights or expiration of the last to expire licensed patent. MSKCC may terminate the agreement if we default in the performance of any of our obligations and fail to cure the default within a specified grace period, if we cease to carry out our business or become bankrupt or insolvent, or if we institute a proceeding to challenge the patent rights. We may terminate the agreement for any reason upon prior written notice to MSKCC.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Max Delbruck Center</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2018, we entered into a license agreement with Max Delbruck Center for Molecular Medicine for rights relating to novel humanized antibody fragments, antigen-binding domains and CAR constructs that </w:t>
      </w:r>
      <w:r>
        <w:rPr>
          <w:rFonts w:ascii="Times New Roman" w:cs="Times New Roman" w:eastAsia="Times New Roman" w:hAnsi="Times New Roman"/>
          <w:sz w:val="18"/>
          <w:szCs w:val="18"/>
          <w:color w:val="222222"/>
        </w:rPr>
        <w:t>uniquely target and specifically bind BCMA. Under our license agreement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MDC, we acquired </w:t>
      </w:r>
      <w:r>
        <w:rPr>
          <w:rFonts w:ascii="Times New Roman" w:cs="Times New Roman" w:eastAsia="Times New Roman" w:hAnsi="Times New Roman"/>
          <w:sz w:val="18"/>
          <w:szCs w:val="18"/>
          <w:color w:val="000000"/>
        </w:rPr>
        <w:t>an exclusive royalty-bearing, sublicensable, worldwide license to make, use and sell products covered by the licensed patent rights, and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to perform licensed processes, in each case, using cells derived from allogeneic engineered stem cells. </w:t>
      </w:r>
      <w:r>
        <w:rPr>
          <w:rFonts w:ascii="Times New Roman" w:cs="Times New Roman" w:eastAsia="Times New Roman" w:hAnsi="Times New Roman"/>
          <w:sz w:val="18"/>
          <w:szCs w:val="18"/>
          <w:color w:val="222222"/>
        </w:rPr>
        <w:t>MDC</w:t>
      </w:r>
      <w:r>
        <w:rPr>
          <w:rFonts w:ascii="Times New Roman" w:cs="Times New Roman" w:eastAsia="Times New Roman" w:hAnsi="Times New Roman"/>
          <w:sz w:val="18"/>
          <w:szCs w:val="18"/>
          <w:color w:val="000000"/>
        </w:rPr>
        <w:t xml:space="preserve"> retains a non-exclusive right to use the technology for its own internal research, teaching, and educational purposes.</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license agreement, we are required to pay to MDC an annual license maintenance fee during the term of the agreement. We also are required to make product development, regulatory and sales milestones payments to MDC of up to $11 million per product. If commercial sales of a licensed product commence, we will pay MDC royalties at percentage rates ranging in the low single digits on net sales of licensed products in countries where such product is protected by patent rights. Our obligation to pay royalties continues on a country-by-country basis until the expiration of all licensed patent rights covering licensed products in such country, and our royalty payments will be reduced by other payments we are required to make to third parties in certain circumstances until a minimum royalty percentage has been reached. In the event that we sublicense the patent rights, MDC is also entitled to receive a percentage of the sublicensing income received by us.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license with MDC, we are obligated to use commercially reasonable efforts to develop and obtain approval of a licensed product.</w:t>
      </w:r>
    </w:p>
    <w:p>
      <w:pPr>
        <w:spacing w:after="0" w:line="117"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agreement will expire concurrently with patent rights on a country-by-country basis. We may terminate the agreement by providing prior written notice to MDC, and MDC has the right to terminate the agreement if we materially breach the agreement and fail to cure such breach within a specified grace period.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Whitehead Institute for Biomedical Research</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February 2009, we entered into a license agreement with the Whitehead Institute for Biomedical Research, as amended in October 2009 and September 2010, for rights relating to compositions and methods for reprogramming somatic cells to a less differentiated or pluripotent state. Under our agreement with the Whitehead Institute, we acquired an exclusive royalty-bearing, sublicensable, worldwide license to make, use and sell licensed products in all fields for commercial purposes, excluding the sale or distribution of reagents for basic research use. The licensed patent rights are described in more detail above under “Intellectual Property Relating to iPSC Technology.” The Whitehead Institute retains the right to practice the patent rights for research, teaching and educational purposes, including in corporate-sponsored research under limited circumstances and in some cases only after obtaining our consent. The Whitehead Institute also retains the right to license other academic and non-profit research institutes to practice the patent rights for research, teaching and educational purposes, but not for corporate-sponsored research. Our license is also subject to pre-existing rights of the U.S. government.</w:t>
      </w:r>
    </w:p>
    <w:p>
      <w:pPr>
        <w:spacing w:after="0" w:line="84"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Under the terms of the license agreement, we are required to pay the Whitehead Institute an annual license maintenance fee during the term of the agreement, and are also required to make payments of up to $2.3 million for development and regulatory milestones achieved with respect to licensed products. If commercial sales of a licensed product commence, we will also be required to pay royalties at percentage rates in the low-single digits on net sales of licensed products. Our royalty payments are subject to reduction for any third-party payments required to be made until a minimum royalty percentage has been reached. In the event that we sublicense the patent rights, the Whitehead Institute is also entitled to receive a percentage of the sublicensing income received by us.</w:t>
      </w:r>
    </w:p>
    <w:p>
      <w:pPr>
        <w:spacing w:after="0" w:line="7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Under the license agreement with the Whitehead Institute, we are obligated to use commercially reasonable efforts to develop and commercialize licensed products, and to make licensed products or processes reasonably available to the public. In particular, we are required to commit a minimum amount of funding toward the development of a licensed product on an annual basis or conduct activities toward specific development milestones.</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agreement will continue until the abandonment of all patent rights or expiration of the last to expire licensed patent. The Whitehead Institute may terminate the agreement if we default in the performance of any of our obligations and fail to cure the default within a specified grace period, or if we institute a proceeding to challenge the patent rights. The Whitehead Institute may also terminate the agreement if we cease to carry out our business or become bankrupt or insolvent. We may terminate the agreement for any reason upon prior written notice to the Whitehead Institute and payment of all amounts due to the Whitehead Institute through the date of termination.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Scripps Research Institute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entered into various license agreements with The Scripps Research Institute (TSRI) for rights relating to compositions and methods for reprogramming somatic cells, including the use of various small molecule classes and compounds in the reprogramming and maintenance of iPSCs. Under our agreements with TSRI (the TSRI License Agreements), we acquired exclusive royalty-bearing, sublicensable, worldwide licenses to make, use and sell products covered by the licensed patent rights, and to perform licensed processes, in each case, in all fields. The licensed patent rights are described in more detail above under “Intellectual Property Relating to iPSC Technology.” TSRI retains a non-exclusive right to practice and use the patent rights for non-commercial educational and research purposes, and to license other academic and non-profit research institutions to practice the patent rights for internal basic research and education purposes. Under certain of our TSRI License Agreements, other third parties maintain a right to practice the patent rights for their internal use only. Our license is also subject to pre-existing rights of the U.S. government.</w:t>
      </w:r>
    </w:p>
    <w:p>
      <w:pPr>
        <w:spacing w:after="0" w:line="8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TSRI License Agreements, we are required to pay to TSRI annual minimum fees during the term of each agreement. Additionally, upon the achievement of specific regulatory and commercial milestones, we are required to make payments to TSRI of up to approximately $1.8 million under each of the TSRI License Agreements. We will also be required to pay TSRI royalties at percentage rates ranging in the low- to mid-single digits on net sales of licensed products. In the event that we sublicense the patent rights, TSRI is also entitled to receive a percentage of the sublicensing income received by us.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TSRI License Agreements, we are obligated to use commercially reasonable efforts to meet the development benchmarks set out in development plans under each of the TSRI License Agreements, or otherwise expend a minimum specified amount per year for product development. TSRI has the right to terminate any TSRI License Agreement if we fail to perform our obligations under the applicable agreement, including failure to meet any development benchmark or to use commercially reasonable efforts and due diligence to develop a licensed product, or if we otherwise breach the agreement, challenge the licensed patent rights, are convicted of a felony involving the development or commercialization of a licensed product or process, or become insolvent. We may terminate any of our TSRI License Agreements by providing ninety days’ written notice to TSRI. Each TSRI License Agreement otherwise terminates upon the termination of royalty obligations under such agreement.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Dana-Farber Cancer Institute (DFCI)</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April 2020, we entered into a license agreement with the DFCI for rights relating to novel antibody fragments that uniquely and specifically bind the alpha-3 domain of MICA/B. Under our license agreement with DFCI, we acquired an exclusive royalty-bearing, sublicensable, worldwide license to make, use and sell products covered by the licensed patent rights in the field of iPSC-derived cellular therapeutics for the treatment of human disease, and a non-exclusive royalty-bearing, sublicensable, worldwide license to make, use and sell products covered by the licensed patent rights in the field of cellular therapeutics for the treatment of human disease. DFCI retains the right to practice and to license to other academic, government and non-profit institutes to practice the patent rights for research, teaching and education purposes, as well as to license third parties to practice the patents rights to make or sell research reagents or other research tools solely for use in research. Our licenses are also subject to pre-existing rights of the U.S. government.</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license agreement, we are required to make minimum annual payments to DFCI throughout the term of the agreement. We also are required to make development, commercialization and sales milestones payments to DFCI of up to $25 million per licensed product. If commercial sales of a licensed product commence, we will pay DFCI royalties at percentage rates ranging in the low single digits on net sales of licensed products in countries where such product is protected by licensed patent rights. Our obligation to pay royalties continues on a country-by-country basis until the expiration of all licensed patent rights covering licensed products in such country, and our royalty payments will be reduced by other payments we are required to make to third parties in certain circumstances until a minimum royalty percentage has been reached. In the event that we sublicense the patent rights, DFCI is also entitled to receive a percentage of the sublicensing income received by us.</w:t>
      </w:r>
    </w:p>
    <w:p>
      <w:pPr>
        <w:spacing w:after="0" w:line="8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Under our agreement with DFCI, we are obligated to use reasonable efforts to develop and bring one or more licensed products to the marketplace through a program of development, production and distribution, including by meeting certain diligence benchmarks with respect to exclusively licensed products.</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agreement will continue until the expiration of the last to expire licensed patent. DFCI may terminate the agreement for cause, including if we default in the performance of any of our obligations and fail to cure the default within a specified grace period, if an officer of ours (or of an affiliate or sublicensee) is convicted of a felony related to the manufacture, use, sale or important or a licensed product, if we cease to carry out our business or become bankrupt or insolvent, and if we institute a proceeding to challenge the patent rights. DFCI may also terminate our exclusive license if we fail to materially comply with our diligence obligations. We may terminate the agreement for any reason in its entirety or on a product-by-product or country-by-country basis upon prior written notice to DFCI and payment of all amounts due to DFCI through the date of termination.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Baylor College of Medicine (BCM)</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April 2020, we entered into a license agreement with BCM for rights pertaining to a novel ADR that selectively targets activated T-cells to protect engineered allogeneic effector cells expressing the ADR from elimination in the host immune system. Under our agreement, we obtained an exclusive royalty-bearing, sublicensable, worldwide license to make, use and sell products covered by the licensed patent rights in the field of iPSC-derived cell products, including T-cells and NK cells derived from iPSCs engineered with ADRs. BCM retains the right to practice and license to other academic, government and research institutes for non-commercial research purposes. Our licenses are also subject to pre-existing rights of the U.S. government.</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license agreement, we are obligated to make a minimum annual royalty payment to BCM starting in 2024. We are also required to make development and regulatory milestone payments to BCM for the first three (3) distinct licensed products, where the milestone payments total up to $7 million for the first licensed product, and are reduced by fifty percent (50%) for each of the second and third licensed products. If commercial sales of a licensed product commence, we will pay BCM a low single-digit percentage royalty on net sales of licensed products in countries where the product is protected by licensed patent rights. Our obligation to pay royalties continues on a country-by-country basis until the expiration of all licensed patent rights in that country, with possible reductions for payments that we are required to make to third parties. In the event that we sublicense the patent rights, BCM is entitled to receive a percentage of our sublicensing income.</w:t>
      </w:r>
    </w:p>
    <w:p>
      <w:pPr>
        <w:spacing w:after="0" w:line="8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Under the license agreement, we are obligated to use reasonable efforts to develop and introduce licensed products to the commercial market including by meeting certain diligence timelines. These timelines are extendable by us for one year upon a one-time payment, subject to BCM’s discretion for further extensions.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license agreement remains in effect until the expiration of the last to expire licensed patent. BCM has the right to terminate the agreement if we materially default in the performance of any terms and fail to correct the default within a specified grace period after BCM’s written notice. Termination by BCM is also possible if we are subject to insolvency or similar proceedings, assignment of all or substantially all of our assets for the benefit of creditors, or the appointment of a trustee, in each case that are not dismissed, stayed or suspended within thirty (30) days following such events. We retain the right to terminate the agreement for any cause, upon prior written notice to BCM and payment of all amounts due to BCM under the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Off-the-shelf, Multiplexed-engineered, iPSC-derived Cellular Immunotherapies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manufacture of our off-the-shelf, multiplexed-engineered, iPSC-derived CAR T-cell and CAR NK cell product candidates involves a three-stage process:</w:t>
      </w:r>
    </w:p>
    <w:p>
      <w:pPr>
        <w:spacing w:after="0" w:line="54" w:lineRule="exact"/>
        <w:rPr>
          <w:sz w:val="20"/>
          <w:szCs w:val="20"/>
          <w:color w:val="auto"/>
        </w:rPr>
      </w:pPr>
    </w:p>
    <w:p>
      <w:pPr>
        <w:ind w:left="1020" w:right="10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stage is intended to generate a clonal master iPSC line and generally consists of the following steps: (i) obtain appropriately-consented healthy human donor cells, such as fibroblasts or hematopoietic cells, and conduct transfusion transmissible disease testing on the donor cells; (ii) induction of pluripotency in the donor cells using a proprietary transgene integration-free and footprint-free method of reprogramming; (iii) genetic engineering of iPSCs; and (iv) isolation and selection of a single iPSC, followed by clonal expansion of the single iPSC to produce a clonal master iPSC line for cell product manufacture.</w:t>
      </w:r>
    </w:p>
    <w:p>
      <w:pPr>
        <w:spacing w:after="0" w:line="75" w:lineRule="exact"/>
        <w:rPr>
          <w:rFonts w:ascii="Times New Roman" w:cs="Times New Roman" w:eastAsia="Times New Roman" w:hAnsi="Times New Roman"/>
          <w:sz w:val="18"/>
          <w:szCs w:val="18"/>
          <w:color w:val="auto"/>
        </w:rPr>
      </w:pPr>
    </w:p>
    <w:p>
      <w:pPr>
        <w:ind w:left="1020" w:right="120" w:hanging="503"/>
        <w:spacing w:after="0" w:line="24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stage is intended to derive the cell product population of interest and generally consists of the following steps: (i) expansion and differentiation of the clonal master iPSC line to produce CD34</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definitive hematopoietic progenitor cells; and (ii) further expansion and differentiation of these progenitor cells to produce the cell product population of interest.</w:t>
      </w:r>
    </w:p>
    <w:p>
      <w:pPr>
        <w:spacing w:after="0" w:line="90"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stage is intended to derive the final cell product and generally consists of the following steps: (i) washing the cell product population; (ii) formulating the cell product population in an infusion media for intravenous administration of the final cell product; and (iii) cryopreserving individual aliquots of the final cell product and storing these aliquots in single-dose infusion bags.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part of our manufacturing process, we endeavor to utilize current Good Manufacturing Process (cGMP) grade materials and reagents, if commercially available; however, certain critical materials and reagents are currently qualified for research use only. Additionally, we obtain key components required for the manufacture of our iPSC-derived cell product candidates from third-party manufacturers and suppliers, which include, in some instances, sole source manufacturers and suppliers. We do not currently have long-term commitments or supply agreements in place to obtain certain key components used in the manufacture of our iPSC-derived cell product candidates.</w:t>
      </w:r>
    </w:p>
    <w:p>
      <w:pPr>
        <w:spacing w:after="0" w:line="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currently operate a cGMP-compliant manufacturing facility for the production of our iPSC-derived cell product candidates for use in research, preclinical development, and clinical development. Our manufacturing facility is located in San Diego, California, and is custom designed for the production of off-the-shelf cell product candidates using clonal master iPSC lines as the starting cell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4" w:name="page25"/>
    <w:bookmarkEnd w:id="24"/>
    <w:p>
      <w:pPr>
        <w:ind w:right="40"/>
        <w:spacing w:after="0" w:line="266" w:lineRule="auto"/>
        <w:rPr>
          <w:sz w:val="20"/>
          <w:szCs w:val="20"/>
          <w:color w:val="auto"/>
        </w:rPr>
      </w:pPr>
      <w:r>
        <w:rPr>
          <w:rFonts w:ascii="Times New Roman" w:cs="Times New Roman" w:eastAsia="Times New Roman" w:hAnsi="Times New Roman"/>
          <w:sz w:val="18"/>
          <w:szCs w:val="18"/>
          <w:color w:val="auto"/>
        </w:rPr>
        <w:t>source. The state-of-the-art facility has been commissioned and qualified, and we have been issued drug manufacturing licenses for the facility by the State of California, Department of Health Services, Food and Drug Branch. We believe we are positioned to support manufacturing and production of our product candidates for all phases of clinical development as well as initial commercialization.</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also contract with third parties, including medical center cell therapy facilities and contract manufacturing organizations (CMOs), for the conduct of some of the activities required to manufacture our iPSC-derived cell product candidates for use in clinical investigation. We expect that we will continue to contract with third parties, including medical center cell therapy facilities and CMOs, for the conduct of certain of the activities required to manufacture our iPSC-derived cell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Market Access and Sales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currently intend to commercialize any products that we may successfully develop. We currently have no experience in marketing, market access or selling therapeutic products. We may need to further evaluate and generate evidence beyond what is generated in our clinical programs that would satisfy the needs of payers and healthcare technology assessment (HTA) bodies. To market any of our products independently would also require us to develop a sales force with technical expertise along with establishing commercial infrastructure and capabilities. Our commercial strategy for marketing our product candidates also may include the use of strategic partners, distributors, a contract sales force or the establishment of our own commercial infrastructure. We plan to further evaluate these alternatives as we approach approval for the first of our product candidates.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United States, the FDA regulates biological products under the Federal Food, Drug, and Cosmetic Act (the FDCA) and the Public Health Service Act (the PHS Act) and related regulations. Biological products are also subject to other federal, state, local, and foreign statutes and regulations. The FDA and comparable regulatory agencies in state and local jurisdictions and in foreign countries impose substantial requirements upon the clinical development, manufacture and marketing of biological products. These agencies and other federal, state, local, and foreign entities regulate research and development activities and the testing, manufacture, quality control, safety, effectiveness, packaging, labeling, storage, distribution, record keeping, reporting, approval or licensing, advertising and promotion, and import and export of our products. Failure to comply with the applicable U.S. regulatory requirements at any time during the product development process or after approval may subject an applicant to administrative or judicial sanctions. FDA sanctions include refusal to approve pending applications, withdrawal of an approval or suspension or revocation of a license, clinical hold, warning or untitled letters, voluntary or mandatory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As we have seen in recent years, different laws and regulations on the same topic may not always have the same requirements, and even when requirements overlap, the rules are not always consistently implemented, interpreted, and enforced from jurisdiction to jurisdiction. In addition, government regulation may delay or prevent marketing of product candidates for a considerable period of time and impose costly procedures upon our activities.</w:t>
      </w:r>
    </w:p>
    <w:p>
      <w:pPr>
        <w:spacing w:after="0" w:line="3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Marketing Approval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biological products may be marketed in the United States generally involves the following:</w:t>
      </w:r>
    </w:p>
    <w:p>
      <w:pPr>
        <w:spacing w:after="0" w:line="117" w:lineRule="exact"/>
        <w:rPr>
          <w:sz w:val="20"/>
          <w:szCs w:val="20"/>
          <w:color w:val="auto"/>
        </w:rPr>
      </w:pPr>
    </w:p>
    <w:p>
      <w:pPr>
        <w:ind w:left="1020" w:right="3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and animal tests according to good laboratory practices (GLPs) and applicable requirements for the humane use of laboratory animals or other applicable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protocol and related documentation by an independent institutional review board (IRB), or ethics committee at each clinical trial site before each trial may be initiated;</w:t>
      </w:r>
    </w:p>
    <w:p>
      <w:pPr>
        <w:spacing w:after="0" w:line="53"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good clinical practices (GCPs) and any additional requirements for the protection of human research subjects and their health information, to establish the safety and efficacy of the proposed biological product for its intended use or uses;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Biologics License Application (BLA) for marketing approval that includes substantive evidence of safety, purity, and potency from results of nonclinical testing and clinical trials;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25" w:name="page26"/>
    <w:bookmarkEnd w:id="25"/>
    <w:p>
      <w:pPr>
        <w:ind w:left="1020" w:right="2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manufacturing facilities where the product is produced to assess compliance with the FDA’s cGMPs to assure that the facilities, methods and controls are adequate, and, if applicable, current good tissue practices (cGTPs) for the use of human cellular and tissue products to prevent the introduction, transmission or spread of communicable diseases;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study sites and clinical trial sites that generated the data in support of the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where appropriate, if applicable;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(unless fee waiver applies);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 which must occur before a biological product can be marketed or sold.</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Products and Drug Development Process</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Before testing any biological product candidate in humans, nonclinical tests, including laboratory evaluations and animal studies to assess the potential safety and activity of the product candidate, are conducted. The conduct of the nonclinical tests must comply with federal regulations and requirements including GLPs.</w:t>
      </w:r>
    </w:p>
    <w:p>
      <w:pPr>
        <w:spacing w:after="0" w:line="6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Prior to commencing the first clinical trial, the trial sponsor must submit the results of the nonclinical tests, together with manufacturing information, analytical data, any available clinical data or literature and a proposed clinical protocol, to the FDA as part of an initial IND application. Some nonclinical testing may continue even after the IND application is submitted. The IND application automatically becomes effective 30 days after receipt by the FDA unless the FDA, within the 30-day time period, raises concerns or questions about the conduct of the clinical trial and places the trial on a clinical hold. In such case, the sponsor of the IND application must resolve any outstanding concerns with the FDA before the clinical trial may begin. The FDA also may impose a clinical hold on ongoing clinical trials due to safety concerns or non-compliance. If a clinical hold is imposed, a trial may not recommence without FDA authorization and then only under terms authorized by the FDA. A clinical hold may either be a full clinical hold or a partial clinical hold that would limit a trial, for example, to certain doses or for a certain length of time or to a certain number of subjects. Further, an independent IRB for each site proposing to conduct the clinical trial must review and approve the plan for any clinical trial before it commences at that site. An IRB is charged with protecting the welfare and rights of study subjects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trial and may recommend halting the clinical trial if it determines that there is an unacceptable safety risk for subjects or other grounds, such as no demonstration of efficacy.</w:t>
      </w:r>
    </w:p>
    <w:p>
      <w:pPr>
        <w:spacing w:after="0" w:line="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healthy volunteers or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rules that assure a clinical trial will be stopped if certain adverse events occur. Each protocol and any amendments to the protocol must be submitted to the FDA and to the IRB. Information about certain clinical studies must be submitted with specific timeframes to the National Institutes of Health for public dissemination at www.clinicaltrials.gov.</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w:t>
      </w:r>
    </w:p>
    <w:p>
      <w:pPr>
        <w:spacing w:after="0" w:line="117" w:lineRule="exact"/>
        <w:rPr>
          <w:sz w:val="20"/>
          <w:szCs w:val="20"/>
          <w:color w:val="auto"/>
        </w:rPr>
      </w:pPr>
    </w:p>
    <w:p>
      <w:pPr>
        <w:ind w:left="1020" w:right="1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investigational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 These trials may also provide early evidence on effectiveness.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2—These trials are conducted in a limited number of patients in the target population to identify possible adverse effects and safety risks, to preliminarily evaluate the efficacy of the product for specific targeted diseases and to determine dosage tolerance and optimal dosage. Multiple Phase 2 clinical trials may be conducted by the sponsor to obtain information prior to beginning larger and more expensive Phase 3 clinical trials.</w:t>
      </w:r>
    </w:p>
    <w:p>
      <w:pPr>
        <w:spacing w:after="0" w:line="71" w:lineRule="exact"/>
        <w:rPr>
          <w:rFonts w:ascii="Times New Roman" w:cs="Times New Roman" w:eastAsia="Times New Roman" w:hAnsi="Times New Roman"/>
          <w:sz w:val="18"/>
          <w:szCs w:val="18"/>
          <w:color w:val="auto"/>
        </w:rPr>
      </w:pPr>
    </w:p>
    <w:p>
      <w:pPr>
        <w:ind w:left="1020" w:right="60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3—Phase 3 trials are undertaken to provide statistically significant evidence of clinical efficacy and to further evaluate dosage, potency, and safety in an expanded patient population at multiple clinical trial sites. They are performed after preliminary evidence suggesting effectiveness of the product has been obtained, and are intended to establish the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26" w:name="page27"/>
    <w:bookmarkEnd w:id="26"/>
    <w:p>
      <w:pPr>
        <w:ind w:left="1020"/>
        <w:spacing w:after="0"/>
        <w:rPr>
          <w:sz w:val="20"/>
          <w:szCs w:val="20"/>
          <w:color w:val="auto"/>
        </w:rPr>
      </w:pPr>
      <w:r>
        <w:rPr>
          <w:rFonts w:ascii="Times New Roman" w:cs="Times New Roman" w:eastAsia="Times New Roman" w:hAnsi="Times New Roman"/>
          <w:sz w:val="18"/>
          <w:szCs w:val="18"/>
          <w:color w:val="auto"/>
        </w:rPr>
        <w:t>overall benefit-risk relationship of the investigational product, and to provide an adequate basis for product approval and physician labeling.</w:t>
      </w:r>
    </w:p>
    <w:p>
      <w:pPr>
        <w:spacing w:after="0" w:line="117" w:lineRule="exact"/>
        <w:rPr>
          <w:sz w:val="20"/>
          <w:szCs w:val="20"/>
          <w:color w:val="auto"/>
        </w:rPr>
      </w:pPr>
    </w:p>
    <w:p>
      <w:pPr>
        <w:ind w:left="1020" w:right="60" w:hanging="503"/>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4—In some cases, the FDA may condition approval of a BLA for a product candidate on the sponsor’s agreement to conduct additional clinical studies to further assess the candidate’s safety and effectiveness after approval. Such post-approval trials are typically referred to as Phase 4 clinical trials. The FDA has statutory authority to require post-market clinical trials to address safety issues. A sponsor may also voluntarily conduct additional clinical studies after approval to gain more information about their product. All of these trials must be conducted in accordance with GCP requirements in order for the data to be considered reliable for regulatory purposes.</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Within 15 calendar days after the sponsor determines that the information qualifies for reporting, written IND safety reports must be submitted to the FDA and the investigators for serious and unexpected adverse events; any findings from other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or any clinically important increase in the rate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Regulatory authorities, a data safety monitoring board or the sponsor may suspend a clinical trial at any time on various grounds, including a finding that the participants are being exposed to an unacceptable health risk. Similarly, an IRB can suspend or terminate approval of a clinical trial at its institution if the trial is not being conducted in accordance with the IRB’s requirements or if the investigated product has been associated with unexpected serious harm to patients, and the trial may not recommence without the IRB’s authorization.</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Typically, if a product is intended to treat a chronic disease, safety and efficacy data must be gathered over an extended period of time, which can range from six months to three years or more.</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Concurrently with clinical trials, companies usually complete additional animal studies and must also develop additional information about the physical characteristics of the investigational product and finalize a process for manufacturing the product in commercial quantities in accordance with cGMP requirements. To help reduce the risk of the introduction of adventitious agents with the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drug being studied in clinical trials may be made available to individual patients in certain circumstances. Pursuant to the 21st Century Cures Act (the Cures Act), as amended, the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RMAT. Further, the Right to Try Act of 2017 among other things, provides a federal framework for certain patients to request access to certain IND products that have completed a Phase 1 clinical trial and that are undergoing investigation for FDA approval. There is no obligation for a pharmaceutical manufacturer to make its drug products available to eligible patients as a result of the Right to Try Act. We review each individual request for access through the Cures Act, the Right to Try Act and similar state laws, and may or may not provide access depending upon the facts of each request.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order to obtain approval to market a biological product in the United States, a BLA must be submitted to the FDA that provides data establishing to the FDA’s satisfaction the safety, purity and potency of the investigational product for the proposed indication. A BLA includes all data available from nonclinical studies and clinical trials, together with detailed information relating to the product’s manufacture and composition, and proposed labeling.</w:t>
      </w:r>
    </w:p>
    <w:p>
      <w:pPr>
        <w:spacing w:after="0" w:line="6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Under the Prescription Drug User Fee Act (PDUFA), as amended, each BLA must be accompanied by a user fee. PDUFA also imposes an annual prescription drug product program fee for biologics and drugs. The FDA adjusts the PDUFA user fees on an annual basis. Fee waivers or reductions are available in certain circumstances, including a waiver of the application fee for the first application filed by a small business having fewer than 500 employees. Additionally, no user fees are assessed on BLAs for products designated as orphan drugs, unless the product also includes a non-orphan indication.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27" w:name="page28"/>
    <w:bookmarkEnd w:id="27"/>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FDA has 60 days from its receipt of a BLA to determine whether the application will be accepted for filing based on the agency’s threshold determination that the application is sufficiently complete to permit substantive review.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After the BLA submission is accepted for filing, the FDA reviews the BLA to determine, among other things, whether the proposed product is safe and effective for its intended use, and has an acceptable purity profile, and whether the product is being manufactured in accordance with cGMPs to assure and preserve the product’s identity, safety, strength, quality, potency, and purity, and for a biological product, whether it meets the biological product standards. The FDA may refer applications for novel products or products that present difficult questions of safety or efficacy to an advisory committee, typically comprised of clinicians and other experts, for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human cellular or tissue product, the FDA also will not approve the product if the manufacturer is not in compliance with cGTPs. FDA regulations also require tissue establishments to register and list their human cells, tissues, and cellular and tissue based products (HCT/Ps) with the FDA and, when applicable, to evaluate donors through screening and testing. Additionally, before approving a BLA, the FDA may inspect clinical sites to assure that the clinical trials were conducted in compliance with IND study requirements and GCPs. If the FDA determines the manufacturing process or manufacturing facilities are not acceptable, it typically will outline the deficiencies and often will require the facility to take corrective action and provide documentation evidencing the implementation of such corrective action, which may delay further review of the application. If the FDA finds that a clinical site did not conduct the clinical trial in accordance with GCPs, the FDA may determine the data generated by the site should be excluded from the primary efficacy analyses provided in the BLA, and request additional testing or data. Additionally, the FDA ultimately may still decide that the application does not satisfy the regulatory criteria for approval.</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 also has authority to require a Risk Evaluation and Mitigation Strategy (REMS) from manufacturers to ensure that the benefits of a biological product outweigh its risks. A sponsor may also voluntarily propose a REMS as part of the BLA submission. The need for a REMS is determined as part of the review of the BLA. Based on statutory standards, elements of a REMS may include “dear doctor letters,” a medication guide, more elaborate targeted educational programs, and in some cases restrictions on distribution. These elements are negotiated as part of the BLA approval, and in some cases may delay the approval date. Once adopted, REMS are subject to periodic assessment and modification.</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After the FDA completes its initial review of a BLA, it will communicate to the sponsor that the biological product will either be approved, or it will issue a complete response letter to communicate that the BLA will not be approved in its current form. The complete response letter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to address all of the deficiencies identified in the letter, or withdraw the application, or request a hearing.</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One of the performance goals of the FDA under PDUFA is to review 90% of standard BLAs in 10 months of the 60-day filing date and 90% of priority BLAs in six months of the 60-day filing date, whereupon a review decision is to be made. The FDA does not always meet its PDUFA goal dates for standard and priority BLAs and its review goals are subject to change from time to time. The review process and the PDUFA goal data may be extended in certain circumstances, such as by three months if a major amendment is submitted at any time during the review cycle.</w:t>
      </w:r>
    </w:p>
    <w:p>
      <w:pPr>
        <w:spacing w:after="0" w:line="7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Even if a product candidate receives regulatory approval, the approval may be limited to specific disease states, patient populations and dosages, or the indications for use may otherwise be limited.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Phase 4 post-marketing clinical trials and testing and surveillance programs to monitor the safety of approved products that have been commercialized. Further, even after regulatory approval is obtained, later discovery of previously unknown problems with a product may result in the imposition of new restrictions on the product or complete withdrawal of the product from the market.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Products manufactured or distributed pursuant to FDA approvals are subject to continuing regulation by the FDA, including, among other things, requirements relating to monitoring, record-keeping, advertising and promotion, reporting of adverse experiences, and limitations on industry-sponsored scientific and educational activities. Further, if there are any modifications to the drug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8" w:name="page29"/>
    <w:bookmarkEnd w:id="28"/>
    <w:p>
      <w:pPr>
        <w:ind w:right="480"/>
        <w:spacing w:after="0" w:line="282" w:lineRule="auto"/>
        <w:rPr>
          <w:sz w:val="20"/>
          <w:szCs w:val="20"/>
          <w:color w:val="auto"/>
        </w:rPr>
      </w:pPr>
      <w:r>
        <w:rPr>
          <w:rFonts w:ascii="Times New Roman" w:cs="Times New Roman" w:eastAsia="Times New Roman" w:hAnsi="Times New Roman"/>
          <w:sz w:val="18"/>
          <w:szCs w:val="18"/>
          <w:color w:val="auto"/>
        </w:rPr>
        <w:t>biologic, including changes in indications, labeling or manufacturing processes or facilities, the applicant may be required to submit and obtain FDA approval of a new BLA or a BLA supplement, which may require the development of additional data or preclinical studies and clinical trials.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FDA regulations require that approved products be manufactured in specific approved facilities and in accordance with cGMP regulations which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and those supplying products, ingredients, and components of them, are required to register their establishments with the FDA and certain state agencies, and are subject to periodic announced and unannounced inspections by the FDA and certain state agencies for compliance with cGMP requirements and other regulatory requirements. Accordingly, manufacturers must continue to expend time, money and effort in the area of production and quality control to maintain cGMP compliance. The discovery of violative conditions, including failure to conform to cGMP regulations, could result in enforcement actions.</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does not regulate behavior of physicians in their choice of treatments and physicians may legally prescribe available products for uses that are not described in the product’s labeling and that differ from those approved by the FDA. However, the FDA does restrict an applicant’s communications on the subject of off-label use of their products. The FDA and other agencies actively enforce the laws prohibiting the marketing and promotion of off-label uses, and a company that is found to have improperly marketed or promoted off-label use may be subject to significant liability, including criminal and civil penalties under the FDCA and False Claims Act, exclusion from participation in federal healthcare programs, and mandatory compliance programs.</w:t>
      </w:r>
    </w:p>
    <w:p>
      <w:pPr>
        <w:spacing w:after="0" w:line="8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restrictions on a product, and judicial or administrative enforcement.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demonstrate the potential to address an unmet medical need in the treatment of a serious or life-threatening disease or condition for which there is no effective treatment. These programs are referred to as fast track designation, priority review, accelerated approval, breakthrough therapy designation, and regenerative advanced therapy designation.</w:t>
      </w:r>
    </w:p>
    <w:p>
      <w:pPr>
        <w:spacing w:after="0" w:line="6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Fast Track Designation. </w:t>
      </w:r>
      <w:r>
        <w:rPr>
          <w:rFonts w:ascii="Times New Roman" w:cs="Times New Roman" w:eastAsia="Times New Roman" w:hAnsi="Times New Roman"/>
          <w:sz w:val="18"/>
          <w:szCs w:val="18"/>
          <w:color w:val="auto"/>
        </w:rPr>
        <w:t>The FDA may grant “fast track” status to product candidates that are intended to treat serious or life-threatening diseases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demonstrate the potential to address an unmet medical need for the condition. Fast track is a process designed to facilitate the development and expedite the review of such product candidates by providing, among other things, more frequent meetings with the FDA to discuss the product candidate’s development plan and rolling review, which allows submission of individually completed sections of an BLA for FDA review before the entire submission is completed. Fast track designation applies to the combination of the product and the specific indication for which it is being studied. The sponsor of a product candidate may request the FDA to designate the product as a fast track product at any time during clinical development. Fast track status does not ensure that a product will be developed more quickly or receive FDA approval. In addition, the fast track designation may be withdrawn by the FDA if the FDA believes that the designation is no longer supported by data emerging in the clinical trial process, or if the designated drug development program is no longer being pursued.</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Priority Review. </w:t>
      </w:r>
      <w:r>
        <w:rPr>
          <w:rFonts w:ascii="Times New Roman" w:cs="Times New Roman" w:eastAsia="Times New Roman" w:hAnsi="Times New Roman"/>
          <w:sz w:val="18"/>
          <w:szCs w:val="18"/>
          <w:color w:val="auto"/>
        </w:rPr>
        <w:t>The FDA may give a priority review designation to a product candidate if it has the potential to provide safe and effective therapy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no satisfactory alternative therapy exists or to provide a significant improvement in the treatment, diagnosis or prevention of a disease compared to marketed products. Priority review is intended to reduce the time it takes for the FDA to review a BLA, with the goal to take action on the application within six months from when the application is filed, compared to ten months for a standard review. The FDA will attempt to direct additional resources to the evaluation of an application for a biological product or drug designated for priority review in an effort to facilitate the review.</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Accelerated Approval. </w:t>
      </w:r>
      <w:r>
        <w:rPr>
          <w:rFonts w:ascii="Times New Roman" w:cs="Times New Roman" w:eastAsia="Times New Roman" w:hAnsi="Times New Roman"/>
          <w:sz w:val="18"/>
          <w:szCs w:val="18"/>
          <w:color w:val="auto"/>
        </w:rPr>
        <w:t>Additionally, a product may be eligible for accelerated approval. Drug or biological products studied for their safety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or drug receiving accelerated approval perform adequate and well-controlled</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29" w:name="page30"/>
    <w:bookmarkEnd w:id="29"/>
    <w:p>
      <w:pPr>
        <w:ind w:right="40"/>
        <w:spacing w:after="0" w:line="258" w:lineRule="auto"/>
        <w:rPr>
          <w:sz w:val="20"/>
          <w:szCs w:val="20"/>
          <w:color w:val="auto"/>
        </w:rPr>
      </w:pPr>
      <w:r>
        <w:rPr>
          <w:rFonts w:ascii="Times New Roman" w:cs="Times New Roman" w:eastAsia="Times New Roman" w:hAnsi="Times New Roman"/>
          <w:sz w:val="18"/>
          <w:szCs w:val="18"/>
          <w:color w:val="auto"/>
        </w:rPr>
        <w:t>post-marketing clinical trials with due diligence and, under the Food and Drug Omnibus Reform Act of 2022 (FDORA), the FDA is now permitted to require, as appropriate, that such trials be underway prior to approval or within a specific time period after the date of approval for a product granted accelerated approval. In addition, the FDA currently requires, unless otherwise informed by the agency, pre-approval of promotional materials for products being considered for accelerated approval. Under FDORA, the FDA has increased authority for expedited procedures to withdraw approval of a drug or indication approved under accelerated approval if, for example, the confirmatory trial fails to verify the predicted clinical benefit of the product.</w:t>
      </w:r>
    </w:p>
    <w:p>
      <w:pPr>
        <w:spacing w:after="0" w:line="7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Breakthrough Therapy Designation. </w:t>
      </w:r>
      <w:r>
        <w:rPr>
          <w:rFonts w:ascii="Times New Roman" w:cs="Times New Roman" w:eastAsia="Times New Roman" w:hAnsi="Times New Roman"/>
          <w:sz w:val="18"/>
          <w:szCs w:val="18"/>
          <w:color w:val="auto"/>
        </w:rPr>
        <w:t>A product candidate intended to treat a serious or life-threatening disease or condition may also be eligible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breakthrough therapy designation if preliminary clinical evidence indicates that it may demonstrate substantial improvement over existing therapies on one or more clinically significant endpoints. If so designated, the FDA will expedite the development and review of the product candidate’s marketing application, including by meeting with, and providing advice to, the sponsor throughout the product candidate’s development, and taking steps to facilitate an efficient review of the development program and to ensure that the design of the clinical trials is as efficient as practicable.</w:t>
      </w:r>
    </w:p>
    <w:p>
      <w:pPr>
        <w:spacing w:after="0" w:line="75"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RMAT Designation. </w:t>
      </w:r>
      <w:r>
        <w:rPr>
          <w:rFonts w:ascii="Times New Roman" w:cs="Times New Roman" w:eastAsia="Times New Roman" w:hAnsi="Times New Roman"/>
          <w:sz w:val="17"/>
          <w:szCs w:val="17"/>
          <w:color w:val="auto"/>
        </w:rPr>
        <w:t>As part of the Cures Act, Congress amended the FDCA to create an accelerated approval program for regenerative advanced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therapies. To qualify for this program, and be granted regenerative advanced medicine therapy (RMAT) designation, a product must be a cell therapy, therapeutic tissue engineering product, human cell and tissue product, or a combination of such products, and not a product solely regulated as a human cell and tissue product. This program is intended to facilitate efficient development and expedite review of regenerative advanced therapies, which are intended to treat, modify, reverse, or cure a serious or life-threatening disease or condition and preliminary clinical evidence must indicate that the product candidate has the potential to address an unmet need for such disease or condition. A BLA for a product candidate that has received RMAT designation may be eligible for priority review or accelerated approval through (1) surrogate or intermediate endpoints reasonably likely to predict long-term clinical benefit or</w:t>
      </w:r>
    </w:p>
    <w:p>
      <w:pPr>
        <w:spacing w:after="0" w:line="4" w:lineRule="exact"/>
        <w:rPr>
          <w:sz w:val="20"/>
          <w:szCs w:val="20"/>
          <w:color w:val="auto"/>
        </w:rPr>
      </w:pPr>
    </w:p>
    <w:p>
      <w:pPr>
        <w:ind w:right="140" w:firstLine="8"/>
        <w:spacing w:after="0" w:line="253"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upon data obtained from a meaningful number of sites. Benefits of such designation also include early interactions with FDA to discuss any potential surrogate or intermediate endpoint to be used to support accelerated approval. A designated RMAT product candidate that is granted accelerated approval and is subject to post approval requirements may fulfill such requirements through the submission of clinical evidence, clinical studies, patient registries, or other sources of real world evidence, such as electronic health records; the collection of larger confirmatory data sets; or post approval monitoring of all patients treated with such therapy prior to its approval.</w:t>
      </w:r>
    </w:p>
    <w:p>
      <w:pPr>
        <w:spacing w:after="0" w:line="7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Designated Platform Technology Status. </w:t>
      </w:r>
      <w:r>
        <w:rPr>
          <w:rFonts w:ascii="Times New Roman" w:cs="Times New Roman" w:eastAsia="Times New Roman" w:hAnsi="Times New Roman"/>
          <w:sz w:val="18"/>
          <w:szCs w:val="18"/>
          <w:color w:val="auto"/>
        </w:rPr>
        <w:t>Under FDORA, a platform technology incorporated within or utilized by a drug or biological product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for designation as a designated platform technology if (1) the platform technology is incorporated in, or utilized by, a drug approved under a BLA or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for a drug that uses or incorporates the platform technology. Designated platform technology status does not ensure that a drug will be developed more quickly or receive FDA approval. In addition, the FDA may revoke a designation if the FDA determines that a designated platform technology no longer meets the criteria for such designation.</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RTOR. </w:t>
      </w:r>
      <w:r>
        <w:rPr>
          <w:rFonts w:ascii="Times New Roman" w:cs="Times New Roman" w:eastAsia="Times New Roman" w:hAnsi="Times New Roman"/>
          <w:sz w:val="18"/>
          <w:szCs w:val="18"/>
          <w:color w:val="auto"/>
        </w:rPr>
        <w:t>The FDA may review applications for oncology products under Real-Time Oncology Review (RTOR) established by the FDA’s Oncology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of Excellence. RTOR, which allows an applicant to pre-submit components of the application to allow the FDA to review clinical data before the complete filing is submitted, aims to explore a more efficient review process to ensure that safe and effective treatments are available to patients as early as possible, while maintaining and improving review quality. Products considered for review under RTOR must, among other things, be likely to demonstrate substantial improvements on a clinically relevant endpoint(s) over available therapy, and must have easily interpreted endpoints. In addition, no aspect of the application should be likely to require a longer review time, such as, for example, a requirement for a REMS. To determine eligibility for RTOR, the FDA requires top-line efficacy and safety results from an applicant’s pivotal clinical trial(s), as well as completion of database lock for the clinical trial(s). The FDA will generally make a decision regarding acceptance into RTOR within twenty (20) business days of receipt of the request from the applicant. If an applicant is not accepted into RTOR, the applicant will follow routine application submission procedures.</w:t>
      </w:r>
    </w:p>
    <w:p>
      <w:pPr>
        <w:spacing w:after="0" w:line="8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Fast Track designation, priority review, accelerated approval, breakthrough therapy designation, RMAT designation, designated platform technology status, and RTOR do not change the standards for approval but may expedite the development or approval process. Moreover, even if a product candidate or platform technology qualifies for one or more of these programs, the FDA may later decide that the product candidate or platform technology no longer meets the conditions for qualification or decide that the time period for FDA review or approval will not be shortened.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certain circumstances, U.S. patents may be eligible for limited patent term extension under the Drug Price Competition and Patent Term Restoration Act of 1984, commonly referred to as the Hatch-Waxman Amendments. Patent term restoration can compensate for time lost during product development and the regulatory review process by returning up to five years of patent life for a patent that covers a new product or its use. However, patent term restoration cannot extend the remaining term of a patent beyond a total of 14 years from the product’s approval date. The period of patent term restoration is generally one-half the time between the effective date of an IND application (falling after issuance of the patent) and the submission date of a BLA, plus the time between the submission date of the BLA and the approval of that application, provided the sponsor acted with diligence. Only one patent applicable to an approved product is eligible for the extension and the application for the extension must be submitted prior to the expiration of the patent. The application for patent term extension is subject to approval by the U.S. Patent and Trademark Office in consultation with the FDA. A patent term extension is only available when the FDA approves a biological product or drug for the first time.</w:t>
      </w:r>
    </w:p>
    <w:p>
      <w:pPr>
        <w:spacing w:after="0" w:line="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With the Hatch-Waxman Amendments, Congress authorized the FDA to approve generic drugs that are the same as drugs previously approved by the FDA under the NDA provisions of the FDCA. To obtain approval of a generic drug, an applicant must submit to the agency an abbreviated new drug application (ANDA) which relies on the preclinical and clinical testing previously conducted for a drug approved under an NDA, known as the reference listed drug (RLD). For the ANDA to be approved, the FDA must find that the generic version is identical to the RLD with respect to the active ingredients, the route of administration, the dosage form, and the strength of the drug. The FDA must also determine that the generic drug is bioequivalent to the innovator drug.</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An abbreviated approval pathway for biological products shown to be biosimilar to, or interchangeable with, an FDA-licensed reference biological product was created by the Biologics Price Competition and Innovation Act of 2009, which was part of the Patient Protection and Affordable Care Act of 2010 (ACA).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biological product is biosimilar to the reference biological product and the product must demonstrate that it can be expected to produce the same clinical results as the reference product and, for products administered multiple times, the product and the reference product may be switched after one has been previously administered without increasing safety risks or risks of diminished efficacy relative to exclusive use of the reference biological product.</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 reference biological product is granted twelve years of exclusivity from the time of first licensure of the reference product. The first biological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75"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A biological product or drug can obtain pediatric market exclusivity in the United States. Pediatric exclusivity, if granted, adds six months to existing exclusivity periods for all formulations, dosage forms, and indications of the active moiety or the biological period and, for drugs, patent terms. This six-month exclusivity, which runs from the end of other exclusivity protection or, for drugs, patent term,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biological products and drugs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or drug in the United States for this type of disease or condition will be recovered from sales of the product. Orphan drug designation must be requested before submitting a BLA. After the FDA grants orphan drug designation, the identity of the applicant, the name of the therapeutic agent and its designated orphan use are disclosed publicly by the FDA. Orphan drug designation does not convey any advantage in, or shorten the duration of, the regulatory review and approval process.</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a biological product or drug that receives orphan drug designation is the first such product approved by FDA for the orphan indication, it receives orphan product exclusivity, which for seven years prohibits the FDA from approving another application to market the same product for the same indication. Orphan product exclusivity will not bar approval of another product under certain circumstances, including if the new product is shown to be clinically superior to the approved product on the basis of greater efficacy or safety or a demonstration that the new product otherwise makes a major contribution to patient care. More than one product may also be approved by the FDA for the same orphan indication or disease as long as the products are different. If a biological product or drug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Pediatric Research Equity Act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(PREA), as amended, a BLA or supplement must contain data to assess the safety and effectiveness of the biological product or drug for the claimed indications in all relevant pediatric subpopulations and to support dosing and administration for each pediatric subpopulation for which the product is safe and effective. The intent of the PREA is to compel sponsors whose products have pediatric applicability to study those products in pediatric populations. The FDCA requires manufacturers of biological products and drugs that include a new active ingredient, new indication, new dosage form, new dosing regimen or new route of administration to submit a pediatric study plan to the FDA as part of the IND application. The plan must be submitted not later than 60 days after the end-of-Phase 2 meeting with the FDA; or if there is no such meeting, before the initiation of any Phase 3 trials or a combined Phase 2 and Phase 3 trial; or if no such trial will be conducted, no later than 210 days before submitting a marketing application or supplement. The FDA may grant deferrals for submission of data or full or partial waivers. Generally, the PREA does not apply to any biological product or drug for an indication for which orphan designation has been granted.</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Sales of our products, when and if approved,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Additionally, coverage determinations often require generating additional evidence related, for example, to the relative costs and benefits of new therapies versus standard of care – which goes beyond the data able to be generated within our clinical programs. Patients are unlikely to use our products unless coverage is provided and reimbursement is adequate to cover a significant portion of their cost.</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for example, principal decisions about reimbursement for new products are typically made by the Centers for Medicare &amp; Medicaid Services (CMS), which decides whether and to what extent a new product will be covered and reimbursed under Medicare.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coverage determination is often a time-consuming and costly process that will require us to provide scientific and clinical support for the use of our products to each payor separately, with no assurance that coverage and adequate reimbursement will be obtained. Further, coverage policies and third-party payor reimbursement rates may change at any time. Even if favorable coverage and reimbursement status is attained, less favorable coverage policies and reimbursement rates may be implemented in the future.</w:t>
      </w:r>
    </w:p>
    <w:p>
      <w:pPr>
        <w:spacing w:after="0" w:line="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biosimilars for branded prescription drugs.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Increasingly, third-party payors are also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w:t>
      </w:r>
    </w:p>
    <w:p>
      <w:pPr>
        <w:spacing w:after="0" w:line="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and Other Regulatory Changes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For example, in 2010, the Patient Protection and Affordable Care Act, as amended by the Health Care and Education Reconciliation Act, each as amended, collectively known as the ACA was enacted in the United States. The ACA includes measures that have significantly changed, and are expected to continue to significantly change, the way healthcare is financed by both governmental and private insurers. The ACA contained a number of provisions, including those governing enrollment in federal healthcare programs, reimbursement adjustments and changes to fraud and abuse laws. Among the provisions of the ACA of greatest importance to the pharmaceutical industry are that the ACA:</w:t>
      </w:r>
    </w:p>
    <w:p>
      <w:pPr>
        <w:spacing w:after="0" w:line="75"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biological products to potential competition by biosimilars;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several changes to the Medicaid Drug Rebate Program, including increasing pharmaceutical manufacturers’ rebate liability;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a manufacturer’s Medicaid rebate liability to covered drugs dispensed to individuals who are enrolled in Medicaid managed care organizations.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include the following:</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 Control Act of 2011, among other things, created measures for spending reductions by Congress. This includes aggregate reductions of Medicare payments to providers of 2% per fiscal year. Subsequent legislation extended the 2% reduction which remains in effect through 2031.</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2013, the American Taxpayer Relief Act of 2012 was signed into law, which further reduced Medicare payments to several types of providers and increased the statute of limitations period for the government to recover overpayments to providers from three to five years.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2019, CMS published a final rule to allow Medicare Advantage Plans the option of using step therapy for Part B drugs beginning January 1, 2020.</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2021, President Biden signed the American Rescue Plan Act of 2021 into law, which eliminated the statutory Medicaid drug rebate cap, previously set at 100% of a drug’s average manufacturer price, for single source and innovator multiple source drugs, effective January 1, 2024. Due to the Statutory Pay-As-You-Go Act of 2010, estimated budget deficit increases resulting from the American Rescue Plan Act of 2021, and subsequent legislation, Medicare payments to providers were further reduced starting on January 1, 2025; however, legislation has been introduced in the U.S. Congress that would, if enacted, reverse these payment reductions. These laws and regulations may result in additional reductions in Medicare and other healthcare funding available for healthcare providers and may otherwise affect the prices we may obtain for any of our product candidates for which we may obtain regulatory approval or the frequency with which any such product candidate is prescribed or used.</w:t>
      </w:r>
    </w:p>
    <w:p>
      <w:pPr>
        <w:spacing w:after="0" w:line="83" w:lineRule="exact"/>
        <w:rPr>
          <w:rFonts w:ascii="Times New Roman" w:cs="Times New Roman" w:eastAsia="Times New Roman" w:hAnsi="Times New Roman"/>
          <w:sz w:val="18"/>
          <w:szCs w:val="18"/>
          <w:color w:val="auto"/>
        </w:rPr>
      </w:pPr>
    </w:p>
    <w:p>
      <w:pPr>
        <w:jc w:val="both"/>
        <w:ind w:left="1020" w:hanging="503"/>
        <w:spacing w:after="0" w:line="253"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Inflation Reduction Act of 2022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84"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33" w:name="page34"/>
    <w:bookmarkEnd w:id="33"/>
    <w:p>
      <w:pPr>
        <w:ind w:right="20"/>
        <w:spacing w:after="0" w:line="258" w:lineRule="auto"/>
        <w:rPr>
          <w:sz w:val="20"/>
          <w:szCs w:val="20"/>
          <w:color w:val="auto"/>
        </w:rPr>
      </w:pPr>
      <w:r>
        <w:rPr>
          <w:rFonts w:ascii="Times New Roman" w:cs="Times New Roman" w:eastAsia="Times New Roman" w:hAnsi="Times New Roman"/>
          <w:sz w:val="18"/>
          <w:szCs w:val="18"/>
          <w:color w:val="auto"/>
        </w:rPr>
        <w:t>programs, reduce the costs of drugs under Medicare and reform government program reimbursement methodologies for drug products. At a federal level, President Trump reversed some of President Biden's executive orders including rescinding Executive Order 14087 entitled "Lowering Prescription Drug Costs for Americans." President Trump may issue new executive orders designed to impact drug pricing. A number of these and other proposed measures may require authorization through additional legislation to become effective. Congress and the Trump administration have indicated that they will continue to seek new legislative measures to control drug costs.</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Arrangements with third-party payors and customers can expose pharmaceutical manufactures to broadly applicable fraud and abuse and other healthcare laws and regulations, including, without limitation, the federal Anti-Kickback Statute and the federal False Claims Act (FCA) which may constrain the business or financial arrangements and relationships through which companies research, sell, market and distribute pharmaceutical products. In addition, transparency laws and patient privacy laws can apply to the activities of pharmaceutical manufactures. The applicable federal, state and foreign healthcare laws and regulations that can affect a pharmaceutical company’s operations include without limitation:</w:t>
      </w:r>
    </w:p>
    <w:p>
      <w:pPr>
        <w:spacing w:after="0" w:line="84" w:lineRule="exact"/>
        <w:rPr>
          <w:sz w:val="20"/>
          <w:szCs w:val="20"/>
          <w:color w:val="auto"/>
        </w:rPr>
      </w:pPr>
    </w:p>
    <w:p>
      <w:pPr>
        <w:ind w:left="1020" w:right="20" w:hanging="503"/>
        <w:spacing w:after="0" w:line="253"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FCA or federal civil monetary penalties.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but such exceptions and safe harbors are drawn narrowly and require strict compliance in order to offer protection;</w:t>
      </w:r>
    </w:p>
    <w:p>
      <w:pPr>
        <w:spacing w:after="0" w:line="81"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and civil monetary penalty laws,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including providing inaccurate billing or coding information to customers or promoting a product off-label, material to a false or fraudulent claim to the federal government.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80" w:lineRule="exact"/>
        <w:rPr>
          <w:rFonts w:ascii="Times New Roman" w:cs="Times New Roman" w:eastAsia="Times New Roman" w:hAnsi="Times New Roman"/>
          <w:sz w:val="18"/>
          <w:szCs w:val="18"/>
          <w:color w:val="auto"/>
        </w:rPr>
      </w:pPr>
    </w:p>
    <w:p>
      <w:pPr>
        <w:ind w:left="1020" w:right="60" w:hanging="503"/>
        <w:spacing w:after="0" w:line="25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federal criminal statutes that prohibit,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34" w:name="page35"/>
    <w:bookmarkEnd w:id="34"/>
    <w:p>
      <w:pPr>
        <w:ind w:left="1020" w:right="80" w:hanging="503"/>
        <w:spacing w:after="0" w:line="25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which impose, among other things, specified requirements relating to the privacy, security and transmission of individually identifiable health information held by covered entities and their business associates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9" w:lineRule="exact"/>
        <w:rPr>
          <w:rFonts w:ascii="Times New Roman" w:cs="Times New Roman" w:eastAsia="Times New Roman" w:hAnsi="Times New Roman"/>
          <w:sz w:val="18"/>
          <w:szCs w:val="18"/>
          <w:color w:val="auto"/>
        </w:rPr>
      </w:pPr>
    </w:p>
    <w:p>
      <w:pPr>
        <w:ind w:left="1020" w:right="140" w:hanging="503"/>
        <w:spacing w:after="0" w:line="258"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legislation commonly referred to as the Physician Payments Sunshine Act, created under the ACA, and its implementing regulations,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other licensed care professionals and teaching hospitals, as well as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53"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and local laws that require drug manufacturers to report information related to payments and other transfers of value to physicians and other healthcare providers or marketing expenditures; state laws that require the reporting of information related to drug pricing; state and local laws requiring the registration of pharmaceutical sales representatives; and state laws governing the privacy and security of health information in some circumstances, many of which differ from each other in significant ways and often are not preempted by HIPAA, thus complicating compliance efforts.</w:t>
      </w:r>
    </w:p>
    <w:p>
      <w:pPr>
        <w:spacing w:after="0" w:line="86" w:lineRule="exact"/>
        <w:rPr>
          <w:sz w:val="20"/>
          <w:szCs w:val="20"/>
          <w:color w:val="auto"/>
        </w:rPr>
      </w:pPr>
    </w:p>
    <w:p>
      <w:pPr>
        <w:ind w:right="100" w:firstLine="562"/>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with respect to certain laws. Federal and state enforcement bodies have recently increased their scrutiny of interactions between healthcare companies and healthcare providers, which has led to a number of investigations, prosecutions, convictions and settlements in the healthcare industry. Prohibitions or restrictions on sales or withdrawal of future marketed products could materially affect our business in an adverse way.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Ensuring our business arrangements comply with applicable healthcare laws, as well as responding to possible investigations by government authorities, can be time- and resource-consuming and can divert a company’s attention from the business.</w:t>
      </w:r>
    </w:p>
    <w:p>
      <w:pPr>
        <w:spacing w:after="0" w:line="80"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companies to possible legal or regulatory action. Depending on the circumstances, failure to meet applicable regulatory requirements can result in significant penalties, including civil, criminal and administrative penalties, damages, fines, disgorgement,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company to incur significant legal expenses and divert management’s attention from the operation of the business.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Data Collection and the Use, Processing and Cross-Border Transfer of Personal Information</w:t>
      </w:r>
    </w:p>
    <w:p>
      <w:pPr>
        <w:spacing w:after="0" w:line="121" w:lineRule="exact"/>
        <w:rPr>
          <w:sz w:val="20"/>
          <w:szCs w:val="20"/>
          <w:color w:val="auto"/>
        </w:rPr>
      </w:pPr>
    </w:p>
    <w:p>
      <w:pPr>
        <w:ind w:right="140" w:firstLine="562"/>
        <w:spacing w:after="0" w:line="282" w:lineRule="auto"/>
        <w:rPr>
          <w:sz w:val="20"/>
          <w:szCs w:val="20"/>
          <w:color w:val="auto"/>
        </w:rPr>
      </w:pPr>
      <w:r>
        <w:rPr>
          <w:rFonts w:ascii="Times New Roman" w:cs="Times New Roman" w:eastAsia="Times New Roman" w:hAnsi="Times New Roman"/>
          <w:sz w:val="18"/>
          <w:szCs w:val="18"/>
          <w:color w:val="auto"/>
        </w:rPr>
        <w:t>We also may be or may become subject to various state and foreign laws governing the privacy and security of health information, many of which differ from each other in significant ways and often are not preempted by HIPAA, thus complicating compliance efforts.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5" w:name="page36"/>
    <w:bookmarkEnd w:id="35"/>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For example, the California Consumer Privacy Act (CCPA), created individual privacy rights for California consumers (as defined in the law) and requires compliance with privacy and security obligations for entities handling personal data of consumers or households. The CCPA requires covered companies to provide certain disclosures to consumers about its data collection, use and sharing practices, and to provide affected California residents with ways to opt out of certain sales or transfers of personal information. The California Privacy Rights Act (CPRA) amended the CCPA and expands consumer privacy rights in California, including by expanding consumers’ rights with respect to certain sensitive personal information and by establishing a state agency vested with the authority to enforce the CCPA. The CPRA also applies to personal information collected about employees, applicants and retirees, as well as that which is collected in a business-to-business capacity. While there is currently an exception in the CCPA for protected health information that is subject to HIPAA, the CCPA may nevertheless impact our business activities. Numerous other U.S. states, including Virginia, Colorado, Connecticut, Utah, and more than a dozen other states, have passed or enacted legislation similar to the CCPA, but contain key differences in the scope, application, and enforcement which may complicate compliance efforts. Moreover, some states have advanced privacy laws focused on protecting consumer health information, such as Washington’s My Health My Data Act, and this remains a rapidly changing legislative and regulatory environment.</w:t>
      </w:r>
    </w:p>
    <w:p>
      <w:pPr>
        <w:spacing w:after="0" w:line="84" w:lineRule="exact"/>
        <w:rPr>
          <w:sz w:val="20"/>
          <w:szCs w:val="20"/>
          <w:color w:val="auto"/>
        </w:rPr>
      </w:pPr>
    </w:p>
    <w:p>
      <w:pPr>
        <w:ind w:firstLine="562"/>
        <w:spacing w:after="0" w:line="252" w:lineRule="auto"/>
        <w:rPr>
          <w:sz w:val="20"/>
          <w:szCs w:val="20"/>
          <w:color w:val="auto"/>
        </w:rPr>
      </w:pPr>
      <w:r>
        <w:rPr>
          <w:rFonts w:ascii="Times New Roman" w:cs="Times New Roman" w:eastAsia="Times New Roman" w:hAnsi="Times New Roman"/>
          <w:sz w:val="18"/>
          <w:szCs w:val="18"/>
          <w:color w:val="auto"/>
        </w:rPr>
        <w:t>In Europe, the EU General Data Protection Regulation (EU GDPR), as well as other national data protection legislation in force in relevant European Economic Area (EEA) Member States, and the UK equivalent of the same (UK GDPR) (collectively referred to as the GDPR in this Annual Report), regulates the collection and processing of personal data in the EEA and the United Kingdom (UK). The GDPR covers any business, regardless of its location, that provides goods or services to individuals in the EU/UK or monitors their behavior in the EEA/UK, and, thus, could incorporate any activities we undertake in EEA/UK. The GDPR imposes strict requirements on controllers and processors of personal data, including special protections for “sensitive information,” which includes health and genetic information, obtaining consent of the individuals to whom the personal data relates, having legal bases for processing personal data, providing transparency information to individuals, implementing safeguards to protect the security and confidentiality of personal data, having data processing agreements with third parties who process personal data, responding to individuals’ requests to exercise their data protection rights, reporting personal data breaches to the competent national data protection authority and affected individuals, appointing data protection officers, ensuring certain accountability measures are in place and record keeping. Failure to comply with the requirements of the GDPR and the related national data protection laws of the EEA Member States and the UK, which may deviate slightly from the GDPR, may result in warning letters, mandatory audits and financial penalties, including fines of up to 4% of global revenues, or €20,000,000, (£17.5 million for the UK GDPR),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89" w:lineRule="exact"/>
        <w:rPr>
          <w:sz w:val="20"/>
          <w:szCs w:val="20"/>
          <w:color w:val="auto"/>
        </w:rPr>
      </w:pPr>
    </w:p>
    <w:p>
      <w:pPr>
        <w:ind w:right="180" w:firstLine="562"/>
        <w:spacing w:after="0" w:line="261" w:lineRule="auto"/>
        <w:rPr>
          <w:sz w:val="20"/>
          <w:szCs w:val="20"/>
          <w:color w:val="auto"/>
        </w:rPr>
      </w:pPr>
      <w:r>
        <w:rPr>
          <w:rFonts w:ascii="Times New Roman" w:cs="Times New Roman" w:eastAsia="Times New Roman" w:hAnsi="Times New Roman"/>
          <w:sz w:val="18"/>
          <w:szCs w:val="18"/>
          <w:color w:val="auto"/>
        </w:rPr>
        <w:t>The UK’s data protection regime is independent from but currently still aligned to the EU’s data protection regime. However,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72" w:lineRule="exact"/>
        <w:rPr>
          <w:sz w:val="20"/>
          <w:szCs w:val="20"/>
          <w:color w:val="auto"/>
        </w:rPr>
      </w:pPr>
    </w:p>
    <w:p>
      <w:pPr>
        <w:ind w:right="80" w:firstLine="562"/>
        <w:spacing w:after="0" w:line="254" w:lineRule="auto"/>
        <w:rPr>
          <w:sz w:val="20"/>
          <w:szCs w:val="20"/>
          <w:color w:val="auto"/>
        </w:rPr>
      </w:pPr>
      <w:r>
        <w:rPr>
          <w:rFonts w:ascii="Times New Roman" w:cs="Times New Roman" w:eastAsia="Times New Roman" w:hAnsi="Times New Roman"/>
          <w:sz w:val="18"/>
          <w:szCs w:val="18"/>
          <w:color w:val="auto"/>
        </w:rPr>
        <w:t>The GDPR also impose restrictions in relation to the international transfer of personal data from the EEA and UK to other countries in respect of which the European Commission or the UK government has not issued a so-called “adequacy decision” or “ adequacy regulation”, including the US in certain circumstances, unless the parties to the transfer have implemented specific safeguards to protect the transferred personal data, such as the European Commission’s Standard Contractual Clauses for transfers outside of the EEA (SCCs) and a similar transfer mechanism for transfers of personal data outside of the UK, the International Data Transfer Agreement or Addendum (IDTA). Where relying on the SCCs or IDTA for data transfers, exporters are also required to carry out transfer impact assessments to assess the risk of the data transfer on a case-by-case basis, including an analysis of the laws in the destination country. Although the UK is regarded as a third country under the EU’s GDPR, the European Commission (EC) has issued a decision recognizing the UK as providing adequate protection under the EU GDPR and, therefore, transfers of personal data originating in the EEA to the UK remain unrestricted.</w:t>
      </w:r>
    </w:p>
    <w:p>
      <w:pPr>
        <w:spacing w:after="0" w:line="80" w:lineRule="exact"/>
        <w:rPr>
          <w:sz w:val="20"/>
          <w:szCs w:val="20"/>
          <w:color w:val="auto"/>
        </w:rPr>
      </w:pPr>
    </w:p>
    <w:p>
      <w:pPr>
        <w:ind w:right="40" w:firstLine="562"/>
        <w:spacing w:after="0" w:line="261" w:lineRule="auto"/>
        <w:rPr>
          <w:sz w:val="20"/>
          <w:szCs w:val="20"/>
          <w:color w:val="auto"/>
        </w:rPr>
      </w:pPr>
      <w:r>
        <w:rPr>
          <w:rFonts w:ascii="Times New Roman" w:cs="Times New Roman" w:eastAsia="Times New Roman" w:hAnsi="Times New Roman"/>
          <w:sz w:val="18"/>
          <w:szCs w:val="18"/>
          <w:color w:val="auto"/>
        </w:rPr>
        <w:t>In July 2023, the European Commission adopted its adequacy decision for the EU-U.S. Data Privacy Framework (Framework), the successor of the EU-U.S. Privacy Shield framework, which the Court of Justice of the European Union invalidated in 2020. On the basis of the new adequacy decision, personal data can flow safely from the EU to U.S. companies participating in the Framework, without having to put in place additional data protection safeguards. However, the Framework’s validity has already been challenged in court.</w:t>
      </w:r>
    </w:p>
    <w:p>
      <w:pPr>
        <w:spacing w:after="0" w:line="72" w:lineRule="exact"/>
        <w:rPr>
          <w:sz w:val="20"/>
          <w:szCs w:val="20"/>
          <w:color w:val="auto"/>
        </w:rPr>
      </w:pPr>
    </w:p>
    <w:p>
      <w:pPr>
        <w:ind w:right="60" w:firstLine="562"/>
        <w:spacing w:after="0" w:line="258" w:lineRule="auto"/>
        <w:rPr>
          <w:sz w:val="20"/>
          <w:szCs w:val="20"/>
          <w:color w:val="auto"/>
        </w:rPr>
      </w:pPr>
      <w:r>
        <w:rPr>
          <w:rFonts w:ascii="Times New Roman" w:cs="Times New Roman" w:eastAsia="Times New Roman" w:hAnsi="Times New Roman"/>
          <w:sz w:val="18"/>
          <w:szCs w:val="18"/>
          <w:color w:val="auto"/>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CCPA, GDPR or other applicable privacy and data protection laws and regulations could result in regulatory investigations, reputational damage, and orders to cease/change our use of data, enforcement notices, or potential civil claims including class action-type litigation.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6" w:name="page37"/>
    <w:bookmarkEnd w:id="36"/>
    <w:p>
      <w:pPr>
        <w:ind w:right="100" w:firstLine="562"/>
        <w:spacing w:after="0" w:line="256" w:lineRule="auto"/>
        <w:rPr>
          <w:sz w:val="20"/>
          <w:szCs w:val="20"/>
          <w:color w:val="auto"/>
        </w:rPr>
      </w:pPr>
      <w:r>
        <w:rPr>
          <w:rFonts w:ascii="Times New Roman" w:cs="Times New Roman" w:eastAsia="Times New Roman" w:hAnsi="Times New Roman"/>
          <w:sz w:val="18"/>
          <w:szCs w:val="18"/>
          <w:color w:val="auto"/>
        </w:rPr>
        <w:t>In December 2024, the U.S. Department of Justice issued regulations implementing Executive Order (“EO”) 14117, “Preventing Access to Americans’ Bulk Sensitive Personal Data and United Stated Government-Related Data by Countries of Concern,” which are expected to become effective in April 2025. These regulations prohibit transactions involving access to bulk sensitive data by countries of concern, such as China (including Hong Kong). In the life sciences sector, the regulations prohibit investment agreements, employment agreements, vendor agreements, and other transactions involving human genomic data and biospecimens, except where necessary for specified exempt activities. Tracking and complying with these regulations may require significant time and expense.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 innovation, intense and dynamic competition and a strong emphasis on proprietary products. While we believe that our proprietary iPSC product platform, scientific knowledge and experience in the field of cellular immunotherapy provide us with competitive advantages, we face potential competition from many different sources, including major pharmaceutical, specialty pharmaceutical and biotechnology companies, academic institutions and governmental agencies and public and private research institutions, as well as standard-of-care treatments, new products undergoing development and combinations of existing and new therapies. Any product candidates that we successfully develop and commercialize will compete with existing therapies and new therapies, including antibody-based therapies such as bi-specific antibodies, and combinations thereof, that may become available in the future.</w:t>
      </w:r>
    </w:p>
    <w:p>
      <w:pPr>
        <w:spacing w:after="0" w:line="8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Cellular immunotherapies for the treatment of cancer and autoimmune diseases have recently been an area of significant research and development by academic institutions and biopharmaceutical companies. Several autologous CAR T-cell therapies have been approved by the FDA for the treatment of relapsed / refractory hematologic malignancies including Kymriah (Novartis AG), Yescarta (Kite Pharma), and Breyanzi (Bristol-Myers Squibb Company) for aggressive large B-cell lymphoma (LBCL) and Abecma (Bristol-Myers Squibb Company) and Carvykti (Janssen Biotech) for multiple myeloma.</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developing our iPSC-derived CAR T-cell and CAR NK cell product candidates for the treatment of cancer and autoimmune diseases. While we believe our proprietary iPSC product platform and our off-the-shelf, multiplexed-engineered, iPSC-derived cell product candidates are highly differentiated, a number of clinical-stage companies are currently focused on the development of cellular immunotherapies for the treatment of cancer and autoimmune diseases. These competitive companies include, among others, Allogene Therapeutics, Inc., Arcellx, Inc., Artiva Biotherapeutics, Inc., AstraZeneca plc, Autolus Therapeutics plc, Bristol-Myers Squibb Company, Cabaletta Bio, Inc., CARGO Therapeutics, Inc., Caribou Biosciences, Inc., Cartesian Therapeutics, Inc., Cellectis SA, Century Therapeutics, Inc., CRISPR Therapeutics AG, ImmunityBio, Inc., Janssen Biotech (Johnson &amp; Johnson), Kyverna Therapeutics, Inc., Legend Biotech Corporation, Lyell Immunopharma, Inc., Kite Pharma (Gilead Sciences, Inc.), Nkarta, Inc., Novartis AG, Sana Biotechnology, Inc. and Takeda Pharmaceutical Company Limited. Preclinical-stage companies may also prove to be significant competitors, particularly through collaborative arrangements with large and established companies.</w:t>
      </w:r>
    </w:p>
    <w:p>
      <w:pPr>
        <w:spacing w:after="0" w:line="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compete against our competitors in recruiting and retaining qualified scientific and management personnel and establishing clinical study sites and subject enrollment for clinical studies, as well as in acquiring technologies complementary to, or necessary for, our programs. Many of our competitors, either alone or with their collaboration partners, have substantially greater financial, technical and human resources than we do and significantly greater experience in the discovery and development of product candidates, obtaining FDA and other regulatory approvals of treatments and commercializing those treatments. Accordingly, our competitors may be more successful than us in obtaining approval for treatments and achieving widespread market acceptance.</w:t>
      </w:r>
    </w:p>
    <w:p>
      <w:pPr>
        <w:spacing w:after="0" w:line="7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anticipate that we will face intense and increasing competition as new products enter the market and advanced technologies become available. We expect any treatments that we develop and commercialize to compete on the basis of, among other things, efficacy, safety, convenience of administration and delivery, price, the level of generic competition and the availability of reimbursement from government and other third-party payers.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maintain product liability insurance for our clinical trials. We intend to expand our insurance coverage to include the sale of commercial products if marketing approval is obtained for products in development. However, insurance coverage is becoming increasingly expensive, and we may not be able to maintain insurance coverage at a reasonable cost or in sufficient amounts to protect us against losses due to liability. In addition, we may not be able to obtain commercially reasonable product liability insurance for any products approved for marketing.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success as a company depends upon the innovation, drive, and dedication of our employees, and we seek to attract, incentivize, and reward creative and performance-driven employees. We believe our commitment to our human capital resources is an important component of our business that enables us to deliver superior performance in our industry.</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focus on identifying, recruiting, developing and retaining a team of highly talented and motivated employees. As of December 31, 2024, we employed 181 employees, all of whom are full-time employees, including 54 in research and development, 93 in clinical development, manufacturing and regulatory affairs and 34 in general and administrative. We have never had a work stoppage, and none of our employees is represented by a labor organization or under any collective bargaining arrangements. We believe that our relationship with our employees is good, and we provide all employees with the opportunity to share their opinions in open dialogues with our human resources department and senior management.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Inclusion and Belonging</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believe that an equitable, diverse, and inclusive workforce is a necessary foundation for innovation and dedication of our employees. Accordingly, we strive to promote inclusion and equal opportunity across the organization. We are committed to actively seeking out highly qualified women and minority candidates, as well as candidates with diverse backgrounds, skills and experiences. As of December 31, 2024, women made up 56% of our workforce and represented 54% of leadership positions at the director-level and above.</w:t>
      </w:r>
    </w:p>
    <w:p>
      <w:pPr>
        <w:spacing w:after="0" w:line="7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as of December 31, 2024, ethnic or racial minorities made up 56% of all of our employees, with 32% Asian, 13% Hispanic, 6% Black, 1% Native Hawaiian or other Pacific Islander, 1% American Indian or Native Alaskan, and 3% of two or more races. Ethnic or racial minorities made up 46% of our director-level and above employees, with 38% Asian, 3% Hispanic, 3% Black, and 3% of two or more races. The age breakdown of our employee workforce consisted of 48% of employees between the ages of 23 – 39 years old, 46% of employees between the ages of 40 – 54 years old, and 6% of employees 55 and older.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health and safety of our employees, and we are committed to providing a safe, healthy and secure workplace for our employees. We have an environmental, health and safety program and several cross-functional committees to support our environmental, health and safety program. We routinely train and educate our employees on workplace safety and security and maintain various compliance programs to support this commitment. We continue to monitor and adjust our safety training and protocols as needed to ensure the safety and wellbeing of our workforce.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offer competitive pay, with performance-based bonuses and equity awards.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We have a comprehensive benefits program offering flexibility for our employees’ individual needs and requirements. Our benefits program includes a choice of medical plans, vision and dental coverage, flexible spending accounts for health and dependent day care needs, and income protection through life, AD&amp;D, short term and long term disability coverage, sick leave, paid family leave, and generous paid time off. We offer a 401(k) retirement plan with company matching a percentage of employee contributions, an employee assistance program, and onsite fitness centers at no cost to our employees.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Development and Engagement</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focused on attracting and retaining a team of highly talented and motivated employees. We invest in and develop all levels of employees by engaging in ongoing career pathing and professional development conversations throughout an employee’s tenure. In addition, we provide targeted leadership development programs for frontline leaders through executive leadership programs and offer a number of professional, management and leadership development training programs to help our employees develop cross-functional skills and tools to grow their careers.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38" w:name="page39"/>
    <w:bookmarkEnd w:id="38"/>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Employees are incentivized for key contributions through awards programs that recognize their commitment and dedication by demonstrating our </w:t>
      </w:r>
      <w:r>
        <w:rPr>
          <w:rFonts w:ascii="Times New Roman" w:cs="Times New Roman" w:eastAsia="Times New Roman" w:hAnsi="Times New Roman"/>
          <w:sz w:val="18"/>
          <w:szCs w:val="18"/>
          <w:i w:val="1"/>
          <w:iCs w:val="1"/>
          <w:color w:val="auto"/>
        </w:rPr>
        <w:t>Fate Pathways to Success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focus on identifying, recruiting, developing and retaining a team of highly talented and motivated employees. We believe that our relationship with our employees is good. We believe our commitment to our human capital resources is an important component of our business that enables us to deliver superior performance in our industry. We provide all employees with the opportunity to share their opinions in open dialogues with our human resources department and senior management. We provide all employees a wide range of professional development experiences, both formal and informal. The safety and wellbeing of our employees is a paramount value for us. Further, the health and wellness of our employees are critical to our success. We provide our employees with access to a variety of flexible and convenient health and wellness programs. Such programs are designed to support employees’ physical and mental health by providing tools and resources to help them improve or maintain their health status and encourage engagement in healthy behaviors. Additionally, we provide competitive compensation and benefits. In addition to salaries, these programs can include annual bonuses, stock-based compensation awards, a 401(k) plan with employee matching opportunities, healthcare and insurance benefits, health savings and flexible spending accounts, paid time off, family leave, and family care resources.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Sustainability</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recognize the importance of the environment to a healthy, sustainable future for our business, our patients, and communities. Our headquarters located in San Diego, California was designed to be energy efficient through the use of LED lighting, energy efficient air handling units, a fully integrated building management system, and other tools. Our facilities are also outfitted with smart building solutions, such as occupancy sensors and air conditioning units reducing airflow based on occupancy. Water-saving bathroom faucets and toilets are installed throughout the building to help reduce water consumption. We recently implemented a lab recycling program diverting 50% of lab generated waste from landfills and designed to lower our environmental footprint. The exterior of our building is made up of draught tolerant landscaping to reduce the volume of water needed to maintain plant life around the building. Employees are also provided free access to electric vehicle charging stations. Our commitment to environmental sustainability is ongoing and we continue to be mindful of how we can minimize our environmental footprint as a company.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2007, and are headquartered in San Diego, California. Our principal executive office is located at 12278 Scripps Summit Drive, San Diego, California 92131, and our telephone number is (858) 875-1800. Our website address is www.fatetherapeutics.com. We do not incorporate the information on or accessible through our website into this Annual Report on Form 10-K, and you should not consider any information on, or that can be accessed through, our website a part of this Annual Report on Form 10-K.</w:t>
      </w:r>
    </w:p>
    <w:p>
      <w:pPr>
        <w:spacing w:after="0" w:line="79" w:lineRule="exact"/>
        <w:rPr>
          <w:sz w:val="20"/>
          <w:szCs w:val="20"/>
          <w:color w:val="auto"/>
        </w:rPr>
      </w:pPr>
    </w:p>
    <w:p>
      <w:pPr>
        <w:ind w:right="200" w:firstLine="509"/>
        <w:spacing w:after="0" w:line="224" w:lineRule="auto"/>
        <w:rPr>
          <w:sz w:val="20"/>
          <w:szCs w:val="20"/>
          <w:color w:val="auto"/>
        </w:rPr>
      </w:pPr>
      <w:r>
        <w:rPr>
          <w:rFonts w:ascii="Times New Roman" w:cs="Times New Roman" w:eastAsia="Times New Roman" w:hAnsi="Times New Roman"/>
          <w:sz w:val="18"/>
          <w:szCs w:val="18"/>
          <w:color w:val="auto"/>
        </w:rPr>
        <w:t>We own various U.S. federal trademark registrations and applications, and unregistered trademarks, including Fate Therapeutics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our corporate logo. All other trademarks or trade names referred to in this document are the property of their respective owners. Solely for convenience, the trademarks and trade names in this document are referred to without the symbols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 but such references should not be construed as any indicator that their respective owners will not assert, to the fullest extent under applicable law, their rights thereto.</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post our Annual Report on Form 10-K, Quarterly Reports on Form 10-Q, Current Reports on Form 8-K, including exhibits, and any amendments to those reports filed or furnished pursuant to Section 13(a) or 15(d) of the Securities Exchange Act of 1934, as amended, on the Investors section of our public website (www.fatetherapeutics.com) as soon as reasonably practicable after we electronically file such material with, or furnish it to, the SEC. In addition, you can read our SEC filings over the Internet at the SEC’s website at www.sec.gov. You can access these filings on our website or from the SEC free of charge. The contents of these websites are not incorporated into this Annual Report on Form 10-K. Further, our references to the URLs for these websites are intended to be inactive textual references only.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as well as the other information in this Annual Report on Form 10-K,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Regulation of Our Product Candidates</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complete the preclinical or clinical development of, or to obtain regulatory approval for, our product candidates, our business would be significantly harmed.</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All of our product candidates are currently in research or early clinical development. We have not completed clinical development of or obtained regulatory approval for any of our product candidates. Only a small percentage of research and development programs ultimately result in commercially successful products, and we cannot assure you that any of our product candidates will demonstrate the safety, purity and potency, or efficacy profiles necessary to support further preclinical study, clinical development or regulatory approval. In addition, we have historically focused on the development of cell therapies for cancer. We have limited prior experience in developing treatments for autoimmune diseases, and there are no cell therapies approved in the United States to treat autoimmune diseases.</w:t>
      </w:r>
    </w:p>
    <w:p>
      <w:pPr>
        <w:spacing w:after="0" w:line="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delays in, or cancel our ongoing and planned clinical development activities or research and development activities for any of our product candidates for a variety of reasons, including:</w:t>
      </w:r>
    </w:p>
    <w:p>
      <w:pPr>
        <w:spacing w:after="0" w:line="54" w:lineRule="exact"/>
        <w:rPr>
          <w:sz w:val="20"/>
          <w:szCs w:val="20"/>
          <w:color w:val="auto"/>
        </w:rPr>
      </w:pPr>
    </w:p>
    <w:p>
      <w:pPr>
        <w:ind w:left="1020" w:right="10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optimizing the right dose and dosing schedule for our product candidates, which might result in a determination that a product candidate is ineffective, causes harmful side effects, or otherwise presents unacceptable safety risks during clinical trials or has an unfavorable toxicity profile in preclinical studies or early clinical trials to support initiating or continuing clinical investigation;</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or distributing a product candidate, including the inability to manufacture and distribute a product candidate in a sufficient quantity, suitable form, or in a cost-effective manner, or under protocols and processes and with materials and facilities acceptable to the U.S. Food and Drug Administration (FDA) or comparable foreign regulatory authorities for the conduct of clinical trials or for marketing approval;</w:t>
      </w:r>
    </w:p>
    <w:p>
      <w:pPr>
        <w:spacing w:after="0" w:line="71" w:lineRule="exact"/>
        <w:rPr>
          <w:rFonts w:ascii="Times New Roman" w:cs="Times New Roman" w:eastAsia="Times New Roman" w:hAnsi="Times New Roman"/>
          <w:sz w:val="18"/>
          <w:szCs w:val="18"/>
          <w:color w:val="auto"/>
        </w:rPr>
      </w:pPr>
    </w:p>
    <w:p>
      <w:pPr>
        <w:ind w:left="1020" w:right="40" w:hanging="503"/>
        <w:spacing w:after="0" w:line="274" w:lineRule="auto"/>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prioritization of certain of our product candidates for advancement or the emergence of competing product candidates developed by others, including a decision to cease research and development of any existing product candidate due to the potential obsolescence of our product candidate by a competing product or product candidate or our determination that another of our existing or future product candidates has greater potential for clinical development, regulatory approval, or commercialization, including potentially greater therapeutic benefit, a more favorable safety or efficacy profile, a more consistent or more cost effective manufacturing process, or a more favorable commercial profile, including greater market acceptance or commercial potential, or more advantageous intellectual property position;</w:t>
      </w:r>
    </w:p>
    <w:p>
      <w:pPr>
        <w:spacing w:after="0" w:line="6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and delays in trial execution which may result from our testing of multiple product candidates in the same indication in different clinical trials, as well as competition from biotechnology and pharmaceutical companies, universities, and other research institutions for patients, qualified investigators and clinical trial sites;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third parties, which may preclude us from developing, manufacturing or commercializing a product candidate;</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that a product candidate may be uneconomical to develop, manufacture, or commercialize, or may fail to achieve market acceptance or an adequate pricing and reimbursement profile;</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or maintain relationships with strategic partners that may be necessary for advancement of a product candidate into or through clinical development, regulatory approval and commercialization in any particular indication(s) or geographic territory(ies); and</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establishing predictive preclinical models for demonstration of safety and efficacy of a product candidate in one or more potential therapeutic areas for clinical development.</w:t>
      </w:r>
    </w:p>
    <w:p>
      <w:pPr>
        <w:spacing w:after="0" w:line="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For example, in January 2023, we announced the discontinuation of our FT516, FT596, FT538, and FT536 NK cell programs to focus our resources on advancing our most innovative and differentiated programs. We also announced the termination of the Collaboration and Option Agreement we entered into with Janssen Biotech, Inc. (Janssen) on April 20, 2020 (the Janssen Agreement),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0" w:name="page41"/>
    <w:bookmarkEnd w:id="40"/>
    <w:p>
      <w:pPr>
        <w:ind w:right="220"/>
        <w:spacing w:after="0" w:line="282" w:lineRule="auto"/>
        <w:rPr>
          <w:sz w:val="20"/>
          <w:szCs w:val="20"/>
          <w:color w:val="auto"/>
        </w:rPr>
      </w:pPr>
      <w:r>
        <w:rPr>
          <w:rFonts w:ascii="Times New Roman" w:cs="Times New Roman" w:eastAsia="Times New Roman" w:hAnsi="Times New Roman"/>
          <w:sz w:val="18"/>
          <w:szCs w:val="18"/>
          <w:color w:val="auto"/>
        </w:rPr>
        <w:t>which termination took effect on April 3, 2023. As a result of the termination, we discontinued the development of two product candidates that had been expected to enter the clinic in 2023.</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Additionally, we will only be able to obtain regulatory approval to market a product candidate if we can demonstrate, to the satisfaction of the FDA or comparable foreign regulatory authorities, in well-designed and conducted clinical trials that such product candidate is manufactured in accordance with applicable regulatory requirements, is safe, pure and potent, or effective, and otherwise meets the appropriate standards required for approval for a particular indication. Our ability to obtain regulatory approval of our product candidates depends on, among other things, completion of additional preclinical studies, process development and manufacturing activities, and clinical trials, whether our clinical trials demonstrate statistically significant efficacy with safety profiles that do not potentially outweigh the therapeutic benefit, and whether regulatory agencies agree that the data from our clinical trials and our manufacturing operations are sufficient to support approval. In addition, the approval by the FDA of new products in the same indications that we are studying may change the standard of care, and this may result in the FDA or other regulatory agencies requesting that we conduct additional studies to show that our product candidate is superior to the new standard of care. Securing regulatory approval also requires the submission of information about product manufacturing operations to, and inspection of manufacturing facilities by, the relevant regulatory authority. The results of our current and future clinical trials may not meet the FDA’s or other regulatory agencies’ requirements to approve a product candidate for marketing, and the regulatory agencies may otherwise determine that our manufacturing operations are insufficient to support approval. We may need to conduct preclinical studies and clinical trials that we currently do not anticipate, including as a result of changes in the standard of care. If we fail to complete preclinical or clinical development of, or obtain regulatory approval for, our product candidates, we will not be able to generate any revenues from product sales and our ability to receive milestone or other payments under any collaboration agreements may be impaired, which will harm our business, prospects,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delays in initiating, conducting or completing our clinical trials, and we may not be able to initiate, conduct or complete them at all.</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are heavily dependent on our ability to complete the clinical development of, and obtain regulatory approval for, our product candidates. We have not completed the clinical trials necessary to support an application for approval to market any of our product candidates. We, or any investigators who initiate or conduct clinical trials of our product candidates, may experience delays in our current or future clinical trials, and we do not know whether we or our investigators will be able to initiate, enroll patients in, or complete, clinical trials of our product candidates on time, if at all. Current and future clinical trials of our product candidates may be delayed, unsuccessful or terminated, or not initiated at all, as a result of many factors, including factors related to:</w:t>
      </w:r>
    </w:p>
    <w:p>
      <w:pPr>
        <w:spacing w:after="0" w:line="79"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identifying eligible patients for participation in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enrolling a sufficient number of suitable patients to conduct clinical trials of our product candidates, including difficulties resulting from patients enrolling in studies of therapeutic product candidates sponsored by us or our competitors and difficulties resulting from patient availability as a result of any measures taken by governmental authorities, hospitals, or clinical trial sites in response to any future public health crises or other serious disasters or similar events;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determining suitable doses and schedules of our novel cell product candidates for evaluation in clinical trials;</w:t>
      </w:r>
    </w:p>
    <w:p>
      <w:pPr>
        <w:spacing w:after="0" w:line="117" w:lineRule="exact"/>
        <w:rPr>
          <w:rFonts w:ascii="Times New Roman" w:cs="Times New Roman" w:eastAsia="Times New Roman" w:hAnsi="Times New Roman"/>
          <w:sz w:val="18"/>
          <w:szCs w:val="18"/>
          <w:color w:val="auto"/>
        </w:rPr>
      </w:pPr>
    </w:p>
    <w:p>
      <w:pPr>
        <w:jc w:val="both"/>
        <w:ind w:left="1020" w:right="44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agreement from regulatory authorities on study endpoints and/or study duration, achieving study endpoints, the amount and sufficiency of data demonstrating efficacy and safety, and completing data analysis in clinical trials for any of our product candidates;</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an Investigational New Drug (IND) application or IND amendment with the FDA to initiate or amend clinical trials of our current product candidates and any other product candidates that we may identify;</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agreement with regulatory authorities on the preclinical safety and efficacy data, the manufacturing requirements, and the clinical trial design and parameters necessary for an IND application to go into effect to initiate and conduct clinical trials for any of our current product candidates and any other product candidates that we may develop;</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unexpected safety issues or adverse events in any ongoing or future clinical trials of our product candidates, including in trials of our product candidates conducted by investigator-sponsors;</w:t>
      </w:r>
    </w:p>
    <w:p>
      <w:pPr>
        <w:spacing w:after="0" w:line="53"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and maintaining the support of clinical investigators and investigational sites, including investigators and sites who may conduct clinical trials under an investigator-sponsored IND with our financial support, and obtaining institutional review board (IRB) approval at each site for the conduct of our clinical trials;</w:t>
      </w:r>
    </w:p>
    <w:p>
      <w:pPr>
        <w:spacing w:after="0" w:line="6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third-party service providers and clinical trial sites, the terms of which can be subject to extensive negotiation and may vary significantly among different service providers and clinical trial sites;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41" w:name="page42"/>
    <w:bookmarkEnd w:id="41"/>
    <w:p>
      <w:pPr>
        <w:ind w:left="1020" w:right="5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certain of our product candidates consistently, and at acceptable quality levels and costs, in accordance with our protocol-specified manufacturing requirements and applicable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delays in obtaining sufficient quantities of suitable raw materials, components, and equipment necessary for the conduct of our clinical trials or the manufacture of any product candidate, including any inability to obtain materials as a result of supply chain issues related to any future public health crises or other serious disasters or ongoing or emerging global geopolitical tensions, including wars and other armed conflicts, or other factors;</w:t>
      </w:r>
    </w:p>
    <w:p>
      <w:pPr>
        <w:spacing w:after="0" w:line="71"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delays by us or by our clinical sites to obtain sufficient quantities of components and supplies necessary for the conduct of our clinical trials, including any inability to obtain agents such as cyclophosphamide or fludarabine which may be required to condition patients for treatment with our product candidates, or certain monoclonal antibodies which are intended for administration to patients in combination with many of our product candidates in certain of our clinical trials;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distributing our product candidates to clinical trial sites, or failure to establish effective protocols for the supply and transport of our product candidates;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conducting clinical trials or manufacturing of our product candidates being greater than we anticipate, including due to rising inflation rates, or the timelines for these activities being longer than we anticipate;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investigators, third-party service providers, or clinical trial sites, to ensure the proper and timely conduct of and analysis of data from clinical trials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 on clinical trial design and parameters with regulatory authorities, investigators, and IRBs;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77"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a temporary or permanent clinical hold by data monitoring committees or regulatory agencies for a number of reasons, including after review of an IND submission or amendment, a new safety finding that presents unreasonable risk to clinical trial participants, a negative finding from an inspection of our clinical trial operations or trial sites, developments in trials conducted by us or our competitors that raise concerns about the safety risk to patients of novel therapeutics derived from pluripotent or genome edited therapies and/or negative public perception of the same, or if the FDA finds that the investigational protocol or plan is clearly deficient to meet its stated objectives;</w:t>
      </w:r>
    </w:p>
    <w:p>
      <w:pPr>
        <w:spacing w:after="0" w:line="59" w:lineRule="exact"/>
        <w:rPr>
          <w:rFonts w:ascii="Times New Roman" w:cs="Times New Roman" w:eastAsia="Times New Roman" w:hAnsi="Times New Roman"/>
          <w:sz w:val="17"/>
          <w:szCs w:val="17"/>
          <w:color w:val="auto"/>
        </w:rPr>
      </w:pPr>
    </w:p>
    <w:p>
      <w:pPr>
        <w:ind w:left="1020" w:right="1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serious, life-threatening diseases of the patients in our oncology clinical trials, who may die or suffer adverse medical events during the course of the trials for reasons that may not be related to our product candidates;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patients to complete clinical trials or adhere to study protocols due to safety issues, side effects, disruptions in study conduct, or other reasons;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competitive agents or changes in the standard of care or treatment landscape on which a clinical development plan was based, which may require new or additional trials, or render our product candidates or clinical trial designs obsolete;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including any delays due to limitations on the availability of governmental and regulatory agency personnel to review regulatory filings, conduct site inspections or engage in discussions with us as a result of the change in administration following the 2024 U.S. presidential election, any future public health crisis or other serious disaster or similar events, failure to obtain regulatory approval, or uncertainty or changes in U.S. or foreign regulatory requirements, policy or guidelines; and</w:t>
      </w:r>
    </w:p>
    <w:p>
      <w:pPr>
        <w:spacing w:after="0" w:line="71"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clinical trial conduct at our clinical trial sites resulting from prioritization of hospital and other medical resources toward other efforts, such as any future public health crisis or other serious disaster or similar events, policies and procedures implemented at clinical sites with respect to the conduct of clinical trials including those relating to site initiation, study monitoring, and data collection and analysis, and other precautionary measures taken in treating patients or in practicing medicine in response to various public health concerns.</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there are delays in initiating or conducting any clinical trials of our product candidates or any of these clinical trials are terminated before completion, the commercial prospects of our product candidates will be harmed. In addition, any delays in initiating, conducting or completing our clinical trials or adjustments to certain of our study protocols and procedures, including as a result of any shortage of materials or agents necessary to conduct our studies or as a result of any future public health crisis or other public health concerns or other factors, will increase our costs, slow down our product candidate development and regulatory approval process, and jeopardize our ability to gain regulatory approval, commence product sales and generate revenues. Furthermore, many of the factors that cause, or lead to, a delay in the initiation, conduct or completion of clinical trials may also ultimately lead to the denial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42" w:name="page43"/>
    <w:bookmarkEnd w:id="42"/>
    <w:p>
      <w:pPr>
        <w:ind w:right="60"/>
        <w:spacing w:after="0" w:line="282" w:lineRule="auto"/>
        <w:rPr>
          <w:sz w:val="20"/>
          <w:szCs w:val="20"/>
          <w:color w:val="auto"/>
        </w:rPr>
      </w:pPr>
      <w:r>
        <w:rPr>
          <w:rFonts w:ascii="Times New Roman" w:cs="Times New Roman" w:eastAsia="Times New Roman" w:hAnsi="Times New Roman"/>
          <w:sz w:val="18"/>
          <w:szCs w:val="18"/>
          <w:color w:val="auto"/>
        </w:rPr>
        <w:t>of regulatory approval of our product candidates. Any of these occurrences would significantly harm our business, prospects, financial condition, results of operations, and market price of shares of our common stock.</w:t>
      </w:r>
    </w:p>
    <w:p>
      <w:pPr>
        <w:spacing w:after="0" w:line="15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manufacture and distribution of our cell product candidates, particularly our induced pluripotent stem cell (iPSC)-derived cell product candidates, is complex and subject to a multitude of risks. These risks could substantially increase our costs and limit the clinical and commercial supply of our product candidates, and the development and commercialization of our product candidates could be substantially delayed or restricted if the FDA or other regulatory authorities impose additional requirements on our manufacturing operations or if we are required to change our manufacturing operations to comply with regulatory requirements.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manufacture and supply of our cell product candidates involves novel processes that are more complex than those required for most small molecule drugs and other cellular immunotherapies, and accordingly present significant challenges and are subject to multiple risks. For our iPSC-derived product candidates, these complex processes include reprogramming human fibroblasts to obtain iPSCs, in some cases genetically engineering these iPSCs, and differentiating the iPSCs to obtain the desired cell product candidate. As a result of the complexities in manufacturing biologics and distributing cell therapies, the cost to manufacture and distribute biologics and cell therapies in general, and our cell product candidates in particular, is generally higher than for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limited experience in the manufacture of cell-based therapies. We are still developing optimized and reproducible manufacturing processes for clinical and commercial-scale manufacturing of our product candidates, and none of our manufacturing processes have been validated for commercial production of our product candidates. We may face multiple challenges as we scale our manufacturing for large-scale clinical trials or commercial-scale including, among others, cost overruns, potential problems with process scale-up, process reproducibility, stability issues, compliance with good manufacturing practices, lot consistency and timely availability of raw materials. In addition, we are continuing to optimize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may make changes or be required by the FDA or other regulatory authorities to make changes to our manufacturing processes, including materials and equipment used in manufacturing our product candidates, as we continue to develop and refine the manufacturing and distribution processes for our product candidates for advanced clinical trials and commercialization, and we cannot be sure that even minor changes in these processes, materials, and equipment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19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manufacturing processes for any products that we may develop are subject to FDA and foreign regulatory authority approval requirements, and we and any contract manufacturing organizations (CMOs) or other third-party manufacturers that we may engage for manufacturing our product candidates will need to meet all applicable FDA and foreign regulatory authority requirements on an ongoing basis. Our existing product candidates are currently manufactured by us and our current manufacturing operations, including protocols, processes, materials, and facilities, may not support regulatory approval of our existing product candidates. We may be required to identify alternative protocols, processes, materials or facilities for the manufacture of any of these product candidates in compliance with applicable regulatory requirements. In addition, we may be required to make changes to our protocols for the supply and transport of our product candidates to enable effective distribution of our product candidates. Any modifications to our manufacturing and supply protocols, processes, materials or facilities, and any delays in, or inability to, establish acceptable manufacturing and supply operations for our product candidates could require us to incur additional development costs or result in delays to our clinical development. If we or any CMOs or other third-party manufacturers that we may engage for manufacturing our product candidates are unable to reliably produce products to specifications acceptable to the FDA or other regulatory authorities, we may not obtain or maintain the regulatory approvals we need to commercialize such products. Even if we obtain regulatory approval for any of our product candidates, there is no assurance that either we or any CMOs or other third-party manufacturers that we may engage for manufacturing our product candidates will be able to manufacture the approved product to specifications acceptable to the FDA or other regulatory authorities, to produce it in sufficient quantities and on the requisite timelines to meet the requirements for the potential launch of the product, or to meet potential future demand. Additionally, changes in regulatory requirements may require us or any third-party manufacturers that we may engage for manufacturing our product candidates to perform additional studies or to modify protocols, processes, materials or facilities for the manufacture of our product candidates or any components thereof. Any of these challenges could delay initiation or completion of clinical trials, require bridging clinical trials or the repetition of one or more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3" w:name="page44"/>
    <w:bookmarkEnd w:id="43"/>
    <w:p>
      <w:pPr>
        <w:ind w:right="120"/>
        <w:spacing w:after="0" w:line="282" w:lineRule="auto"/>
        <w:rPr>
          <w:sz w:val="20"/>
          <w:szCs w:val="20"/>
          <w:color w:val="auto"/>
        </w:rPr>
      </w:pPr>
      <w:r>
        <w:rPr>
          <w:rFonts w:ascii="Times New Roman" w:cs="Times New Roman" w:eastAsia="Times New Roman" w:hAnsi="Times New Roman"/>
          <w:sz w:val="18"/>
          <w:szCs w:val="18"/>
          <w:color w:val="auto"/>
        </w:rPr>
        <w:t>clinical trials, increase clinical trial costs, delay approval of our product candidates, impair commercialization efforts, increase our cost of goods, and have an adverse effect on our business, financial condition, results of operations and prospects.</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to our manufacturing operations, or the inability by us or our third-party suppliers or manufacturers to manufacture sufficient quantities of our product candidates at acceptable quality levels or costs, or at all, would materially and adversely affect our business.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Developing manufacturing processes to support clinical studies and commercialization requirements is a difficult and uncertain task, and there are risks associated with scaling to the level required for clinical trials or commercialization, including, among others, cost overruns, potential problems with process scale-out, process reproducibility, stability and purity issues, lot consistency, and timely availability of acceptable reagents and raw materials. If we are unable to scale to the level required for the conduct of clinical trials or commercialization, we may not be able to produce our product candidates in a sufficient quantity to conduct our ongoing and planned clinical trials, or to meet demand if any product candidates are approved for commercialization. We have not yet caused any of our product candidates to be manufactured or processed on a commercial scale and may not be able to do so for any of our product candidates.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substantially dependent on our own internal manufacturing facilities in San Diego, California for the production of our product candidates, and we rely, and expect to continue to rely, on third parties for the manufacture of certain components to manufacture our product candidates for use in conducting clinical trials. The facilities used to manufacture our product candidates, including our own facilities, must be evaluated by the FDA or other foreign regulatory agencies pursuant to inspections that will be conducted after we submit an application to the FDA or other foreign regulatory agencies. If the FDA or a comparable foreign regulatory authority finds deficiencies with or does not approve these facilities for the manufacture of our product candidates or if it later finds deficiencies or withdraws any such approval in the future, we may not be able to locate additional or replacement facilities to produce such product candidates or materials in a timely manner and on commercially reasonable terms, or at all. This would significantly impact our ability to develop, obtain regulatory approval for or market our product candidates, if approved.</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Because we rely on our own manufacturing facilities to produce our product candidates and on third parties for the manufacture of certain components, we are required to transfer certain manufacturing process know-how and certain intermediates to third parties, including larger-scale facilities operated by a CMO or by us, to facilitate manufacture of our product candidates for clinical trials and commercialization. Transferring manufacturing testing and processes and know-how is complex and involves review and incorporation of both documented and undocumented processes that may have evolved over time. In addition, transferring production to different facilities may require utilization of new or different processes to meet the specific requirements of a given facility. We and any CMOs or third parties that we engage to manufacture our product candidates will need to conduct significant development work to transfer these processes and manufacture each of our product candidates for clinical trials and commercialization. In addition, we may be required to demonstrate the comparability of material generated by any CMO or third parties that we engage for manufacturing our product candidates with material previously produced and used in testing. Any inability to manufacture comparable drug product by us or any CMOs or third parties that we engage to manufacture our product candidates could delay the continued development of our product candidates.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relying on third parties for the manufacture of certain components for the manufacture of our product candidates, we manufacture our product candidates ourselves, and intend to manufacture some or all of the clinical supply of our iPSC-derived NK-cell and T-cell product candidates for our ongoing and planned clinical trials. To do so, we will need to scale up our own manufacturing operations, as we do not currently have the infrastructure or capability internally to manufacture sufficient quantities of each of our product candidates to support the conduct of each of our clinical trials or commercialization of each of our product candidates, if approved. Accordingly, we will be required to make significant investments to maintain and expand our existing Good Manufacturing Practice (GMP) manufacturing capabilities and facilities, establish additional GMP manufacturing facilities, conduct GMP production, and process and scale up development and technology transfer activities for the manufacture of our product candidates, and our efforts to scale our own manufacturing operations may not succeed.</w:t>
      </w:r>
    </w:p>
    <w:p>
      <w:pPr>
        <w:spacing w:after="0" w:line="19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Even if we are successful in developing manufacturing capabilities sufficient for clinical and commercial supply, problems with our manufacturing operations or those of the third-party manufacturers upon which we rely, including difficulties with production costs and yields, quality control, stability of the product, quality assurance testing, operator error, shortages of qualified personnel, shortages of materials and supplies, facility shutdowns, global pandemics or other public health concerns, global geopolitical tensions, including wars and other armed conflicts, natural disasters (including due to the effects of climate change) or other reasons, as well as compliance with strictly enforced federal, state and foreign regulations, could result in product defects or manufacturing failures that result in lot failures, product recalls, product liability claims or insufficient supplies of our product candidates for our ongoing and planned clinical trials or eventual commercialization. Further, delays in regulatory inspections, commissioning and receiving regulatory approvals for our manufacturing capabilities or facilities, including any new facilities could delay our development plans,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4" w:name="page45"/>
    <w:bookmarkEnd w:id="44"/>
    <w:p>
      <w:pPr>
        <w:spacing w:after="0" w:line="254" w:lineRule="auto"/>
        <w:rPr>
          <w:sz w:val="20"/>
          <w:szCs w:val="20"/>
          <w:color w:val="auto"/>
        </w:rPr>
      </w:pPr>
      <w:r>
        <w:rPr>
          <w:rFonts w:ascii="Times New Roman" w:cs="Times New Roman" w:eastAsia="Times New Roman" w:hAnsi="Times New Roman"/>
          <w:sz w:val="18"/>
          <w:szCs w:val="18"/>
          <w:color w:val="auto"/>
        </w:rPr>
        <w:t>including the initiation and conduct of our ongoing and planned clinical trials. In addition, we and our third-party manufacturers may have limited manufacturing capacity for certain product candidates or components used in manufacturing our product candidates, and we may fail to locate suitable additional or replacement manufacturing capacity, including for the manufacture of our product candidates in compliance with current GMP (cGMP) or current Good Tissue Practice (cGTP), on a reasonable basis or at all. Any such failure could be the basis for the FDA or other regulatory authorities to issue a warning letter, withdraw approvals for product candidates previously granted to us, or take other regulatory or legal action, including recall or seizure of outside supplies of the product candidate, total or partial suspension of production, suspension of ongoing clinical trials, refusal to approve pending applications or supplemental applications, detention of product, refusal to permit the import or export of products, injunction or imposing civil and criminal penalties.</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Furthermore, certain of the components currently used in manufacturing our product candidates are research-grade only, and we may encounter problems obtaining or achieving adequate quantities and quality of clinical grade materials that meet FDA, European Medicines Agency, or other standards or specifications applicable in the United States or in other countries with consistent and acceptable production yields and costs. In addition, if contaminants are discovered in our supply of product candidates or in our manufacturing facilities or those of our third-party suppliers and manufacturers, such manufacturing facilities may be closed for an extended period of time to investigate and remedy the contamination. Any such events could delay or prevent our ability to obtain regulatory approval for or commercialize our product candidates, which would adversely affect our business, prospects, financial condition and results of operations.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approach to the development of product candidates is based on novel and unproven technologies, it is subject to a substantial degree of technological uncertainty and we may not succeed in developing any of our product candidates.</w:t>
      </w:r>
    </w:p>
    <w:p>
      <w:pPr>
        <w:spacing w:after="0" w:line="159"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All of our current product candidates are based on our novel iPSC platform, and some of our product candidates utilize novel genome editing technologies. To date, no iPSC-derived therapeutic product candidates have been approved in the United States or worldwide, and there have been only a limited number of regulatory approvals of genome edited therapeutics, and similarly a limited number of clinical trials involving the use of a therapeutic product candidate manufactured using a master iPSC line or genome edited cells. The development of such complex cell therapies is a relatively new and emerging field, and the scientific research that forms the basis of our efforts to discover and develop iPSC-derived and genome edited cellular immunotherapies is ongoing; this is particularly true in relation to the development of cell therapies for the treatment of autoimmune diseases where there is limited clinical data available and where we have limited prior experience. We may determine to incorporate information learned from this research into the design of our ongoing Phase 1 clinical trials of our iPSC product candidates, as well as our planned future clinical trials, which could delay or impair our clinical development activities. We may ultimately discover that our product candidates do not possess certain properties required for therapeutic effectiveness or protection from toxicity in our target patient populations, or they may exhibit undesirable side effects as more patient data become available. In addition, our product candidates may demonstrate different chemical and pharmacological properties in patients than they do in laboratory studies. It may take many years before we develop a full understanding of the pharmacological properties of our product candidates, and we may never know precisely how they function in vivo. As with any new biologic or product developed using novel technologies, our product candidates have an unknown immunogenicity profile. As a result, our cellular immunotherapy product candidates may trigger immune responses that inhibit their therapeutic effects or cause adverse side effects. In addition, one or more of our product candidates may:</w:t>
      </w:r>
    </w:p>
    <w:p>
      <w:pPr>
        <w:spacing w:after="0" w:line="88"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found ineffective or cause harmful side effects during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receive necessary regulatory approvals on a timely basis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precluded from commercialization by proprietary rights of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difficult to manufacture on a large scale;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uneconomical to commercialize or fail to achieve market acceptance.</w:t>
      </w:r>
    </w:p>
    <w:p>
      <w:pPr>
        <w:spacing w:after="0" w:line="22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Any such problems that affect one of our product candidates may have an unfavorable impact on all of our product candidates. As a result, we may never succeed in developing a marketable product and we may never become profitable, which would have an adverse effect on our business, prospects, financial condition, results of operations, and market price of shares of our common stock.</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our current product candidates and any future product candidates may be used in combination with third-party drugs or biologics, some of which may still be in development, and we have limited or no control over the supply, regulatory status, or regulatory approval of such drugs or biologics.</w:t>
      </w:r>
    </w:p>
    <w:p>
      <w:pPr>
        <w:spacing w:after="0" w:line="175"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Certain of our product candidates are being developed for use in combination with one or more other cancer therapies, such as monoclonal antibodies, and other current or future product candidates may be used in combination with other biologics or drugs, both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45" w:name="page46"/>
    <w:bookmarkEnd w:id="45"/>
    <w:p>
      <w:pPr>
        <w:ind w:right="40"/>
        <w:spacing w:after="0" w:line="258" w:lineRule="auto"/>
        <w:rPr>
          <w:sz w:val="20"/>
          <w:szCs w:val="20"/>
          <w:color w:val="auto"/>
        </w:rPr>
      </w:pPr>
      <w:r>
        <w:rPr>
          <w:rFonts w:ascii="Times New Roman" w:cs="Times New Roman" w:eastAsia="Times New Roman" w:hAnsi="Times New Roman"/>
          <w:sz w:val="18"/>
          <w:szCs w:val="18"/>
          <w:color w:val="auto"/>
        </w:rPr>
        <w:t>approved and unapproved, such as fludarabine. Our ability to develop and ultimately commercialize our current product candidates and any future product candidates used in combination with another drug or biologic will depend on our ability, or the ability of third-party clinical trial sites on which we rely, to access such drugs or biologics on commercially reasonable terms for the clinical trials and their availability for use with the commercialized product, if approved. We cannot be certain that we, or third-party clinical trial sites on which we rely, will be able to secure a steady supply of such drugs or biologics on commercially reasonable terms or at all.</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Any failure by us, or by third-party clinical trial sites on which we rely, to secure a steady supply of such drugs or biologics may delay our development timelines, increase our costs and jeopardize our ability to develop our current product candidates and any future product candidates as commercially viable therapies. If any of these occur, our business, financial condition, results of operations, stock price and prospects may be materially harmed.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the development of product candidates for use in combination with another product or product candidate may present challenges that are not faced for single agent product candidates. For example,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combination therapy and not our current product candidates or any of our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marketing approval. Such developments may include changes to the other product’s safety or efficacy profile, changes to the availability of the approved product, quality, manufacturing and supply issues, and changes to the standard of care.</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the event that any collaborator or supplier cannot continue to supply their products on commercially reasonable terms, we would need to identify alternatives for accessing such products. Additionally, should the supply of products from any collaborator or supplier be interrupted, delayed or otherwise be unavailable, our clinical trials may be delayed. In the event we are unable to source an alternative supply or are unable to do so on commercially reasonable terms, our business, financial condition, results of operations, stock price and prospects may be materially harmed.</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extent a third-party clinical trial site on which we rely sources a combination therapy itself and does not submit the costs of such therapy to government programs or patients’ insurance, the costs of such therapy may be passed on to us, which could harm our business, financial condition, results of operations, stock price and prospects.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including as a result of challenges in identifying and recruiting eligible patients to participate in our trials or competition for patients, our clinical development activities could be delayed or otherwise adversely affected.</w:t>
      </w:r>
    </w:p>
    <w:p>
      <w:pPr>
        <w:spacing w:after="0" w:line="15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required to identify and enroll a sufficient number of patients with the disease under investigation for each of our ongoing and planned clinical trials of our product candidates, and we may not be able to identify and enroll a sufficient number of patients, or those with required or desired characteristics and who meet certain criteria, in a timely manner. In addition, we will be competing with other clinical trials of product candidates being developed by our competitors in the same therapeutic areas, and potential patients who might be eligible for enrollment in one of our clinical trials may instead choose to enroll in a trial being conducted by one of our competitors. We may also face an unwillingness of sites to participate in our clinical trials. A number of cell therapy companies have recently commenced clinical trials for the treatment of autoimmune diseases, which has increased competition for investigators and for patients for our ongoing and any future clinical trials that we may initiate for the treatment of autoimmune diseases.</w:t>
      </w:r>
    </w:p>
    <w:p>
      <w:pPr>
        <w:spacing w:after="0" w:line="18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Our ability, and the ability of investigators, to enroll patients in our ongoing and planned clinical trials of our product candidates is affected by factors including:</w:t>
      </w:r>
    </w:p>
    <w:p>
      <w:pPr>
        <w:spacing w:after="0" w:line="5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clinical trial sites and recruit clinical trial investigators with the appropriate capabilities, competencies and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solicit and recruit a sufficient number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and whether the FDA agrees to the design and implementation of the trial;</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23" w:right="379" w:bottom="1440" w:gutter="0" w:footer="0" w:header="0"/>
        </w:sectPr>
      </w:pPr>
    </w:p>
    <w:bookmarkStart w:id="46" w:name="page47"/>
    <w:bookmarkEnd w:id="46"/>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small size and nature of the patient populations for certain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clinical trials in question;</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5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risks and benefits of the product candidate under study, including any perceived risks associated with our iPSC-derived product candidates, which we believe are the first ever iPSC-derived cell therapies cleared by the FDA for clinical investigation in the United States, or with our chimeric antigen receptor (CAR) T-cell therapies broadly following FDA’s investigation into reports of T-cell malignancies for B-cell maturation antigen (BCMA)- and CD19-directed autologous CAR T cell therapies, and perceived risks associated with the novel use of cell therapies for the treatment of autoimmune diseases, where there are no FDA-approved cell therapies and limited clinical precedent;</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medical practice patterns or guidelines related to the indications we are investigating;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therapies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time and resources at the limited number of institutions at which our clinical trials are or will be conducted, including any constraints on resources, or policies and procedures implemented, at hospitals and clinical trial sites as a result of any natural disaster or public health crisis;</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cells suitable for the manufacture of our clinical product candidates from eligible and qualified donors for certain of our product candidates;</w:t>
      </w:r>
    </w:p>
    <w:p>
      <w:pPr>
        <w:spacing w:after="0" w:line="53"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components and agents necessary to enroll and treat prospective patients in our clinical trials, including agents which may be required to condition patients or monoclonal antibodies which are intended for administration to patients in combination with our product candidates, in certain of our clinical trials;</w:t>
      </w:r>
    </w:p>
    <w:p>
      <w:pPr>
        <w:spacing w:after="0" w:line="6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including through remote monitoring if required as a result of precautionary changes implemented at clinical trial sites as a result of any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development of certain of our product candidates as treatment for autoimmune diseases represents a novel approach, and no cell therapies have been approved for commercial use for the treatment of autoimmune diseases. As a consequence, use of cell therapies such as our product candidates for the treatment of autoimmune diseases may not gain the acceptance of the public or medical community. Our ability to enroll patients in our clinical trials for treatment of autoimmune diseases will depend upon the treatment practices of physicians who specialize in the treatment of autoimmune diseases targeted by our product candidates, and enrollment in our clinical trials may be impaired if physicians are reluctant to enroll patients into our clinical trials in lieu of, or in addition to, using existing treatments with which they are more familiar and for which more clinical data may be available. In addition, patient populations targeted for autoimmune diseases by our product candidates are typically not at risk of near-term death, even if they may suffer life-threatening symptoms, so these patients will need to deem the potential benefits of our cell therapy product candidates to be worth the risk of unknown potential adverse side effects. Furthermore, autoimmune disease patients and their physicians may choose to use conventional therapies, such as corticosteroids or systemic immunosuppressive medications, rather than participate in our clinical trials.</w:t>
      </w:r>
    </w:p>
    <w:p>
      <w:pPr>
        <w:spacing w:after="0" w:line="1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of our clinical trial sites at times have delayed or paused patient enrollment in clinical trials as a result of the COVID-19 pandemic and supply chain shortages, and may do so again in the future for a variety of reasons. The extent and duration of such delays and disruptions, and the overall impact on the timing and conduct of our clinical trials, are uncertain. If we have difficulty enrolling a sufficient number of patients to conduct our clinical trials as planned, we may need to delay or terminate ongoing or planned clinical trials, either of which would have an adverse effect on our business, prospects, financial condition, results of operations, and market price of shares of our common stock.</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development of our product candidates could be substantially delayed if we are required to conduct unanticipated studies, including preclinical studies or clinical trials, or if the FDA imposes other requirements or restrictions including on the manufacture, of our product candidates.</w:t>
      </w:r>
    </w:p>
    <w:p>
      <w:pPr>
        <w:spacing w:after="0" w:line="15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FDA may require us to generate additional preclinical, product, manufacturing, or clinical data as a condition to continuing our current clinical trials, or initiating and conducting any future clinical trials of our current product candidates or other cell product candidates that we may identify. Additionally, the FDA may in the future have comments, or impose requirements, on the conduct of our clinical trials or the initiation of clinical trials or any of our other iPSC-derived cell product candidates, including the protocols,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47" w:name="page48"/>
    <w:bookmarkEnd w:id="47"/>
    <w:p>
      <w:pPr>
        <w:ind w:right="20"/>
        <w:spacing w:after="0" w:line="256" w:lineRule="auto"/>
        <w:rPr>
          <w:sz w:val="20"/>
          <w:szCs w:val="20"/>
          <w:color w:val="auto"/>
        </w:rPr>
      </w:pPr>
      <w:r>
        <w:rPr>
          <w:rFonts w:ascii="Times New Roman" w:cs="Times New Roman" w:eastAsia="Times New Roman" w:hAnsi="Times New Roman"/>
          <w:sz w:val="18"/>
          <w:szCs w:val="18"/>
          <w:color w:val="auto"/>
        </w:rPr>
        <w:t>processes, materials and facilities we use to manufacture our product candidates and potential future product candidates in support of clinical trials. Any requirements to generate additional data, or redesign or modify our protocols, processes, materials or facilities, or other additional comments, requirements or impositions by the FDA, may cause delays in the initiation or conduct of the current or future clinical trials for our product candidates and subsequent development activities for our product candidates, and could require us to incur additional development or manufacturing costs and resources, seek funding for these increased costs or resources or delay our timeline for, or cease, our preclinical or clinical development activities for our product candidates, or could create uncertainty and additional complexity in our ability to obtain regulatory approval for our product candidates.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Further, if the results of our clinical trials are inconclusive, or if there are safety concerns or adverse events associated with our existing product candidates or any other product candidates we may identify, we may:</w:t>
      </w:r>
    </w:p>
    <w:p>
      <w:pPr>
        <w:spacing w:after="0" w:line="5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or unable to obtain, regulatory approval for such product candidates;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amend the protocols for our clinical trials, perform additional nonclinical studies or clinical trials to support approval or be subject to additional post-marketing testing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or contraindications; or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product candidate is approved, have regulatory authorities withdraw their approval of the product or impose restrictions on its use.</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our current and planned clinical trials are successful, we will need to conduct additional clinical trials, which may include registrational trials, trials in additional patient populations or under different treatment conditions, and trials using different manufacturing protocols, processes, materials or facilities or under different manufacturing conditions, before we are able to seek approvals for our product candidates from the FDA and regulatory authorities outside the United States to market and sell these product candidates. In addition, changes in regulatory policies or the administration as a result of the 2024 U.S. presidential election may result in delays in the regulatory review and approval process and cause uncertainty regarding approval pathways. If we fail to meet the requirements to support continued clinical development, our clinical development activities for any of our product candidates are delayed or suspended, or we fail to obtain or maintain regulatory approvals with an acceptable scope, our business, prospects, financial condition and results of operations will be harmed.</w:t>
      </w:r>
    </w:p>
    <w:p>
      <w:pPr>
        <w:spacing w:after="0" w:line="18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focus on the development of programmed cellular immunotherapies for patients with cancer and autoimmune diseases, including off-the-shelf NK- and T-cell product candidates derived from clonal master engineered iPSC lines. Because our iPSC product platform is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For example, in January 2023, we announced the discontinuation of our FT516, FT596, FT538, and FT536 NK cell programs to focus our resources on advancing our most innovative and differentiated programs. We have also expanded our research and development efforts into areas outside of our initial focus in oncology, such as autoimmune diseases, where we have limited or no experience. Due to these factors, our spending on current and future research and development programs and product candidates and the scientific innovation arising from these expenditures, may not yield commercially viable product candidates.</w:t>
      </w:r>
    </w:p>
    <w:p>
      <w:pPr>
        <w:spacing w:after="0" w:line="19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5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conduct of clinical trials, patients may report changes in their health, including illnesses, injuries and discomforts, to their doctor. Often, it is not possible to determine whether or not the product candidate being studied caused these conditions. Regulatory authorities may draw different conclusions and may require us to pause our clinical trials or require additional testing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48" w:name="page49"/>
    <w:bookmarkEnd w:id="48"/>
    <w:p>
      <w:pPr>
        <w:ind w:right="80"/>
        <w:spacing w:after="0" w:line="282" w:lineRule="auto"/>
        <w:rPr>
          <w:sz w:val="20"/>
          <w:szCs w:val="20"/>
          <w:color w:val="auto"/>
        </w:rPr>
      </w:pPr>
      <w:r>
        <w:rPr>
          <w:rFonts w:ascii="Times New Roman" w:cs="Times New Roman" w:eastAsia="Times New Roman" w:hAnsi="Times New Roman"/>
          <w:sz w:val="18"/>
          <w:szCs w:val="18"/>
          <w:color w:val="auto"/>
        </w:rPr>
        <w:t>confirm these determinations, if they occur. Drug-related side effects could also affect patient recruitment or the ability of enrolled patients to complete the trial or result in potential product liability claims.</w:t>
      </w:r>
    </w:p>
    <w:p>
      <w:pPr>
        <w:spacing w:after="0" w:line="16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addition,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may be reported by subjects or patients. Many times, drug-related side effects are only detectable after investigational products are tested in large-scale pivotal trials or, in some cases, after they are made available to patients on a commercial scale after approval. Furthermore, because certain autoimmune diseases we seek to treat may be less serious than the later stage cancers traditionally being treated with cell therapies or other immunotherapy products, we believe the FDA and other regulatory authorities will apply a different benefit-risk threshold such that any potential harmful side effects may outweigh the benefits of our product candidates and require us to cease clinical trials or result in denial of regulatory approval of our product candidates in autoimmune disease indications. Tolerance for adverse events in the autoimmune disease patient populations being pursued with cell-based therapies, such as in SLE patients in our FT819 clinical trial, is expected to be lower than it is in oncology, and the risks of negative impacts from these toxicities may therefore be greater for our autoimmune programs than for our oncology programs or the oncology programs of others. If any of our product candidates cause undesirable side effects or have unfavorable benefit-risk profiles, this may cause us or regulatory authorities to interrupt, delay, or halt clinical trials, and the development of the product candidate may fail or be delayed. If the product candidate receives regulatory approval, such undesirable side effects could result in a more restrictive label than anticipated or in the regulatory approval being revoked. Any such delay or failure as a result of undesirable side effects would harm our business, financial condition, results of operations and prospects.</w:t>
      </w:r>
    </w:p>
    <w:p>
      <w:pPr>
        <w:spacing w:after="0" w:line="19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are being developed for the treatment of patient populations with significant comorbidities, particularly in the case of oncology patients, that may result in deaths or serious adverse events or unacceptable side effects and require us to abandon or limit our clinical development activities.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Patients treated with our current product candidates, particularly in our clinical trials in oncology indications, may also receive chemotherapy, radiation, and/or other high dose or myeloablative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In particular, the oncology diseases we are studying have complex comorbidities and the patients enrolled in those studies are often critically ill.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 and the value of our common stock would decline.</w:t>
      </w:r>
    </w:p>
    <w:p>
      <w:pPr>
        <w:spacing w:after="0" w:line="184" w:lineRule="exact"/>
        <w:rPr>
          <w:sz w:val="20"/>
          <w:szCs w:val="20"/>
          <w:color w:val="auto"/>
        </w:rPr>
      </w:pPr>
    </w:p>
    <w:p>
      <w:pPr>
        <w:jc w:val="both"/>
        <w:ind w:right="1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product candidates are based on novel technologies, it is difficult to predict the regulatory approval process and the time, the cost and our ability to successfully initiate, conduct and complete clinical development, and obtain the necessary regulatory and reimbursement approvals, required for commercialization of our product candidates, if approved.</w:t>
      </w:r>
    </w:p>
    <w:p>
      <w:pPr>
        <w:spacing w:after="0" w:line="1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cell programming technology and platform for generating cell therapy products using iPSCs represent novel therapeutic approaches, and to our knowledge there are currently no iPSC-derived cell products approved anywhere in the world for commercial sale. As such, it is difficult to accurately predict the type and scope of challenges we may incur during development of our product candidates, and we face uncertainties associated with the preclinical and clinical development, manufacture and regulatory requirements for the initiation and conduct of clinical trials, regulatory approval, and reimbursement required for successful commercialization of these product candidates. In addition, because our iPSC-derived cell product candidates are all in the early clinical or preclinical stage, we are currently assessing safety in humans and have not yet been able to assess the long-term effects of treatment. Animal models and assays may not accurately predict the safety and efficacy of our product candidates in our target patient populations, and appropriate models and assays may not exist for demonstrating the safety and purity of our product candidates, as required by the FDA and other regulatory authorities for ongoing clinical development and regulatory approval.</w:t>
      </w:r>
    </w:p>
    <w:p>
      <w:pPr>
        <w:spacing w:after="0" w:line="188"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preclinical and clinical development, manufacture, and regulatory requirements for approval of novel product candidates such as ours can be more expensive and take longer than for other more well-known or extensively studied pharmaceutical or biopharmaceutical product candidates due to a lack of prior experiences on the side of both developers and regulatory agencies. Additionally, due to the uncertainties associated with the preclinical and clinical development, manufacture, and regulatory requirements for approval of our product candidates, we may be required to modify or change our preclinical and clinical development plans or our manufacturing activities and plans, or be required to meet stricter regulatory requirements for approval. Any such</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9" w:name="page50"/>
    <w:bookmarkEnd w:id="49"/>
    <w:p>
      <w:pPr>
        <w:ind w:right="160"/>
        <w:spacing w:after="0" w:line="282" w:lineRule="auto"/>
        <w:rPr>
          <w:sz w:val="20"/>
          <w:szCs w:val="20"/>
          <w:color w:val="auto"/>
        </w:rPr>
      </w:pPr>
      <w:r>
        <w:rPr>
          <w:rFonts w:ascii="Times New Roman" w:cs="Times New Roman" w:eastAsia="Times New Roman" w:hAnsi="Times New Roman"/>
          <w:sz w:val="18"/>
          <w:szCs w:val="18"/>
          <w:color w:val="auto"/>
        </w:rPr>
        <w:t>modifications or changes could delay or prevent our ability to develop, manufacture, obtain regulatory approval or commercialize our product candidates, which would adversely affect our business, financial condition and results of operations.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Cellular immunotherapies, and iPSC-derived cell therapies in particular, represent relatively new therapeutic areas, and the FDA has cautioned consumers about potential safety risks associated with cell therapies. For example, in November 2023, the FDA announced that it would be conducting an investigation into reports of T-cell malignancies following BCMA-directed or CD19-directed autologous CAR T-cell immunotherapies following reports of T-cell lymphoma in patients receiving these therapies. In January 2024, the FDA determined that new safety information related to T-cell malignancies should be included in the labeling with boxed warning language on these malignancies for all BCMA- and CD19-directed genetically modified autologous T-cell immunotherapies. To date, there are relatively few approved cell therapies as treatments for cancer, and no cell-based therapies have been approved for commercial use for the treatment of an autoimmune disease. Currently, all approved CAR T-cell immunotherapies are in oncology indications, and there can be no assurance that the FDA will find the risks of treatment with cell therapy acceptable in other indications, such as autoimmune diseases. The development of any cell therapy may be placed on hold by the FDA upon the detection of any unexpected safety event to evaluate the potential relevance of such novel technology to the occurrence of such safety event, highlighting the technical and regulatory risk of working with new technology. As a result, the regulatory approval process for product candidates such as ours is uncertain and may be more expensive and take longer than the approval process for cell therapy product candidates based on other, better known or more extensively studied technologies and therapeutic approaches.</w:t>
      </w:r>
    </w:p>
    <w:p>
      <w:pPr>
        <w:spacing w:after="0" w:line="190"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Regulatory requirements in the United States and in other countries governing the development of cell therapy products and therapeutic products created with gene editing technology have changed frequently and the FDA or other regulatory bodies may change the requirements, or identify different regulatory pathways, for approval for any of our product candidates. For example, as regulatory expectations regarding cell therapy products and products created with gene editing technology continue to evolve, the FDA could require additional testing or new testing of products created with gene editing technology, including our product candidates, and any such additional FDA requirements for approval for any of our product candidates may adversely impact or slow development of our product candidates. The FDA previously established the Office of Tissues and Advanced Therapies (OTAT) within the Center for Biologics Evaluation and Research (CBER) to consolidate the review of cell therapy and related products, and to advise CBER on its review. In September 2022, the FDA announced retitling of OTAT to the Office of Therapeutic Products (OTP) and elevation of OTP to a “Super Office” to meet its growing cell and gene therapy workload and new commitments under the Prescription Drug User Fee Act agreement for fiscal years 2023-2027. It is possible that over time new or different divisions may be established or be granted the responsibility for regulating cell and/or gene therapy products, including iPSC-derived cell products made with gene editing technology, such as ours. The regulatory review divisions and committees, and any new guidelines they promulgate, may lengthen the regulatory review process, require us to perform additional studies or clinical trials, and delay or prevent development, approval, and commercialization of our product candidates. As a result, we may be required to change our regulatory strategy or to modify our applications for regulatory approval, which could delay and impair our ability to complete the preclinical and clinical development and manufacture of, and obtain regulatory approval for, our product candidates. Changes in regulatory authorities and advisory groups, or any new requirements or guidelines they promulgate, may lengthen the regulatory review process, require us to perform additional studies, increase our development and manufacturing costs, lead to changes in regulatory pathways, positions and interpretations, delay or prevent approval and commercialization of our product candidates or lead to significant post-approval limitations or restrictions. As we advance our product candidates, we will be required to consult with the FDA and other regulatory authorities, and our product candidates will likely be reviewed by an FDA advisory committee. We also must comply with applicable requirements, and if we fail to do so, we may be required to delay or discontinue development of our product candidates. Delays or unexpected costs in obtaining, or the failure to obtain, the regulatory approval necessary to bring a potential product to market could impair our ability to generate sufficient product revenues to maintain our business.</w:t>
      </w:r>
    </w:p>
    <w:p>
      <w:pPr>
        <w:spacing w:after="0" w:line="202"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Preliminary data and interim results we disclose may change as more patient data becomes available or as we make changes to our protocols or manufacturing processes, and such interim results and results from earlier studies may not be predictive of the final results, or of later studies or future clinical trials.</w:t>
      </w:r>
    </w:p>
    <w:p>
      <w:pPr>
        <w:spacing w:after="0" w:line="1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disclose results from preclinical testing or preliminary data or interim results from clinical studies of our product candidates. Such results from preclinical testing, process development and manufacturing activities, and clinical studies, including interim clinical trial results as of specified data cutoff dates and results of earlier clinical studies with similar product candidates, are not necessarily predictive of future results, including later clinical trial results.</w:t>
      </w:r>
    </w:p>
    <w:p>
      <w:pPr>
        <w:spacing w:after="0" w:line="1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results of our current and future clinical trials may differ from results achieved in earlier preclinical and clinical studies for a variety of reasons, including:</w:t>
      </w:r>
    </w:p>
    <w:p>
      <w:pPr>
        <w:spacing w:after="0" w:line="54" w:lineRule="exact"/>
        <w:rPr>
          <w:sz w:val="20"/>
          <w:szCs w:val="20"/>
          <w:color w:val="auto"/>
        </w:rPr>
      </w:pPr>
    </w:p>
    <w:p>
      <w:pPr>
        <w:ind w:left="5540" w:right="3880" w:hanging="5023"/>
        <w:spacing w:after="0" w:line="532" w:lineRule="auto"/>
        <w:tabs>
          <w:tab w:leader="none" w:pos="10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demonstrate the potency and efficacy benefits observed in previous studies;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0" w:name="page51"/>
    <w:bookmarkEnd w:id="50"/>
    <w:p>
      <w:pPr>
        <w:ind w:left="1020" w:right="280" w:hanging="503"/>
        <w:spacing w:after="0" w:line="312"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efforts to improve, standardize and automate the manufacture and supply of our product candidates and any resulting deviations in the manufacture of our product candidates, may adversely affect the safety, purity, potency, stability, or efficacy of such product candidates;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study design, including differences in conditioning regimens, eligibility criteria, and patient populations;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the standard of care may affect our ability to demonstrate efficacy or achieve study endpoints in our current or future clinical trials;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or adverse events in patients who enroll in our current or future clinical trials.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some of the data from clinical trials of our product candidates performed to date were generated from open-label studies, and these studies are being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treatment regimen patients have received and may interpret the information of the treated group more favorably given this knowledge. Accordingly, the preliminary data from our Phase 1 clinical trials of certain of our product candidates may not be predictive of future clinical trial results for these or other product candidates when studied in a controlled environment or larger patient populations.</w:t>
      </w:r>
    </w:p>
    <w:p>
      <w:pPr>
        <w:spacing w:after="0" w:line="19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also publish interim, “top-line,” or preliminary data from our clinical studies based on a preliminary analysis of then-available data. Preliminary or interim data from clinical trials that we are conducting are subject to the risk that one or more of the clinical outcomes may materially change as patient enrollment continues, the duration of treatment increases and more patient data become available. For example, although we have, from time to time, reported positive interim clinical data for certain of our clinical programs, we may encounter dose-limiting toxicities or unacceptable side effects for these product candidates as dose escalation and expansion progresses in our clinical trials and additional patient data become available. Our preliminary or interim results and related conclusions also are subject to change following a more comprehensive review of the data related to the particular study or trial.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 financial condition and results of operations.</w:t>
      </w:r>
    </w:p>
    <w:p>
      <w:pPr>
        <w:spacing w:after="0" w:line="190"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clinical testing of any of our existing or future product candidates may fail to show the necessary safety and efficacy required for regulatory approval.</w:t>
      </w:r>
    </w:p>
    <w:p>
      <w:pPr>
        <w:spacing w:after="0" w:line="15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of our product candidates, we must complete preclinical development and then conduct extensive clinical trials to demonstrate the safety and efficacy in humans of any such product candidates.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Our product candidates have a limited history of being evaluated in human clinical trials. Any of our product candidates may fail to show the desired safety and efficacy in later stages of clinical development despite having successfully advanced through initial clinical trials.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8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our product candidates are ultimately not approved for any reason, our business, prospects, results of operations and financial condition would be adversely affected. In addition, the standard of care may change with the approval of new products for the same indications that we are studying.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regulatory scrutiny.</w:t>
      </w:r>
    </w:p>
    <w:p>
      <w:pPr>
        <w:spacing w:after="0" w:line="22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protocols, processes, materials and facilities, qualification testing, post-approval clinical data, labeling and promotional activities for such product, will be subject to continual and additional requirements of the FDA and other regulatory authorities. These requirements include submissions of safety and other post-marketing information, reports, registration and listing requirements, requirements relating to cGMP, applicable product tracking and tracing requirements, quality control, quality assurance and corresponding maintenance of records and documents, and recordkeeping. Even if marketing approval of a product candidate is granted, the approval may be subject to limitations on the indicated uses for which the product may be marketed or to conditions of approval, or contain requirements for costly post-marketing testing and surveillance to monitor the safety or efficacy of the product. Additionally, under the Food and Drug Omnibus Reform Act of 2022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our product candidates, manufacturing operations, or failure to comply with regulatory requirements, may lead to various adverse conditions, including significant delays in bringing our product candidates to market and/or being precluded from manufacturing or selling our product candidates, any of which could significantly harm our business.</w:t>
      </w:r>
    </w:p>
    <w:p>
      <w:pPr>
        <w:spacing w:after="0" w:line="193" w:lineRule="exact"/>
        <w:rPr>
          <w:sz w:val="20"/>
          <w:szCs w:val="20"/>
          <w:color w:val="auto"/>
        </w:rPr>
      </w:pPr>
    </w:p>
    <w:p>
      <w:pPr>
        <w:jc w:val="both"/>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regenerative medicine advanced therapy (RMAT) designation for certain of our product candidates, but such designation may not actually lead to a faster development or regulatory review or approval process and we may be unable to obtain or maintain the benefits associated with such designation.</w:t>
      </w:r>
    </w:p>
    <w:p>
      <w:pPr>
        <w:spacing w:after="0" w:line="1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may seek RMAT designation from the FDA for certain of our product candidates. A product candidate is eligible for RMAT designation if: (1) it is a cell therapy, therapeutic tissue engineering product, human cell or tissue product, or a combination product using any such therapies or products; (2) it is intended to treat, modify, reverse, or cure a serious or life-threatening disease or condition; and (3) there is preliminary clinical evidence that indicates that the product candidate has the potential to address unmet medical needs for such disease or condition. This program is intended to facilitate efficient development and expedite review of RMATs. A Biologics License Application (BLA) for a product candidate with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product candidate that has RMAT designation and is subsequently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RMAT designation, the FDA may disagree and instead determine not to grant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qualifies for RMAT designation, the FDA may later decide that the product candidate no longer meets the conditions for qualification.</w:t>
      </w:r>
    </w:p>
    <w:p>
      <w:pPr>
        <w:spacing w:after="0" w:line="191"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orphan drug status to develop and commercialize certain of our product candidates, but orphan drug designations may not confer marketing exclusivity or other expected commercial benefits and we may not be able to obtain orphan drug designations for our other product candidates.</w:t>
      </w:r>
    </w:p>
    <w:p>
      <w:pPr>
        <w:spacing w:after="0" w:line="1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may rely on orphan drug exclusivity for product candidates that we may develop. Orphan drug status confers seven years of marketing exclusivity in the United States under the Federal Food Drug, and Cosmetic Act, and up to ten years of marketing exclusivity in Europe for a particular product in a specified indication, subject to certain conditions. However, we may be unable to obtain orphan drug designations for any of our product candidates that we are currently developing or may pursue. Even if we do obtain orphan drug designations and are the first to obtain marketing approval of our product candidates for the applicable indications, we will not be able to rely on these designations to exclude other companies from manufacturing or selling biological products using the same principal molecular structural features for the same indication beyond these time-frames. Furthermore, any marketing exclusivity in Europe can be reduced from ten years to six years if the initial designation criteria have significantly changed since the market authorization of the orphan product.</w:t>
      </w:r>
    </w:p>
    <w:p>
      <w:pPr>
        <w:spacing w:after="0" w:line="19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any product candidate for which we may be granted orphan drug designation in a particular indication, it is possible that another company also holding orphan drug designation for the same product candidate will receive marketing approval for the same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9" w:right="379" w:bottom="1440" w:gutter="0" w:footer="0" w:header="0"/>
        </w:sectPr>
      </w:pPr>
    </w:p>
    <w:bookmarkStart w:id="52" w:name="page53"/>
    <w:bookmarkEnd w:id="52"/>
    <w:p>
      <w:pPr>
        <w:ind w:right="280"/>
        <w:spacing w:after="0" w:line="256" w:lineRule="auto"/>
        <w:rPr>
          <w:sz w:val="20"/>
          <w:szCs w:val="20"/>
          <w:color w:val="auto"/>
        </w:rPr>
      </w:pPr>
      <w:r>
        <w:rPr>
          <w:rFonts w:ascii="Times New Roman" w:cs="Times New Roman" w:eastAsia="Times New Roman" w:hAnsi="Times New Roman"/>
          <w:sz w:val="18"/>
          <w:szCs w:val="18"/>
          <w:color w:val="auto"/>
        </w:rPr>
        <w:t>indication before we do. If that were to happen, our applications for that indication may not be approved until the competing company’s period of exclusivity expires. Even if we are the first to obtain marketing authorization for an orphan drug indication in the United States, there are circumstances under which a competing product may be approved for the same indication during the seven-year period of marketing exclusivity, such as if the later product is shown to be clinically superior to our orphan product, or if the later product is deemed a different product than ours. Further, the seven-year marketing exclusivity would not prevent competitors from obtaining approval of the same product candidate as ours for indications other than those in which we have been granted orphan drug designation, or for the use of other types of products in the same indications as our orphan product.</w:t>
      </w:r>
    </w:p>
    <w:p>
      <w:pPr>
        <w:spacing w:after="0" w:line="183"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cell programming technology as a designated platform technology, but we might not receive such designation, and even if we do, such designation may not lead to a faster development or regulatory review or approval process.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may seek designation for our cell programming technology as designated platform technology. Under FDORA, a platform technology incorporated within or utilized by a drug or biological product is eligible for designation as a designated platform technology if (1) the platform technology is incorporated in, or utilized by, a drug approved under a BLA or New Drug Application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or NDA for a drug that uses or incorporates the platform technology. Even if we believe our cell programming technology meets the criteria for such designation, the FDA may disagree and instead determine not to grant such designation. In addition, the receipt of such designation for a platform technology does not ensure that a drug will be developed more quickly or lead to a faster FDA review or approval process and does not assure ultimate FDA approval of a drug. Moreover, the FDA may revoke a designation if the FDA determines that a designated platform technology no longer meets the criteria for such designation.</w:t>
      </w:r>
    </w:p>
    <w:p>
      <w:pPr>
        <w:spacing w:after="0" w:line="193"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of one or more of our product candidate into real-time oncology review (RTOR). This program may not lead to a faster regulatory review or approval process and does not increase the likelihood that our product candidate(s) will receive marketing approval.</w:t>
      </w:r>
    </w:p>
    <w:p>
      <w:pPr>
        <w:spacing w:after="0" w:line="15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Participation in RTOR is voluntary. Our acceptance into RTOR does not guarantee or influence approval of our application, which is subject to the same statutory and regulatory requirements for approval as applications that are not included in RTOR. Although early approvals have occurred with applications selected for RTOR, this may not be the case for our application even if it is selected for RTOR. If at any time the FDA determines our participation in RTOR, if selected, is no longer appropriate, the FDA may rescind our acceptance and instruct us to follow routine submission procedures for marketing approval.</w:t>
      </w:r>
    </w:p>
    <w:p>
      <w:pPr>
        <w:spacing w:after="0" w:line="179"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regulations, including federal and state healthcare fraud and abuse laws, physician payment transparency laws, anti-bribery and anti-corruption laws and health information privacy and security laws. Any actual or perceived failure to comply with these regulations could have a material adverse effect on our business and financial condition.</w:t>
      </w:r>
    </w:p>
    <w:p>
      <w:pPr>
        <w:spacing w:after="0" w:line="1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subject to various federal and state healthcare laws, including, without limitation, fraud and abuse laws, false claims laws, data privacy and security laws, as well as transparency laws regarding payments or other items of value provided to healthcare providers. These laws may impact, among other things, our proposed sales, marketing and education programs. Additionally, we may be subject to state and foreign equivalents of such healthcare laws and regulations, some of which may be broader in scope and may apply regardless of the payor, as well as patient privacy regulation by both the federal government and the states in which we conduct our business. 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If our operations, including our arrangements with physicians and other healthcare providers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53" w:name="page54"/>
    <w:bookmarkEnd w:id="53"/>
    <w:p>
      <w:pPr>
        <w:spacing w:after="0" w:line="261" w:lineRule="auto"/>
        <w:rPr>
          <w:sz w:val="20"/>
          <w:szCs w:val="20"/>
          <w:color w:val="auto"/>
        </w:rPr>
      </w:pPr>
      <w:r>
        <w:rPr>
          <w:rFonts w:ascii="Times New Roman" w:cs="Times New Roman" w:eastAsia="Times New Roman" w:hAnsi="Times New Roman"/>
          <w:sz w:val="18"/>
          <w:szCs w:val="18"/>
          <w:color w:val="auto"/>
        </w:rPr>
        <w:t>state healthcare programs (such as Medicare and Medicaid), and imprisonment,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 For more information, please see “Business—Government Regulation—Other Healthcare Laws and Compliance Requirements.”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in the current environment of healthcare reform, especially in light of the lack of applicable precedent and regulations. Federal and state enforcement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individual imprisonment.</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individual imprisonment.</w:t>
      </w:r>
    </w:p>
    <w:p>
      <w:pPr>
        <w:spacing w:after="0" w:line="179"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15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plan to develop and potentially commercialize our product candidates worldwide. Accordingly, we expect that we will be subject to additional risks related to operating in foreign countries, including:</w:t>
      </w:r>
    </w:p>
    <w:p>
      <w:pPr>
        <w:spacing w:after="0" w:line="5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difficulties in managing the logistics and transportation of storing and shipping product candidates produced in the United States and shipping the product candidate to the patient abroad;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requirements and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data privacy regulations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U.S. Foreign Corrupt Practices Act or comparable foreign regulations;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ongoing and emerging geopolitical tensions, including wars, armed conflicts or acts of terrorism.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54" w:name="page55"/>
    <w:bookmarkEnd w:id="54"/>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potential international operations may materially adversely affect our ability to attain or maintain profitable operations, which could have a material adverse effect on our business and results of operations.</w:t>
      </w:r>
    </w:p>
    <w:p>
      <w:pPr>
        <w:spacing w:after="0" w:line="158"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decide to conduct clinical trials for our product candidates outside the United States, and the FDA may not accept data from trials conducted in such locations.</w:t>
      </w:r>
    </w:p>
    <w:p>
      <w:pPr>
        <w:spacing w:after="0" w:line="15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To date, we have only conducted clinical trials in the United States. However, we may in the future choose to conduct one or more of our clinical trials or include sites in current or future clinical trials outside the United States.</w:t>
      </w:r>
    </w:p>
    <w:p>
      <w:pPr>
        <w:spacing w:after="0" w:line="162"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Although the FDA may accept data from sites or clinical trials outside the United States, acceptance of these data is subject to conditions imposed by the FDA. The FDA will generally not consider the data from a foreign clinical trial not conducted under an IND unless (i) the trial was well-designed and well-conducted in accordance with Good Clinical Practice (GCP) requirements, including requirements for the design, conduct, performance, monitoring, auditing, recording, analysis, and reporting of clinical trials in a way that provides assurance that the data and reported results are credible and accurate and that the rights, safety, and well-being of trial subjects are protected, and (ii) the FDA is able to validate the data from the trial through an onsite inspection, if necessary.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while these clinical trials or trial sites are subject to the applicable local laws where the trials are conducted, FDA acceptance of the data will depend on its determination that the trials or trial sites also complied with all applicable U.S. laws and regulations. There can be no assurance that the FDA will accept data from trials conducted outside the United States. If the FDA does not accept the data from any trial or trial site outside the United States, it would likely result in the need for additional trials, which would be costly and time-consuming and would delay or halt our development of the applicable product candidates.</w:t>
      </w:r>
    </w:p>
    <w:p>
      <w:pPr>
        <w:spacing w:after="0" w:line="192"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regulatory policies may change, and additional government regulations may be enacted that could prevent, limit or delay regulatory approval of our product candidates.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June 2024, the U.S. Supreme Court overruled the Chevron doctrine, which gives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225" w:lineRule="exact"/>
        <w:rPr>
          <w:sz w:val="20"/>
          <w:szCs w:val="20"/>
          <w:color w:val="auto"/>
        </w:rPr>
      </w:pPr>
    </w:p>
    <w:p>
      <w:pPr>
        <w:jc w:val="both"/>
        <w:ind w:right="44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ongoing and planned operations, including the development of our product candidates, will require substantial additional funding, without which we will be unable to complete preclinical or clinical development of, or obtain regulatory approval for, or commercialization of our product candidates.</w:t>
      </w:r>
    </w:p>
    <w:p>
      <w:pPr>
        <w:spacing w:after="0" w:line="6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are currently advancing multiple product candidates through clinical development, and conducting preclinical research and development activities in other programs. Drug development is expensive, and we expect our research and development expenses to remain significant in connection with our ongoing activities, particularly as we advance our current product candidates in clinical trials and seek to initiate clinical development for additional product candidates.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2024, our cash, cash equivalents, and investments were $306.7 million. We intend to use our cash, cash equivalents, investments primarily to fund the advancement and clinical development of our current product candidates and our ongoing preclinical, discovery and research programs, and for working capital and general corporate purposes.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and licensing arrangements or a combination of these approaches. In any event, we will require additional capital to obtain regulatory approval for, and to commercialize our existing product candidates and any other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55" w:name="page56"/>
    <w:bookmarkEnd w:id="55"/>
    <w:p>
      <w:pPr>
        <w:ind w:right="220"/>
        <w:spacing w:after="0" w:line="266" w:lineRule="auto"/>
        <w:rPr>
          <w:sz w:val="20"/>
          <w:szCs w:val="20"/>
          <w:color w:val="auto"/>
        </w:rPr>
      </w:pPr>
      <w:r>
        <w:rPr>
          <w:rFonts w:ascii="Times New Roman" w:cs="Times New Roman" w:eastAsia="Times New Roman" w:hAnsi="Times New Roman"/>
          <w:sz w:val="18"/>
          <w:szCs w:val="18"/>
          <w:color w:val="auto"/>
        </w:rPr>
        <w:t>product candidates we may identify and develop. Even if we believe we have sufficient funds for our current or future operating plans, we may seek additional capital if market conditions are favorable or if we have specific strategic considerations. Our future capital requirements will depend on many factors, including, but not limited to:</w:t>
      </w:r>
    </w:p>
    <w:p>
      <w:pPr>
        <w:spacing w:after="0" w:line="68" w:lineRule="exact"/>
        <w:rPr>
          <w:sz w:val="20"/>
          <w:szCs w:val="20"/>
          <w:color w:val="auto"/>
        </w:rPr>
      </w:pPr>
    </w:p>
    <w:p>
      <w:pPr>
        <w:ind w:left="1020" w:right="5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size, timing and costs of our ongoing and planned clinical trials, and any additional clinical trials we may initiate, conduct or support for our product candidates;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size, timing and costs of our preclinical, process development and manufacturing studies, and activities necessary to initiate and conduct clinical trials for our product candidates and to establish and maintain manufacturing capabilities necessary to support such trials;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progress in our research and development programs, including preclinical studies, process development, manufacturing and other research activities that may be necessary in order for an IND application to go into effect for a prospective clinical development candidate, as well as potential future clinical trials of any additional product candidates we may identify for development;</w:t>
      </w:r>
    </w:p>
    <w:p>
      <w:pPr>
        <w:spacing w:after="0" w:line="67"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Memorial Sloan Kettering Cancer Center (MSKCC) in connection with the stock price appreciation milestones;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investigators to initiate and conduct, and the progress, results, size, timing and costs of, clinical trials of our product candidates that will be necessary to support any application for regulatory approval;</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or enter into arrangements with third parties for the manufacture of our existing product candidates, as well as potential future clinical development candidates, both for clinical development and commercialization, and the timing and costs associated with such manufacture;</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or other costs we may incur, in connection with the licensing,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distribution, and commercialization activities and arrangements, including the manufacturing of our product candidates, establishment of effective protocols for the supply and transport of our product candidates, and the establishment of a sales and marketing organization either internally or in partnership with a third party;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arrangements and alliances with third-party collaborators including our existing collaborations with Ono Pharmaceutical Co., Ltd. (Ono), the University of Minnesota, and MSKCC, to advance the research, development and commercialization of therapeutic products.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and interest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 different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while the overall impacts of the ongoing and emerging geopolitical tensions, including wars and other armed conflicts, on the global economy remain unknown and difficult to predict, these events caused significant disruptions and created uncertainties in the global financial markets, and the economic impacts of these and other similar global events could materially and adversely affect our ability to raise capital through equity or debt financings in the future.</w:t>
      </w:r>
    </w:p>
    <w:p>
      <w:pPr>
        <w:spacing w:after="0" w:line="7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cannot raise additional capital or obtain adequate funds, we may be required to curtail significantly our research and clinical programs or may not be able to continue our research or clinical development of our product candidates. Our failure to raise additional capital, or obtain adequate funds, will have a material adverse effect on our business, prospects, financial condition, results of operations, and market price of shares of our common stock.</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56" w:name="page57"/>
    <w:bookmarkEnd w:id="56"/>
    <w:p>
      <w:pPr>
        <w:ind w:right="5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formed in 2007 with a limited operating history. We have not yet obtained regulatory approval for any of our product candidates or generated any revenues from therapeutic product sales. Since inception, we have incurred significant net losses in each year and, as of December 31, 2024, we had an accumulated deficit of $1.4 billion. We expect to continue to incur losses for the foreseeable future as we continue to fund our ongoing and planned clinical trials of our product candidates and our other ongoing and planned research and development activities. We also expect to incur significant operating and capital expenditures as we continue our research and development of, and seek regulatory approval for, our product candidates, in-license or acquire new product candidates for development, implement additional infrastructure and internal systems, and hire additional scientific, clinical, and administrative personnel. We anticipate that our net losses for the next several years could be significant as we conduct our planned operations.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biological, and cell therapy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trials, preclinical studies, process development, manufacturing activities, or the research and development of any of our product candidates. The amount of our future net losses will depend, in part, on the rate of increase in our expenses, our ability to generate revenues and our ability to raise additional capital. These net losses have had, and will continue to have, an adverse effect on our stockholders’ equity and working capital.</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our cash, cash equivalents, and investments and may not use them effectively.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has broad discretion to use our cash, cash equivalents, investments and any additional funds that we may raise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or delay the development of our product candidates. We may invest our cash and cash equivalents in a manner that does not produce income or that loses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expect to continue to be, dependent on third parties to conduct some or all aspects of manufacturing of our product candidates for use in clinical trials and for commercial sale, if approved. Our business could be harmed if those third parties fail to perform satisfactorily.</w:t>
      </w:r>
    </w:p>
    <w:p>
      <w:pPr>
        <w:spacing w:after="0" w:line="15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While we currently manufacture clinical supplies of our iPSC-derived cell product candidates at our cGMP facilities located in San Diego, California, we also rely on third parties to manufacture certain components required for the manufacture of our product candidates, and we may rely on third parties to conduct some or all aspects of manufacturing of our product candidates for use in conducting later stage clinical trials and for commercial sale upon approval of any of our product candidates.</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Reliance on third parties for manufacture of our product candidates and components utilized in manufacturing our product candidates entails certain risks, including reliance on the third party for regulatory compliance and quality assurance, the possibility that the third-party manufacturer does not maintain the financial, personnel or other resources to meet its obligations, the possibility that the third party fails to manufacture such components, or our product candidates or any products we may eventually commercialize, in accordance with our specifications, misappropriation of our proprietary information, including our trade secrets and know-how, and the possibility of termination of our manufacturing relationship by the third party, based on its own business priorities, at a time that is costly or damaging to us. In addition, the FDA and other regulatory authorities require that our product candidates and any products that we may eventually commercialize be manufactured according to cGMP, cGTP and similar jurisdictional standards. These requirements include, among other things, quality control, quality assurance and the maintenance of records and documentation. The FDA or similar foreign regulatory agencies may also implement new standards at any time, or change their interpretations and enforcement of existing standards for manufacture, packaging or testing of products. We have little control over our manufacturers’ compliance with these regulations and standards.</w:t>
      </w:r>
    </w:p>
    <w:p>
      <w:pPr>
        <w:spacing w:after="0" w:line="19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some cases, the technical skills required to manufacture our product candidates may be unique or proprietary to a particular CMO, and we may have difficulty, or there may be contractual restrictions prohibiting us from, transferring such skills to a back-up or alternate supplier if needed, or we may be unable to transfer such skills at all. In addition, if we are required to change contract manufacturers for any reason, we will be required to verify that the new CMO maintains facilities and procedures that comply with quality standards and with all applicable regulations. We will also need to verify, such as through a manufacturing comparability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9" w:right="379" w:bottom="1440" w:gutter="0" w:footer="0" w:header="0"/>
        </w:sectPr>
      </w:pPr>
    </w:p>
    <w:bookmarkStart w:id="57" w:name="page58"/>
    <w:bookmarkEnd w:id="57"/>
    <w:p>
      <w:pPr>
        <w:ind w:right="20"/>
        <w:spacing w:after="0" w:line="256" w:lineRule="auto"/>
        <w:rPr>
          <w:sz w:val="20"/>
          <w:szCs w:val="20"/>
          <w:color w:val="auto"/>
        </w:rPr>
      </w:pPr>
      <w:r>
        <w:rPr>
          <w:rFonts w:ascii="Times New Roman" w:cs="Times New Roman" w:eastAsia="Times New Roman" w:hAnsi="Times New Roman"/>
          <w:sz w:val="18"/>
          <w:szCs w:val="18"/>
          <w:color w:val="auto"/>
        </w:rPr>
        <w:t>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produced by different manufacturers, which could require the conduct of additional clinical trials.</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 we depend in some instances on third party suppliers, including sole source suppliers, for the provision of reagents, materials, devices and equipment that are used by us and our third-party contract manufacturers in the production of our product candidates, including certain of our iPSC-derived cell therapy product candidates. Any disruption to or loss of supply from any of these suppliers could delay our clinical development and commercialization efforts, which would adversely affect our business, prospects, results of operations and financial condition.</w:t>
      </w:r>
    </w:p>
    <w:p>
      <w:pPr>
        <w:spacing w:after="0" w:line="176" w:lineRule="exact"/>
        <w:rPr>
          <w:sz w:val="20"/>
          <w:szCs w:val="20"/>
          <w:color w:val="auto"/>
        </w:rPr>
      </w:pPr>
    </w:p>
    <w:p>
      <w:pPr>
        <w:ind w:firstLine="50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depend on strategic partnerships and collaboration arrangements for the development and commercialization of certain of our product candidates in certain indications or geographic territories, and if these arrangements are terminated or are unsuccessful, this could result in delays and other obstacles in the development, manufacture or commercialization of any of our product candidates and materially harm our results of operations.</w:t>
      </w:r>
    </w:p>
    <w:p>
      <w:pPr>
        <w:spacing w:after="0" w:line="157"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Our strategy for fully developing and commercializing our product candidates is dependent upon maintaining our current arrangements and establishing new arrangements with research collaborators, corporate collaborators and other third parties. We currently have a corporate collaboration agreement with Ono; our collaboration with Janssen terminated effective April 2023. Our collaboration agreement with Ono provides for, among other things, research funding and significant future payments should certain development, regulatory and commercial milestones be achieved. Under our arrangement with Ono and any future corporate arrangements that we may form, our corporate collaborators may be responsible for:</w:t>
      </w:r>
    </w:p>
    <w:p>
      <w:pPr>
        <w:spacing w:after="0" w:line="75"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to advance product candidates through preclinical and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development and obtaining required regulatory approvals for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any resulting products.</w:t>
      </w:r>
    </w:p>
    <w:p>
      <w:pPr>
        <w:spacing w:after="0" w:line="22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a result, we may not be able to conduct such corporate collaborations in the manner or on the time schedule we currently contemplate, which may negatively impact our business operations.</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lack of control over the research funding for, and the development and commercialization of, certain of our product candidates being developed under the collaboration and option agreement we entered into with Ono on September 14, 2018 (as amended to date, the Ono Agreement) and any other product candidates that we may develop under a future arrangement could cause delays or other difficulties in the development and commercialization of any of our product candidates, which may prevent completion of research and development activities and intended regulatory filings in a timely fashion, if at all. Because we expect to continue to rely on our current collaborator and to enter into new collaborations in the future, the development and commercialization of any of our product candidates could be substantially delayed, and our ability to receive future funding could be substantially impaired, if one or more of our current or future collaborators:</w:t>
      </w:r>
    </w:p>
    <w:p>
      <w:pPr>
        <w:spacing w:after="0" w:line="81" w:lineRule="exact"/>
        <w:rPr>
          <w:sz w:val="20"/>
          <w:szCs w:val="20"/>
          <w:color w:val="auto"/>
        </w:rPr>
      </w:pPr>
    </w:p>
    <w:p>
      <w:pPr>
        <w:ind w:left="1020" w:right="6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its priorities and resources away from our collaborations due to a change in business strategies, or a merger, acquisition, sale or downsizing of its company or business unit;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development in therapeutic areas which are the subject of our collaboration;</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select a product candidate for advancement into preclinical development, clinical development, or subsequent clinical development into a marketed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success criteria for a particular product candidate, thereby delaying or ceasing development of such product candidate;</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delays the initiation or conduct of certain activities which could delay our receipt of milestone payments tied to such activities, thereby impacting our ability to fund our own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 product candidate that competes, either directly or indirectly, with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obtain the requisite regulatory approval of a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successfully commercialize a product candidate;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58" w:name="page59"/>
    <w:bookmarkEnd w:id="58"/>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encounters regulatory, resource or quality issues and is unable to meet demand requirements;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exercises its rights under the agreement to terminate the collaboration, as Janssen did in January 2023, or otherwise withdraws support for, or otherwise impairs or delays development under the collaboration;</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disagrees on the research, development or commercialization of a product candidate resulting in a delay in milestones, royalty payments or termination of such product candidate;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our proprietary information or intellectual property in such a way as to jeopardize our rights in such property.</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the termination of the Ono Agreement or any future strategic partnership or collaboration arrangement that we enter into may prevent us from receiving any milestone, royalty payment, sharing of profits, and other benefits under such agreement. Furthermore, disagreements with these parties could require or result in litigation or arbitration, which would be time-consuming and expensive. Any of these events could have a material adverse effect on our ability to develop and commercialize any of our product candidates and may adversely impact our business, prospects, financial condition, and results of operations.</w:t>
      </w:r>
    </w:p>
    <w:p>
      <w:pPr>
        <w:spacing w:after="0" w:line="179"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conduct of our clinical trials and the manufacture of our product candidates and do not have supply arrangements for certain of these components.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manufacturing of our product candidates requires many reagents and other specialty materials and equipment, some of which are manufactured or supplied by small companies with limited resources and experience to support commercial biologics production. To date, we and our CMOs have purchased equipment, materials and disposables used for the manufacture of our existing product candidates from third-party suppliers.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and equipment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third-party for the supply of certain required components and equipment.</w:t>
      </w:r>
    </w:p>
    <w:p>
      <w:pPr>
        <w:spacing w:after="0" w:line="18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the clinical development of our product candidates depends on the availability of certain materials and agents used in our clinical trials. For example, we intend to develop certain of our product candidates as a combination therapy with other cancer therapies, such as monoclonal antibodies, requiring availability and use of these monoclonal antibodies in certain of our clinical trial protocols. Additionally, in October 2024, the FDA reported a shortage of certain intravenous solutions which are required for the conduct of our clinical trials. We cannot predict the extent and duration of this shortage of these intravenous solutions, although any failure or delays by us or by our clinical sites to obtain sufficient quantities of materials and agents required under our protocols, or other components and agents necessary for the conduct of our clinical trials, may delay our ability to enroll and treat patients in, or complete, our current or future clinical trials of our product candidates on time, if at all.</w:t>
      </w:r>
    </w:p>
    <w:p>
      <w:pPr>
        <w:spacing w:after="0" w:line="1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a result of any public health crises, the business and operations of our suppliers and other third parties which produce agents and materials used in our clinical trials or manufacturing of our product candidates may be disrupted or delayed, and we in turn may experience disruptions or delays in our supply chain. A delay or inability to continue to source product or materials from any of these suppliers or third parties, which could be due to the impacts of any public health crises, natural disasters (including due to the effects of climate change), ongoing and emerging global geopolitical tensions, including wars and other armed conflicts, regulatory actions or requirements affecting the supplier, adverse financial or other strategic developments experienced by a supplier, labor disputes or shortages, unexpected demands, or quality issues, could adversely affect our ability to manufacture our product candidates and our ability to conduct clinical trials, which could significantly harm our business.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59" w:name="page60"/>
    <w:bookmarkEnd w:id="59"/>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to conduct certain research and development activities and clinical trials of our product candidates. If these third parties do not successfully carry out their contractual duties or meet expected deadlines, we may not be able to timely develop, manufacture, obtain regulatory approval for or commercialize our product candidates and our business could be substantially harmed.</w:t>
      </w:r>
    </w:p>
    <w:p>
      <w:pPr>
        <w:spacing w:after="0" w:line="17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rely upon third parties, including medical institutions, clinical investigators, and clinical research organizations (CROs) for the conduct of certain research and preclinical development activities, process development and manufacturing activities, and for the conduct, management, and supervision of clinical trials of our product candidates. We do not have direct control over the activities of these third parties, and may have limited influence over their actual performance. Our reliance on these third parties and CROs does not relieve us of our responsibilities to ensure that our clinical studies are conducted in accordance with the applicable protocol, legal and regulatory requirements and scientific standards.</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responsible for complying, and we are responsible for ensuring that our third-party service providers and CROs comply, with applicable GCP for conducting activities for all of our product candidates in clinical development, including conducting our clinical trials, and recording and reporting data from these trials. Regulatory authorities enforce these regulations through periodic inspections of trial sponsors, principal investigators and trial sites. We cannot assure that upon inspection by a given regulatory authority, such regulatory authority will determine that any of our clinical trials comply with applicable GCP requirements. In addition, our registrational clinical trials must be conducted with product produced under applicable regulatory requirements.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these third parties and CROs do not successfully carry out their contractual duties or obligations, meet expected deadlines or successfully complete activities as planned, or if the quality or accuracy of the research, preclinical development, process development, manufacturing, or clinical data they obtain is compromised due to the failure to adhere to applicable regulatory and manufacturing requirements or for other reasons, our research, preclinical development, process development and manufacturing activities, and clinical trials, and the development of our product candidates, may be extended, delayed or terminated, and we may not be able to obtain regulatory approval for or successfully commercialize our product candidates. Further, if our agreements with third parties or CROs are terminated for any reason, the development of our product candidates may be delayed or impaired, and we may be unable to advance our product candidates. As a result, our results of operations and the commercial prospects for our product candidates would be harmed, our costs could increase and our ability to generate revenues could be delayed or impaired.</w:t>
      </w:r>
    </w:p>
    <w:p>
      <w:pPr>
        <w:spacing w:after="0" w:line="188"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15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our collaborators’ or partners’ support for our product candidates.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our product candidates. Any of these developments could harm our product development efforts.</w:t>
      </w:r>
    </w:p>
    <w:p>
      <w:pPr>
        <w:spacing w:after="0" w:line="176" w:lineRule="exact"/>
        <w:rPr>
          <w:sz w:val="20"/>
          <w:szCs w:val="20"/>
          <w:color w:val="auto"/>
        </w:rPr>
      </w:pPr>
    </w:p>
    <w:p>
      <w:pPr>
        <w:jc w:val="both"/>
        <w:ind w:right="4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also rely on certain third-party vendors located in China or who are owned by or are associated with certain Chinese companies to assist in non-clinical or clinical trials or provide laboratory services. It is unknown how current or future geopolitical relationships with China or specific Chinese-owned or associated vendors may affect our ability to complete our non-clinical or clinical trials.</w:t>
      </w:r>
    </w:p>
    <w:p>
      <w:pPr>
        <w:spacing w:after="0" w:line="1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currently, and may in the future, do business with one or more companies located in China, or that are owned or operated by Chinese companies to provide non-clinical or clinical trial support services. The process of changing these vendors could have an adverse impact on our current clinical development programs if they were no longer permitted to provide services or products due to geopolitical pressures, including legislative activities or executive orders aimed at prohibiting certain Chinese or Chinese-owned biotechnology companies from engaging in biotechnology or biopharmaceutical research activities. We could experience delays in finding suitable replacement service providers located outside China or not otherwise owned by or associated with Chinese companies, which could have a material adverse effect on our development activities and our business. We are unable to predict whether or when proposed legislative or executive actions would be effective, and whether such changes would materially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60" w:name="page61"/>
    <w:bookmarkEnd w:id="60"/>
    <w:p>
      <w:pPr>
        <w:spacing w:after="0" w:line="282" w:lineRule="auto"/>
        <w:rPr>
          <w:sz w:val="20"/>
          <w:szCs w:val="20"/>
          <w:color w:val="auto"/>
        </w:rPr>
      </w:pPr>
      <w:r>
        <w:rPr>
          <w:rFonts w:ascii="Times New Roman" w:cs="Times New Roman" w:eastAsia="Times New Roman" w:hAnsi="Times New Roman"/>
          <w:sz w:val="18"/>
          <w:szCs w:val="18"/>
          <w:color w:val="auto"/>
        </w:rPr>
        <w:t>adversely affect our liquidity, access to capital and our ability to conduct business. Any failure on our part to comply with changing government regulations and policies could result in the loss of our ability to manufacture and develop our product candidates.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or obtain and maintain patent protection for our technology and product candidates, other companies could develop products based on our discoveries, which may reduce demand for our products and harm our business.</w:t>
      </w:r>
    </w:p>
    <w:p>
      <w:pPr>
        <w:spacing w:after="0" w:line="15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intellectual property protection for our product candidates, the operations used to manufacture them and the methods for using them, and also for our cell programming technology in order to prevent third parties from making, using, selling, offering to sell or importing our product candidates or otherwise exploiting our cell programming approach. The scope of patent protection in the biotechnology and pharmaceutical field involves complex legal and scientific questions and can be uncertain.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cannot be certain that we were the first to file any patent application related to our product candidates. As a result, the issuance, scope, validity, enforceability, and commercial value of our patent rights are uncertain. We own and have exclusive licenses to patent portfolios for our product candidates and cell programming technology, although we cannot be certain that our existing patents and patent applications provide adequate protection or that any additional patents will issue to us with claims that provide adequate protection of our other product candidates. Further, we cannot predict the breadth of claims that may be enforced in our patents if we attempt to enforce them or if they are challenged in court or in other proceedings. If we are unable to secure and maintain protection for our product candidates and cell programming technology, or if any patents we obtain or license are deemed invalid and unenforceable, our ability to commercialize or license our technology could be adversely affected.</w:t>
      </w:r>
    </w:p>
    <w:p>
      <w:pPr>
        <w:spacing w:after="0" w:line="19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Since patent applications in the United States and most other countries are confidential for a period of time after filing, and some remain so until issued,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 The scope, validity or enforceability of our patents or the patents of our licensors may be challenged in such proceedings in either the courts or patent offices in the United States and abroad, and our business may be harmed if the coverage of our patents or the patents of our licensors is narrowed, or if a patent of ours or our licensors is judged invalid or unenforceable, in any such proceedings.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our intellectual property rights may be subject to a reservation of rights by one or more third parties. For example, the research resulting in certain of the patent rights and technology that we own or have licensed was funded in part by the U.S. government. As a result, the government has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or to have others use the invention on its behalf. These rights may permit the government to disclose our information to third parties and to exercise march-in rights to use or allow third parties to use our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or by any third party of its reserved rights could harm our competitive position, business, financial condition, results of operations, and prospects.</w:t>
      </w:r>
    </w:p>
    <w:p>
      <w:pPr>
        <w:spacing w:after="0" w:line="190"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licensors to prosecute and maintain patents and patent applications that are material to our business. Any failure by our licensors to effectively protect these intellectual property rights could adversely affect our business and operations.</w:t>
      </w:r>
    </w:p>
    <w:p>
      <w:pPr>
        <w:spacing w:after="0" w:line="15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Certain rights to our key technologies and product candidates, including intellectual property relating to our iPSC technology, are licensed from third parties. As a licensee of third-party intellectual property, we rely on our licensors to file and prosecute patent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1" w:name="page62"/>
    <w:bookmarkEnd w:id="61"/>
    <w:p>
      <w:pPr>
        <w:ind w:right="60"/>
        <w:spacing w:after="0" w:line="255" w:lineRule="auto"/>
        <w:rPr>
          <w:sz w:val="20"/>
          <w:szCs w:val="20"/>
          <w:color w:val="auto"/>
        </w:rPr>
      </w:pPr>
      <w:r>
        <w:rPr>
          <w:rFonts w:ascii="Times New Roman" w:cs="Times New Roman" w:eastAsia="Times New Roman" w:hAnsi="Times New Roman"/>
          <w:sz w:val="18"/>
          <w:szCs w:val="18"/>
          <w:color w:val="auto"/>
        </w:rPr>
        <w:t>applications and maintain patents, and otherwise protect the licensed intellectual property under some of our license agreements. We have not had and do not have primary control over these activities for certain of our licensed patents, patent applications and other intellectual property rights, and we cannot be certain that such activities will result in valid and enforceable patents and other intellectual property rights. Additionally, our licensors may have the right to control enforcement of our licensed patents or defense of any claims asserting the invalidity of these patents and we cannot be certain that our licensors will allocate sufficient resources or prioritize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license agreements, we could lose rights to our product candidates or key technologies.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obtained rights to develop, market and sell some of our product candidates through intellectual property license agreements with third parties. These license agreements impose various diligence, milestone payment, royalty and other obligations on us. In particular, under our Amended MSKCC License with MSKCC, in the event a licensed product achieves a specified clinical milestone, MSKCC is eligible to receive from us certain milestone payments totaling up to $75.0 million based on the price of our common stock, where the amount of such payments owed to MSKCC is contingent upon certain increases in the price of our common stock following the date of achievement of such clinical milestone. If we fail to comply with our obligations under our license agreements, including any payment obligations,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184"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may become involved in litigation or other proceedings from time to time relating to the enforcement or defense of patent and other intellectual property rights, which could cause us to divert our resources and could put our intellectual property at risk.</w:t>
      </w:r>
    </w:p>
    <w:p>
      <w:pPr>
        <w:spacing w:after="0" w:line="159"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 xml:space="preserve">To prevent infringement or unauthorized use of our intellectual property, we have in the past, and may in the future, need to file infringement claims. For example, in May 2022, we filed a patent infringement lawsuit in the Southern District of California against Shoreline Biosciences, Inc. (see </w:t>
      </w:r>
      <w:r>
        <w:rPr>
          <w:rFonts w:ascii="Times New Roman" w:cs="Times New Roman" w:eastAsia="Times New Roman" w:hAnsi="Times New Roman"/>
          <w:sz w:val="18"/>
          <w:szCs w:val="18"/>
          <w:i w:val="1"/>
          <w:iCs w:val="1"/>
          <w:color w:val="auto"/>
        </w:rPr>
        <w:t xml:space="preserve">“Item 3. Legal Proceedings” </w:t>
      </w:r>
      <w:r>
        <w:rPr>
          <w:rFonts w:ascii="Times New Roman" w:cs="Times New Roman" w:eastAsia="Times New Roman" w:hAnsi="Times New Roman"/>
          <w:sz w:val="18"/>
          <w:szCs w:val="18"/>
          <w:color w:val="auto"/>
        </w:rPr>
        <w:t>for a more detailed description of this matter). When we pursue litigation to stop another party from using the inventions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claimed in any patents we own or control, that party has the right to ask the court to rule that such patents are invalid or should not be enforced against that third party. In addition to patent infringement lawsuits, we may decide to file interferences, oppositions,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post-grant review, or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proceedings before the U.S. Patent and Trademark Office (the USPTO) and corresponding foreign patent offices. Litigation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relating to intellectual property are unpredictable and expensive and may consume time and resources and divert the attention of managerial and scientific personnel. Such litigations and proceedings could substantially increase our operating losses and reduce the resources available for research, development, and other activities. We may not have sufficient financial or other resources to adequately conduct such litigation or proceedings or may be required to divert such resources from our ongoing and planned research and development activities. Some of our competitors may be able to sustain the costs of such litigation or proceedings more effectively than we can because of their greater financial resources.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9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There also is a risk that a court or patent office in such proceeding will decide that our patents or the patents of our licensors are not valid or are not enforceable, and that we do not have the right to stop the other party from using the inventions. Additionally, even if the validity of such patents is upheld, the court may refuse to stop the other party on the ground that such other party’s activities do not infringe our rights to such patents. If we are not successful in enforcing or defending our intellectual property, our competitors could develop and market products based on our discoveries and technologies, which may reduce the commercial viability of, and demand for, our product candidates and any future products.</w:t>
      </w:r>
    </w:p>
    <w:p>
      <w:pPr>
        <w:spacing w:after="0" w:line="179"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strategic partners may infringe the intellectual property rights of others, which may prevent or delay our product development efforts and stop us from commercializing, or increase the costs of commercializing, our product candidates.</w:t>
      </w:r>
    </w:p>
    <w:p>
      <w:pPr>
        <w:spacing w:after="0" w:line="15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Our success will depend, in part, on our ability to operate without infringing the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post-grant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corresponding foreign patent offices.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2" w:name="page63"/>
    <w:bookmarkEnd w:id="62"/>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or misappropriation of other intellectual property rights of third parties.</w:t>
      </w:r>
    </w:p>
    <w:p>
      <w:pPr>
        <w:spacing w:after="0" w:line="176"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We cannot be certain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intellectual property rights or may incorrectly predict whether a third-party’s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cannot guarantee that the manufacture, use or marketing of our existing product candidates or any other product candidates that we develop, or the use of our cell programming technology, will not infringe third-party patents. There may be third-party patents or patent applications with claims to materials, cell compositions, methods of manufacture or methods for treatment related to the use or manufacture of our product candidates. Our competitors may have filed, and may in the future file, patent applications covering products and technologies similar to ours.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Third parties asserting their patent or other intellectual property rights against us may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on a cost-effective basis or require substantial time and monetary expenditure. In that event, we would be unable to further develop and commercialize our product candidates, which could harm our business significantly. Claims that we have misappropriated the confidential information or trade secrets of third parties could have a similar negative impact on our business.</w:t>
      </w:r>
    </w:p>
    <w:p>
      <w:pPr>
        <w:spacing w:after="0" w:line="184"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15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own or license from third parties certain intellectual property rights necessary to develop and manufacture our product candidates. The growth of our business will likely depend in part on our ability to acquire or in-license additional proprietary rights, including to advance our research or allow commercialization of our product candidates. In that event, we may be required to expend considerable time and resources to develop or license replacement technology. For example, our programs may involve additional technologies or product candidates that may require the use of additional proprietary rights held by third parties. Furthermore, other pharmaceutical or biotechnology companies and academic institutions may also have filed or may be planning to file patent applications potentially relevant to our business. From time to time, in order to avoid infringing these third-party patents, we may be required to license technology from additional third parties to further develop or commercialize our product candidates. We may be unable to acquire or in-license any relevant third-party intellectual property rights, including any such intellectual property rights required to manufacture, use or sell our product candidates, that we identify as necessary or important to our business operations. We may fail to obtain any of these licenses at a reasonable cost or on reasonable terms, if at all, and as a result we may be unable to develop or commercialize the affected product candidates, which would harm our business. We may need to cease use of the compositions or methods covered by such third-party intellectual property rights, and may need to seek to develop alternative approaches or technology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access to the same technologies licensed to us.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3" w:name="page64"/>
    <w:bookmarkEnd w:id="63"/>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7"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In addition, it may be more costly for us to secure and maintain the necessary patent protection to block third parties from using our technology than to negotiate out-licenses or similar agreements with these parties to provide them with limited rights to use our technology. There can be no assurance that we will be able to successfully complete any such negotiations and ultimately acquire or maintain, on commercially viable terms, the rights to the intellectual property required for the successful development and commercialization of our product candidates.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3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scope of protection of any patent issuing based on our patent applications, including whether the patent applications that we own or in-license will result in issued patents with claims that cover our product candidates or uses thereof in the United States or in other foreign countries;</w:t>
      </w:r>
    </w:p>
    <w:p>
      <w:pPr>
        <w:spacing w:after="0" w:line="6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any patent issuing based on our patent applications may not provide protection against competitors or any competitive advantages, or may be challenged by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enforced, a court may not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initiated, and may from time to time initiate, litigation or administrative proceedings to enforce and/or defend our patent rights which will be costly whether we win or lose;</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including if others obtain patents claiming subject matter similar to or improving that covered by our patents and patent applications.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4" w:name="page65"/>
    <w:bookmarkEnd w:id="64"/>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alleged trade secrets.</w:t>
      </w:r>
    </w:p>
    <w:p>
      <w:pPr>
        <w:spacing w:after="0" w:line="22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conducting our business operations, we have obtained confidential and proprietary information from third parties. In addition,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or other parties. Litigation may be necessary to defend against these claims. If we fail in defending any such claims, in addition to paying monetary damages, we could lose valuable intellectual property rights or personnel, which could adversely affect our business. Even if we are successful in defending against these claims, litigation could result in substantial costs and be a distraction to management.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If we fail in defending any such claims, we may lose valuable intellectual property rights, such as exclusive ownership of, or right to use, valuable intellectual property. We may also be subject to monetary damages, and any of these outcomes could have a material adverse impact on our business.</w:t>
      </w:r>
    </w:p>
    <w:p>
      <w:pPr>
        <w:spacing w:after="0" w:line="176" w:lineRule="exact"/>
        <w:rPr>
          <w:sz w:val="20"/>
          <w:szCs w:val="20"/>
          <w:color w:val="auto"/>
        </w:rPr>
      </w:pPr>
    </w:p>
    <w:p>
      <w:pPr>
        <w:jc w:val="both"/>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Proprietary information and invention assignment agreements with our employees and third parties may not prevent unauthorized disclosure of our trade secrets and other proprietary information.</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upon unpatented trade secrets and improvements, proprietary know-how, and continuing technological innovation to develop and maintain our competitive position, which we seek to protect, in part, through confidentiality agreements with our collaborators, employees and consultants. We also have invention or patent assignment agreements with our employees and some, but not all, of our collaborators and consultants. Because we expect to rely on third parties in the development and manufacture of our product candidates, we must, at times, share trade secrets with them, which increases the possibility that a competitor will discover them or that our trade secrets will be misappropriated or disclosed.</w:t>
      </w:r>
    </w:p>
    <w:p>
      <w:pPr>
        <w:spacing w:after="0" w:line="18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Trade secrets, however, may be difficult to protect, and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Although we use reasonable efforts to protect our trade secrets, our employees or former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operating results, and financial condition.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5" w:name="page66"/>
    <w:bookmarkEnd w:id="65"/>
    <w:p>
      <w:pPr>
        <w:ind w:right="40"/>
        <w:spacing w:after="0" w:line="266" w:lineRule="auto"/>
        <w:rPr>
          <w:sz w:val="20"/>
          <w:szCs w:val="20"/>
          <w:color w:val="auto"/>
        </w:rPr>
      </w:pPr>
      <w:r>
        <w:rPr>
          <w:rFonts w:ascii="Times New Roman" w:cs="Times New Roman" w:eastAsia="Times New Roman" w:hAnsi="Times New Roman"/>
          <w:sz w:val="18"/>
          <w:szCs w:val="18"/>
          <w:color w:val="auto"/>
        </w:rPr>
        <w:t>their own products and may also export infringing products to territories where we have patent protection, but enforcement is not as strong as that in the United States. These products may compete with any products that we may develop and commercialize, and our patents or other intellectual property rights may not be effective or sufficient to prevent them from competing.</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4"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patent law in the United States could diminish the value of patents in general, thereby impairing our ability to protect our product candidates and technology.</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rights, particularly patents. Obtaining and enforcing patents in the biotechnology industry involve both technological and legal complexity, and therefore obtaining and enforcing biotechnology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term of our patents may not be sufficient to effectively protect our market position and products.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Even if we obtain patents covering our product candidates, once the patent life has expired for a product, we may be open to competition from other products. If the lives of our patents are not sufficient to effectively protect our products and business, our business and results of operations will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225"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experience marketing any product candidates and do not have a sales force or distribution capabilities, and if our products are approved, we may be unable to commercialize them successfully.</w:t>
      </w:r>
    </w:p>
    <w:p>
      <w:pPr>
        <w:spacing w:after="0" w:line="15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have no experience in marketing and selling therapeutic products, including obtaining and maintaining adequate pricing and reimbursements. If any of our product candidates are approved for marketing, we intend to establish marketing and sales capabilities internally or we may selectively seek to enter into partnerships with other entities to utilize their marketing and distribution capabilities. If we are unable to develop adequate marketing and sales capabilities on our own or effectively partner with third parties, our ability to generate product revenues will suffer.</w:t>
      </w:r>
    </w:p>
    <w:p>
      <w:pPr>
        <w:spacing w:after="0" w:line="176"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 candidates will depend upon the degree of market acceptance by physicians, patients, third-party payers and others in the medical community.</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commercial success of our products, if approved for marketing, will depend in part on the medical community, patients and third-party payers accepting our product candidates as effective and safe. If these products do not achieve an adequate level of acceptance, we may not generate significant product revenue and may not become profitable. For example, in November 2023, the FDA announced that it would be conducting an investigation into reports of T-cell malignancies following BCMA-directed or CD19-directed autologous CAR T-cell immunotherapies following reports of T-cell lymphoma in patients receiving these therapies. In January 2024, the FDA determined that new safety information related to T-cell malignancies should be included in the labeling with boxed warning language on these malignancies for all BCMA- and CD19-directed genetically modified autologous T-cell immunotherapies. FDA’s investigation into CAR T-cell therapies and other similar actions could result in increased government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6" w:name="page67"/>
    <w:bookmarkEnd w:id="66"/>
    <w:p>
      <w:pPr>
        <w:ind w:right="80"/>
        <w:spacing w:after="0" w:line="266" w:lineRule="auto"/>
        <w:rPr>
          <w:sz w:val="20"/>
          <w:szCs w:val="20"/>
          <w:color w:val="auto"/>
        </w:rPr>
      </w:pPr>
      <w:r>
        <w:rPr>
          <w:rFonts w:ascii="Times New Roman" w:cs="Times New Roman" w:eastAsia="Times New Roman" w:hAnsi="Times New Roman"/>
          <w:sz w:val="18"/>
          <w:szCs w:val="18"/>
          <w:color w:val="auto"/>
        </w:rPr>
        <w:t>regulation, unfavorable public perception and publicity, stricter labeling requirements for those product candidates that are approved, and a decrease in demand for any such product candidates. The degree of market acceptance of our products, if approved for marketing, will depend on a number of factors, including:</w:t>
      </w:r>
    </w:p>
    <w:p>
      <w:pPr>
        <w:spacing w:after="0" w:line="68"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the products, and advantages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labeling of any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any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adequate pricing and reimbursement;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or governmental reimbursement, which may depend on our ability to provide compelling evidence that a product meaningfully improves health outcomes to support such insurance coverage or reimbursement.</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patient populations targeted by our autoimmune product candidates are also typically not at risk of near-term death, even if they may suffer life-threatening symptoms, so those patients will need to deem the benefits of cell therapy to be worth the risk of unknown potential adverse side effects. Our success in this space will depend upon physicians who specialize in the treatment of autoimmune diseases targeted by our product candidates prescribing treatments that involve the use of our product candidates in lieu of, or in addition to, existing treatments with which they are more familiar and for which greater clinical data may be available.</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clinical trials, market acceptance of the product will not be known until after it is launched. Any failure to achieve market acceptance for our product candidates will harm our business, results and financial condition.</w:t>
      </w:r>
    </w:p>
    <w:p>
      <w:pPr>
        <w:spacing w:after="0" w:line="172"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face uncertainty regarding the pricing of our existing product candidates and any other product candidates that we may develop. If pricing policies for our product candidates are unfavorable, our commercial success will be impaired.</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Due to the novel nature of our cellular immunotherapy product candidates, we face significant uncertainty as to the pricing of any such products for which we may receive marketing approval. While we anticipate that pricing for any cellular immunotherapy product candidates that we develop will be relatively high due to their anticipated use in the prevention or treatment of life-threatening diseases where therapeutic options are limited, the biopharmaceutical industry has recently experienced significant pricing pressures.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185"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Failure to obtain or maintain adequate coverage and reimbursement for our product candidates could limit our product revenues.</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of our product candidates successfully will depend in part on the availability of coverage and reimbursement for these products from third-party payors, including government health administration authorities, private health insurers, and other managed care organizations. The availability and extent of reimbursement by governmental and private payors is essential for most patients who generally rely on third-party payors to reimburse all or part of the costs of their care, including treatments such as cellular immunotherapy. Because our product candidates represent new approaches to the treatment of cancer and autoimmune diseases, there is significant uncertainty as to the insurance coverage and reimbursement status of any product candidates for which we may receive regulatory approval. In the United States, the principal decisions about reimbursement for new medicines are typically made by the Centers for Medicare &amp; Medicaid Services (CMS), an agency within the U.S. Department of Health and Human Services. CMS decides whether and to what extent a new medicine will be covered and reimbursed under Medicare, and private payors tend to follow CMS determinations to a substantial degree. If reimbursement or insurance coverage is not available for our product candidates, or is available only to limited levels, we may not be able to successfully commercialize our product candidates. Even if coverage is provided, the approved reimbursement amount may not be sufficient to allow us to establish or maintain pricing to generate income. Factors payors consider in determining reimbursement are based on whether the product is: (i) a</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23" w:right="379" w:bottom="1440" w:gutter="0" w:footer="0" w:header="0"/>
        </w:sectPr>
      </w:pPr>
    </w:p>
    <w:bookmarkStart w:id="67" w:name="page68"/>
    <w:bookmarkEnd w:id="67"/>
    <w:p>
      <w:pPr>
        <w:spacing w:after="0" w:line="282" w:lineRule="auto"/>
        <w:rPr>
          <w:sz w:val="20"/>
          <w:szCs w:val="20"/>
          <w:color w:val="auto"/>
        </w:rPr>
      </w:pPr>
      <w:r>
        <w:rPr>
          <w:rFonts w:ascii="Times New Roman" w:cs="Times New Roman" w:eastAsia="Times New Roman" w:hAnsi="Times New Roman"/>
          <w:sz w:val="18"/>
          <w:szCs w:val="18"/>
          <w:color w:val="auto"/>
        </w:rPr>
        <w:t>covered benefit under its health plan; (ii) safe, effective and medically necessary; (iii) appropriate for the specific patient; (iv) cost-effective; and (v) neither experimental nor investigational. For more information, please see “Business—Government Regulation—Coverage and Reimbursement.”</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185"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restricted or smaller than we believe they are, our revenues may be adversely affected and our business may suffer. Because the target patient populations of our product candidates may be small and variable, we must be able to successfully identify patients and capture a significant market share to achieve and maintain profitability.</w:t>
      </w:r>
    </w:p>
    <w:p>
      <w:pPr>
        <w:spacing w:after="0" w:line="175" w:lineRule="exact"/>
        <w:rPr>
          <w:sz w:val="20"/>
          <w:szCs w:val="20"/>
          <w:color w:val="auto"/>
        </w:rPr>
      </w:pPr>
    </w:p>
    <w:p>
      <w:pPr>
        <w:ind w:right="320" w:firstLine="509"/>
        <w:spacing w:after="0" w:line="254" w:lineRule="auto"/>
        <w:rPr>
          <w:sz w:val="20"/>
          <w:szCs w:val="20"/>
          <w:color w:val="auto"/>
        </w:rPr>
      </w:pPr>
      <w:r>
        <w:rPr>
          <w:rFonts w:ascii="Times New Roman" w:cs="Times New Roman" w:eastAsia="Times New Roman" w:hAnsi="Times New Roman"/>
          <w:sz w:val="18"/>
          <w:szCs w:val="18"/>
          <w:color w:val="auto"/>
        </w:rPr>
        <w:t>We focus our research and development on product candidates for rare diseases, including cancer and autoimmune diseases. The FDA often approves new therapies initially for use in patients with relapsed or refractory disease. We expect to initially seek approval of our product candidates in these settings. Subsequently, for those products that prove to be sufficiently beneficial, if any, we would expect to seek approval in earlier lines of treatment. There is no guarantee that our product candidates, even if approved, would be approved for earlier lines of therapy, and, prior to any such approvals, we will have to conduct additional clinical trials, including potentially comparative trials against approved therapies. Certain of our product candidates also target similar patient populations as autologous cell therapy product candidates, including approved autologous CAR T products. Our therapies may not be as safe and effective as approved autologous CAR T therapies and as a result, such product candidates may only be approved for patients who are ineligible for autologous CAR T therapy.</w:t>
      </w:r>
    </w:p>
    <w:p>
      <w:pPr>
        <w:spacing w:after="0" w:line="19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projections of the number of people who have or will have the diseases we may be targeting, as well as the subset of patients with these cancers in a position to receive second or later lines of therapy and who have the potential to benefit from treatment with our product candidates, may prove to be incorrect. Further, new studies may change the estimated incidence or prevalence of these diseases. The number of patients in the United States, Europe and elsewhere may turn out to be lower than expected, or the potentially addressable patient population for our product candidates may be limited or may not be amenable to treatment with our product candidates, all of which would adversely affect our results of operations and our business. Additionally, because our target patient populations may be small and variable, we may never achieve profitability without capturing a significant market share or obtaining regulatory approval for additional indications for our products.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Payors, whether domestic or foreign, or governmental or private,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Affordable Care Act (ACA)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 For more information regarding the risks related to recently enacted and future legislation please see “Business – Government Regulation – Healthcare Reform and Other Regulatory Changes.”</w:t>
      </w:r>
    </w:p>
    <w:p>
      <w:pPr>
        <w:spacing w:after="0" w:line="19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68" w:name="page69"/>
    <w:bookmarkEnd w:id="68"/>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94"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In addition, the U.S. Supreme Court’s 2024 decision in Loper Bright Enterprises v. Raimondo overruled the Chevron doctrine, which for 40 years required federal courts to defer to permissible agency interpretations of statutes that are silent or ambiguous on a particular topic. In Loper Bright, the Supreme Court held that the U.S. Administrative Procedure Act requires courts to exercise their independent judgment when deciding whether an agency has acted within its statutory authority, and that courts may not defer to an agency interpretation solely because a statute is ambiguous. This landmark Supreme Court decision may invite more companies and other stakeholders to bring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Any such challenges, if successful, could have an impact on our business, and any such impact could be material. In addition to potential changes to regulations and agency guidance as a result of legal challenges, these decisions may result in increased regulatory uncertainty and delays in and other impacts to the agency rulemaking process, any of which could adversely impact our business and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existing product candidates is substantially dependent on developments within the field of cellular immunotherapy, and specifically developments relating to the use of pluripotent or genome edited cells for the manufacture of cellular therapeutics, the majority of which are beyond our control.</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candidates are designed and are being developed as therapeutic entities for use as cellular immunotherapies, and all of our current product candidates are based on our novel iPSC product platform. Additionally, some of our product candidates utilize novel genome editing technologies. To date, there is limited clinical trial experience testing iPSC-derived therapeutic product candidates using genome edited cells. The fields of cellular and genome edited therapies are evolving, and as more therapeutic product candidates derived from pluripotent and genome edited cells are reviewed by regulatory authorities, regulatory authorities may impose additional requirements for approval that were not previously anticipated. There have also been several significant adverse events from gene therapy treatments in the past, including reported cases of leukemia and death. Additionally, in November 2023, the FDA announced that it would be conducting an investigation into reports of T-cell malignancies following BCMA-directed or CD19-directed autologous CAR T-cell immunotherapies following reports of T-cell lymphoma in patients receiving these therapies. In January 2024, the FDA determined that new safety information related to T-cell malignancies should be included in the labeling with boxed warning language on these malignancies for all BCMA- and CD19-directed genetically modified autologous T-cell immunotherapies. There can be no assurance that any product candidates developed from or related to our iPSC product platform or any of our research programs will not cause severe or undesirable side effects or result in significant delays or unanticipated costs, or that such development problems can be solved. Any adverse developments in the fields of cellular immunotherapy or genome edited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23" w:right="379" w:bottom="1440" w:gutter="0" w:footer="0" w:header="0"/>
        </w:sectPr>
      </w:pPr>
    </w:p>
    <w:bookmarkStart w:id="69" w:name="page70"/>
    <w:bookmarkEnd w:id="69"/>
    <w:p>
      <w:pPr>
        <w:ind w:right="60"/>
        <w:spacing w:after="0" w:line="282" w:lineRule="auto"/>
        <w:rPr>
          <w:sz w:val="20"/>
          <w:szCs w:val="20"/>
          <w:color w:val="auto"/>
        </w:rPr>
      </w:pPr>
      <w:r>
        <w:rPr>
          <w:rFonts w:ascii="Times New Roman" w:cs="Times New Roman" w:eastAsia="Times New Roman" w:hAnsi="Times New Roman"/>
          <w:sz w:val="18"/>
          <w:szCs w:val="18"/>
          <w:color w:val="auto"/>
        </w:rPr>
        <w:t>therapy, such as FDA’s investigation into CAR T-cell therapies and other similar actions, could negatively affect our ability to develop and commercialize our product candidates.</w:t>
      </w:r>
    </w:p>
    <w:p>
      <w:pPr>
        <w:spacing w:after="0" w:line="158"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an environment of rapid technological and scientific progress from other biotechnology and pharmaceutical companies that are commercializing, have developed or may develop product candidates for the treatment of the diseases that we may target, including companies developing novel therapies and platform technologies. If these companies develop product candidates or platform technologies more rapidly than we do, if their commercialized products or product candidates are more effective, more cost effective, or have fewer side effects, or if they compete in various other aspects of our business, our ability to develop and successfully commercialize product candidates and to execute on our business plans will be adversely affected.</w:t>
      </w:r>
    </w:p>
    <w:p>
      <w:pPr>
        <w:spacing w:after="0" w:line="18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characterized by rapid and significant innovation, particularly in the areas of immune-oncology and the development and commercialization of cell therapies. We compete with a variety of large pharmaceutical companies, multinational biopharmaceutical companies, other biopharmaceutical companies and specialized biotechnology companies, as well as technology and/or therapeutics being developed at universities and other research institutions. Many of our competitors have greater financial and other resources, such as larger research and development staff, more experienced manufacturing organizations and facilities and greater sales and marketing organizations. Third parties are commercializing, have developed, are developing or may develop product candidates, platform technologies and processes that compete with ours. Competitive therapeutic treatments include those that have already been approved and accepted by the medical community, as well as novel treatments that are currently in preclinical or clinical development or may otherwise enter the market. We believe that a significant number of product candidates are currently under development, including various cellular immunotherapies as well as multifunctional targeted antibodies, such as bi-specific and tri-specific T-cell engagers, which may become commercially available in the future for the treatment of indications, including a variety of cancers, for which we are developing or may try to develop our product candidates. Additionally, several companies with experience and knowledge in the development of CAR T-cell therapies for oncology indications have now commenced the development of cell therapies for the treatment of autoimmune diseases where B cells may play a role in initiating or maintaining disease affected populations, and the product candidates these companies develop may be competitive with product candidates that we are developing for autoimmune diseases. Should one or more of these competing product candidates or other competing product candidates of which we are not aware receive regulatory approval or otherwise achieve clinical or commercial success, our regulatory strategy could be impaired, our ability to obtain regulatory approval could be delayed or prevented, or the market for our products may be reduced or eliminated, thereby harming or preventing our commercial success.</w:t>
      </w:r>
    </w:p>
    <w:p>
      <w:pPr>
        <w:spacing w:after="0" w:line="19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Even if we successfully obtain approval for any product candidate, we will face competition based on many different factors, including the relative safety and efficacy of our product candidates, the actual or perceived quality of patient life while undergoing treatment with our product candidates, the ease with which our product candidates can be administered, the timing and scope of regulatory approvals for these product candidates, the availability and cost of manufacturing, marketing and sales capabilities, pricing, reimbursement coverage and patent positions, and the relative prioritization of our product candidates by physicians and healthcare providers among available therapies. Competing products and product candidates could present superior treatment alternatives, including by being more effective, safer, less expensive or marketed and sold more effectively than any products we may develop. Competitive products and product candidates may also make any product we develop obsolete or noncompetitive before we recover the expense of developing and commercializing such product. We could also face competition from other companies for collaboration partners, employees, advisors and service providers, which could negatively impact our ability to execute our business plans.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Our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or more commercially viable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or other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product candidates uneconomical or obsolete and we may not be successful in marketing those product candidates, once approved, against competitors.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23" w:right="379" w:bottom="1440" w:gutter="0" w:footer="0" w:header="0"/>
        </w:sectPr>
      </w:pPr>
    </w:p>
    <w:bookmarkStart w:id="70" w:name="page71"/>
    <w:bookmarkEnd w:id="70"/>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effectively with other biotechnology and pharmaceutical companies depends on our ability to distinguish our company and our product candidates from our competitors and their product candidates.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Some of our competitors may have, and new competitors or alliances may emerge that have, greater name and brand recognition, greater market share, a larger customer base, more widely adopted proprietary technologies, greater marketing expertise, larger sales forces, and/or significantly greater resources than we do and may be able to offer solutions competitive with ours at a more attractive price. Further, our current or potential competitors may be acquired by third parties with greater available resources. As a result, our competitors may be able to respond more quickly and effectively than we can to new or changing opportunities, technologies, standards or customer requirements and may have the ability to initiate or withstand substantial price competition. In addition, our competitors may in the future establish cooperative relationships with vendors of complementary products, technologies or services to increase the availability of their solutions in the marketplace. Our competitors could also be better positioned to serve certain segments of our market, which could create additional price pressure. In light of these factors, even if any products that we may develop are more effective than those of our competitors, current or potential customers may accept competitive products in lieu of purchasing our products. If we are unable to successfully compete, our business, financial condition, and results of operations could be materially and adversely affected.</w:t>
      </w:r>
    </w:p>
    <w:p>
      <w:pPr>
        <w:spacing w:after="0" w:line="190" w:lineRule="exact"/>
        <w:rPr>
          <w:sz w:val="20"/>
          <w:szCs w:val="20"/>
          <w:color w:val="auto"/>
        </w:rPr>
      </w:pPr>
    </w:p>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member of our senior management team or our inability to attract and retain key personnel and consultants could adversely affect our business.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team and other key personnel. The loss of services of any of these individuals could delay or prevent the successful development of our product pipeline, initiation or completion of our preclinical studies and clinical trials or the commercialization of our product candidates. Although we have executed offer letters with each member of our senior management team, these agreements are terminable at will without notice and, therefore, we may not be able to retain their services as expected. Our former Chief Financial Officer resigned in June 2024. Our former Chief Executive Officer (CEO) retired on December 31, 2024, transitioning to an advisory role, and our former President of Research and Development assumed the role of CEO effective January 1, 2025. Management transitions may create uncertainty and involve a diversion of resources and management attention, be disruptive to our daily operations or impact public or market perception, any of which could negatively impact our ability to operate effectively or execute our strategies.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not be able to retain or attract qualified management, finance, scientific and clinical personnel and consultants due to the intense competition for a limited number of qualified personnel and consultants among biotechnology, pharmaceutical and other businesses. We may also experience difficulties in attracting or retaining personnel with sufficient experience and skills in the complex and emerging field of cellular therapeutic development and manufacture to support our ongoing and planned clinical development activities. We currently rely, and for the foreseeable future will continue to rely, in substantial part on certain independent organizations, advisors and consultants. There can be no assurance that the services of independent organizations, advisors and consultants will continue to be available to us on a timely basis when needed, or that we can find qualified replacements. We may also be subject to penalties or other liabilities if we misclassify employees as consultants.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 Further, some of the qualified personnel that we hire and recruit are not U.S. citizens; changes to U.S. immigration policies, particularly to H-1B and other visa programs, could restrain the flow of technical and professional talent into the United States and may inhibit our ability to hire qualified personnel.</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options and restricted stock unit (RSU) awards that vest over time. The value to employees of stock options and RSU awards that vest over time has been significantly affected by movements in our stock price that are beyond our control and may at any time be insufficient to counteract more lucrative offers from other companies. A significant number of our employee options remain underwater and may not provide the intended incentive for employees to remain at our company.</w:t>
      </w:r>
    </w:p>
    <w:p>
      <w:pPr>
        <w:spacing w:after="0" w:line="180"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Many of the biotechnology and pharmaceutical companies that we compete against for qualified personnel have greater financial and other resources and different risk profiles than we do. We may be required to provide compensation in excess of historical levels in order to recruit and retain personnel in the current market. If we are not able to retain and attract necessary personnel and consultants to perform the requisite operational roles and accomplish our business objectives, we may experience constraints that will significantly impede the achievement of our development objectives, our ability to raise additional capital and our ability to implement our business strategy.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71" w:name="page72"/>
    <w:bookmarkEnd w:id="71"/>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an acquisition, reorganization or business combination, we will incur a variety of risks that could adversely affect our business operations or our stockholders.</w:t>
      </w:r>
    </w:p>
    <w:p>
      <w:pPr>
        <w:spacing w:after="0" w:line="15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have considered, and we will consider in the future, strategic business initiatives intended to further the expansion and development of our business. These initiatives may include acquiring businesses, technologies or products or entering into business combinations with other companies. If we pursue such a strategy, we could, among other things:</w:t>
      </w:r>
    </w:p>
    <w:p>
      <w:pPr>
        <w:spacing w:after="0" w:line="68"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that would dilute our current stockholders’ percentage ownership;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 that may place strains on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 substantial operational, financial and management resources to integrate new businesses, technologies and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substantial actual or contingent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reprioritize our development programs and even cease development and commercialization of our product candidates; 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with, or otherwise enter into a business combination with, another company in which our stockholders would receive cash or shares of the other company on terms that certain of our stockholders may not deem desirable.</w:t>
      </w:r>
    </w:p>
    <w:p>
      <w:pPr>
        <w:spacing w:after="0" w:line="16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Although we intend to evaluate and consider acquisitions, reorganizations and business combinations in the future, we have no agreements or understandings with respect to any acquisition, reorganization or business combination at this time.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far in excess of our limited insurance coverage.</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exposes us to the risk of product liability claims. Product liability claims might be brought against us by participants in clinical trials, hospitals, medical centers, healthcare providers, pharmaceutical companies, and consumers, or by others selling, manufacturing or otherwise coming into contact with our product candidates. We carry product liability insurance and we believe our product liability insurance coverage is sufficient in light of our current clinical programs. In addition, if and when we obtain marketing approval for product candidates, we intend to expand our insurance coverage to include the sale of commercial products; however, we may be unable to obtain insurance coverage for any approved products on commercially reasonable terms or in sufficient amounts to protect us against losses due to liability.</w:t>
      </w:r>
    </w:p>
    <w:p>
      <w:pPr>
        <w:spacing w:after="0" w:line="189"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On occasion, large judgments have been awarded in class action lawsuits based on drugs or medical treatments that had unanticipated adverse effects. In addition, under some of our agreements with clinical trial sites, we are required to indemnify the sites and their personnel against product liability and other claims. A successful product liability claim, or a series of claims, brought against us or any third parties whom we are required to indemnify could cause our stock price to decline and, if judgments exceed our insurance coverage, could adversely affect our results of operations and business.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Patients with the diseases targeted by our product candidates are often already in severe and advanced stages of disease and have both known and unknown significant pre-existing and potentially life-threatening health risks. During the course of treatment, patients may suffer adverse events, including death, for a variety of reasons. Such events, whether or not resulting from our product candidates, could subject us to costly litigation, require us to pay substantial amounts of money to injured patients, delay, negatively affect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development and commercialization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from only some risks, which leaves us exposed to significant uninsured liabilities.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do not carry insurance for all categories of risk to which our business is or may be exposed. Some of the policies we maintain include general liability, product liability, property, employee benefits liability, employment practices, workers’ compensation, cybersecurity, directors’ and officers’ insurance, and umbrella. We do not know, however, if we will be able to maintain insurance coverage at a reasonable cost or in sufficient amounts or scope to protect us against losses. Even if we obtain insurance, a claim could exceed the amount of our insurance coverage or it may be excluded from coverage under the terms of the policy. Any significant uninsured liability may require us to pay substantial amounts, which would adversely affect our cash position and results of operations.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9" w:right="379" w:bottom="1440" w:gutter="0" w:footer="0" w:header="0"/>
        </w:sectPr>
      </w:pPr>
    </w:p>
    <w:bookmarkStart w:id="72" w:name="page73"/>
    <w:bookmarkEnd w:id="72"/>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or third party service providers may engage in misconduct or other improper activities, including noncompliance with regulatory standards and requirements and insider trading.</w:t>
      </w:r>
    </w:p>
    <w:p>
      <w:pPr>
        <w:spacing w:after="0" w:line="15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or third party service provider fraud or other misconduct. Misconduct by employees or third party service providers could include intentional failures to comply with the regulations of the FDA or foreign regulators, to provide accurate information to the FDA or foreign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Employee or third party service provider misconduct could also involve the improper use of information obtained in the course of clinical trials, which could result in regulatory sanctions and cause serious harm to our reputation. If any actions alleging such conduct are instituted against us, and we are not successful in defending ourselves or asserting our rights, those actions could have a significant effect on our business, including the imposition of significant fines or other sanctions.</w:t>
      </w:r>
    </w:p>
    <w:p>
      <w:pPr>
        <w:spacing w:after="0" w:line="19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face risks of potential liability related to the privacy of personal information, including health information we utilize in the development of our products, as well as information we obtain from clinical trials sponsored by us from research institutions and directly from individuals.</w:t>
      </w:r>
    </w:p>
    <w:p>
      <w:pPr>
        <w:spacing w:after="0" w:line="162"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and our partners and vendors may be subject to various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including the federal Health Insurance Portability and Accountability Act of 1996 (HIPAA) and privacy and security requirements under HIPAA, as amended by the Health Information Technology for Economic and Clinical Health Act of 2009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 There is no certainty that all of our employees, agents, suppliers, manufacturers, contractors, or collaborators, or those of our affiliates, will comply with all applicable laws and regulations, particularly given the high level of complexity of these laws. Even when HIPAA does not apply, failing to take appropriate steps to keep consumers’ personal information secure may constitute a violation of the Federal Trade Commission Act. In addition, certain of the materials we use as starting material in our iPSC-derived product candidates are derived from human sources, which potentially contain sensitive identifiable personal information regarding the donor. In addition, in conducting our clinical trials, we may maintain sensitive identifiable personal information, including health information, that we receive throughout the clinical trial process, in the course of our research collaborations, and directly from individuals (or their healthcare providers) who enroll in our clinical trials. As such, we may become subject to further obligations under HIPAA. Our collection of personal information generally (e.g., of employees currently and/or of patients in the future) may subject us to state data privacy laws governing the processing of personal information and requiring notification of affected individuals and state regulators in the event of a breach of such personal information. These state laws include the California Consumer Privacy Act, as amended by the California Privacy Rights Act (the CCPA), which establishes data privacy rights for residents of the State of California, with corresponding obligations on businesses related to transparency, deletion rights, and opt-out of the selling or sharing of personal information, and grants a private right of action for individuals in the event of certain security breaches. Similar laws relating to data privacy and security have passed in numerous other states, which may have potentially conflicting requirements that would make compliance challenging, require us to expend significant resources to come into compliance, and restrict our ability to process certain personal information. Moreover, some states have advanced privacy laws focused on protecting consumer health information, such as Washington’s My Health My Data Act, and this remains a rapidly changing legislative and regulatory environment.</w:t>
      </w:r>
    </w:p>
    <w:p>
      <w:pPr>
        <w:spacing w:after="0" w:line="20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Certain state laws may be more stringent or broader in scope than the CCPA, or offer greater individual rights, with respect to confidential, sensitive and personal information than federal, international or other state laws, and such laws may differ from each other, which may complicate compliance efforts.</w:t>
      </w:r>
    </w:p>
    <w:p>
      <w:pPr>
        <w:spacing w:after="0" w:line="176"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An increasing number of foreign data protection laws, regulations and industry standards may also apply to personal information we obtain from individuals outside of the United States. For example, the European Union’s General Data Protection Regulation (EU GDPR) and the United Kingdom’s General Data Protection Regulation (UK GDPR) impose strict requirements for processing the personal data of individuals within the EEA and UK, including health-related data, and on the transfer of personal data out of the European Economic Area (EEA) and United Kingdom (UK) to non-adequate territories such as the United States; any inability to transfer personal data from the EEA and UK to the United States in compliance with data protection laws may impede our ability to conduct trials and may adversely affect our business and financial position. Failure to comply with the requirements of the EU GDPR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73" w:name="page74"/>
    <w:bookmarkEnd w:id="73"/>
    <w:p>
      <w:pPr>
        <w:ind w:right="40"/>
        <w:spacing w:after="0" w:line="253" w:lineRule="auto"/>
        <w:rPr>
          <w:sz w:val="20"/>
          <w:szCs w:val="20"/>
          <w:color w:val="auto"/>
        </w:rPr>
      </w:pPr>
      <w:r>
        <w:rPr>
          <w:rFonts w:ascii="Times New Roman" w:cs="Times New Roman" w:eastAsia="Times New Roman" w:hAnsi="Times New Roman"/>
          <w:sz w:val="18"/>
          <w:szCs w:val="18"/>
          <w:color w:val="auto"/>
        </w:rPr>
        <w:t>may result in potential fines for companies of up to the greater of €20 million (£17.5 million for the UK GDPR) or 4% of annual global revenue and other administrative penalties. In addition, under the EU GDPR and UK GDPR, companies may face private litigation related to processing of personal data brought by classes of data subjects or consumer protection organizations authorized at law to protect their interests. Although the EU GDPR and the UK GDPR currently impose substantially similar obligations, it is possible that over time the UK GDPR could become less aligned with the EU GDPR, particularly with the introduction of the new Data Reform Bill into the UK legislative process. In addition, EEA Member States have adopted national laws to supplement the EU GDPR, which may partially deviate from the EU GDPR, and the competent authorities in the EEA Member States may interpret EU GDPR obligations slightly differently from country to country, such that we do not expect to operate in a uniform legal landscape in the EEA and UK with respect to data protection regulations. The potential of the respective provisions and enforcement of the EU GDPR and UK GDPR further diverging in the future creates additional regulatory challenges and uncertainties for us. The lack of clarity on future UK laws and regulations and their interaction with EU laws and regulations could add legal risk, uncertainty, complexity and compliance cost to the handling of European personal data and our privacy and data security compliance, and could require us to amend our processes and procedures to implement different compliance measures for the UK and the EEA.</w:t>
      </w:r>
    </w:p>
    <w:p>
      <w:pPr>
        <w:spacing w:after="0" w:line="19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December 2024, the U.S. Department of Justice issued regulations implementing Executive Order (“EO”) 14117, “Preventing Access to Americans’ Bulk Sensitive Personal Data and United Stated Government-Related Data by Countries of Concern,” which are expected to become effective in April 2025. These regulations prohibit transactions involving access to bulk sensitive data by countries of concern, such as China (including Hong Kong). In the life sciences sector, the regulations prohibit investment agreements, employment agreements, vendor agreements, and other transactions involving human genomic data and biospecimens, except where necessary for specified exempt activities. Tracking and complying with these regulations may require significant time and expense.</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likely to be required to expend significant capital and other resources to ensure ongoing compliance with applicable data privacy and security laws. Claims that we have violated individuals’ privacy rights or breached our contractual obligations, even if we are not found liable, could be expensive and time-consuming to defend, and could result in adverse publicity that could harm our business. Moreover, even if we take all necessary action to comply with legal and regulatory requirements, we could be subject to a data breach or other unauthorized access of personal information, which could subject us to fines and penalties, as well as litigation and reputational damage. If we fail to keep apprised of and comply with applicable international, federal, state, or local regulatory requirements, we could be subject to a range of regulatory actions that could affect our or any collaborators’ ability to seek to commercialize our clinical candidates. Any threatened or actual government enforcement action or litigation could also generate adverse publicity, damage our reputation, result in liabilities, fines and loss of business, and require that we devote substantial resources that could otherwise be used in other aspects of our business.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make public statements about our use and disclosure of personal information through our privacy policy information provided on our internet platform and press statements. Although we endeavor to comply with our public statements and documentation, we may at times fail to do so or be alleged to have failed to do so. Moreover, despite our efforts, we may not be successful in achieving compliance if our employees or contractual partners fail to comply with our published policies, certifications and documentation. The publication of our privacy policy and other statements that provide promises and assurances about data privacy and security can subject us to potential government or legal action if they are found to be deceptive, unfair or misrepresentative of our actual practices. Any failure, real or perceived, by us to comply with our posted privacy policies or with any legal or regulatory requirements, standards, certifications or orders or other privacy or consumer protection-related laws and regulations applicable to us could cause our prospective customers to reduce their use of our products and could materially and adversely affect our business, financial condition and results of operations. In many jurisdictions, enforcement actions and consequences for non-compliance can be significant and are rising. In addition, from time to time, concerns may be expressed about whether our products or processes compromise the privacy of customers and others. Concerns about our practices with regard to the collection, use, retention, security, disclosure, transfer and other processing of personal information or other privacy-related matters, even if unfounded, could damage our reputation and materially and adversely affect our business, financial condition and results of operations.</w:t>
      </w:r>
    </w:p>
    <w:p>
      <w:pPr>
        <w:spacing w:after="0" w:line="19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or security incident. Any contractual protections we may have from our third-party service providers, contractors or consultants may not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be sufficient to adequately protect us from any such liabilities and losses, and we may be unable to enforce any such contractual protections.</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in a manner that requires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contract partners and the physician and patient community and have a material and adverse impact on our business.</w:t>
      </w:r>
    </w:p>
    <w:p>
      <w:pPr>
        <w:spacing w:after="0" w:line="188"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use of artificial intelligence-based software (including machine learning) may result in reputational harm or liability or could otherwise adversely affect our business.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use of artificial intelligence-based software is increasingly being used in the biopharmaceutical and global healthcare industries. As with many developing technologies, artificial intelligence-based software presents risks and challenges that could affect its further development, adoption, and use, and therefore our business. For example, algorithms may be flawed; data sets may be insufficient, of poor quality, or contain biased information; and inappropriate or controversial data practices by data scientists, engineers, and end-users could impair results. If the analyses that artificial intelligence (AI) applications assist in producing are deficient or inaccurate, we could be subjected to competitive harm, potential legal liability, and reputational harm. Furthermore, use of AI-based software may lead to the inadvertent release of confidential information which may impact our ability to realize the benefit of our intellectual property rights.</w:t>
      </w:r>
    </w:p>
    <w:p>
      <w:pPr>
        <w:spacing w:after="0" w:line="18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 growing number of legislators and regulators are adopting laws and regulations and have focused enforcement efforts on the adoption of AI, and use of such technologies in compliance with ethical standards and societal expectations. For example, the EU’s Artificial Intelligence Act (“AI Act”) imposes significant obligations on providers and deployers of AI systems, and encourages providers and deployers of AI systems to account for EU ethical principles in their development and use of these systems. Likewise, in the United States, several states, including Colorado and California, passed laws to regulate various uses of AI, including to make consequential decisions. In addition, various federal regulators have issued guidance and focused enforcement efforts on the use of AI in regulated sectors. The FDA, for example, issued guidance on the use of AI in medical devices, requiring detailed risk management and review processes to obtain approvals. If we develop or use AI systems governed by these laws or regulations, we will need to apply significant resources to design, develop, test and maintain such systems in accordance with applicable law and regulation, with the potential for significant enforcement or litigation in the event of any perceived non-compliance.</w:t>
      </w:r>
    </w:p>
    <w:p>
      <w:pPr>
        <w:spacing w:after="0" w:line="188"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79"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1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vendors, and consultants may be vulnerable to damage from cybersecurity risks, including attempts to gain unauthorized access to and to harm sensitive or confidential information and networks, insider threats, and ransomware. These vulnerabilities may be heightened as a result of flexible work arrangements, including hybrid or remote work policies implemented by us and our third-party contractors, that were first adopted in response to the COVID-19 pandemic and have continued by many businesses in an effort to attract and retain talent.</w:t>
      </w:r>
    </w:p>
    <w:p>
      <w:pPr>
        <w:spacing w:after="0" w:line="183"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from time to time experienced, and will continue to experience in the future, cyberattacks on our information technology systems, including malware and computer virus attacks, despite our best efforts to prevent them. Although such incidents have been immaterial to our business to date, investigations into and remedial efforts in connection with any security incidents, even those with immaterial impact, can be costly and time-consuming, and any future incidents could be material, or cause significant disruption, to our business. Our technologies, systems, networks, or other proprietary information, and those of our vendors, suppliers and other business partners, may become the target of cyberattacks or data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5" w:name="page76"/>
    <w:bookmarkEnd w:id="75"/>
    <w:p>
      <w:pPr>
        <w:ind w:right="20"/>
        <w:spacing w:after="0" w:line="254" w:lineRule="auto"/>
        <w:rPr>
          <w:sz w:val="20"/>
          <w:szCs w:val="20"/>
          <w:color w:val="auto"/>
        </w:rPr>
      </w:pPr>
      <w:r>
        <w:rPr>
          <w:rFonts w:ascii="Times New Roman" w:cs="Times New Roman" w:eastAsia="Times New Roman" w:hAnsi="Times New Roman"/>
          <w:sz w:val="18"/>
          <w:szCs w:val="18"/>
          <w:color w:val="auto"/>
        </w:rPr>
        <w:t>breaches that could result in the unauthorized release, gathering, monitoring, misuse, loss, or destruction of proprietary and other information, or could otherwise lead to the disruption of our business operations. For example, the loss of clinical trial data from completed, ongoing or future clinical trials could result in delays in our regulatory approval efforts and significantly increase our costs to recover or reproduce the data. Likewise, we rely on third parties for research and development, the manufacture and supply of drug product and drug substance and to conduct clinical trials. We depend on these third parties to implement adequate controls and safeguards to protect against and report cybersecurity incidents. If they fail to do so, we may suffer financial and other harm, including to our information, operations, performance, and reputation. To the extent that any cybersecurity incident or data breach were to result in a loss of, or damage to, our data or systems, or inappropriate disclosure of confidential or proprietary information, we may have an obligation to provide legal notifications and disclosures, and we could incur liability and the further development and commercialization of our product candidates could be delayed.</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Cybersecurity threats, both on premises and in the cloud, are evolving and could occur and result in information theft, data corruption, operational disruption, damage to our reputation, or financial loss. Such threats include, but are not limited to: malicious software, destructive malware, ransomware attacks, denial-of-service attacks, business email compromises, viruses, wrongful intrusions, social engineering (including phishing attacks), attempts to gain unauthorized access to systems or data, data breaches, the unauthorized release of confidential, personal or otherwise protected information, data corruption, the breakdown or damage or interruption of networks or systems from, among other things, natural disasters, terrorism, war, telecommunication and electrical failures, and harm to individuals. In addition, we could be impacted by cybersecurity threats or other disruptions or vulnerabilities found in products or services we use that are provided to us by third-parties. The risk of a security breach or disruption, particularly through cyberattacks or cyber intrusion, including by computer hackers, cyber criminals, hacktivists, foreign governments, and cyber terrorists, has generally increased as the number, intensity and sophistication of attempted attacks and intrusions from around the world have increased.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These events, if not prevented or effectively mitigated, could damage our reputation, require remedial actions and lead to loss of business, regulatory actions, potential liability and other financial losses.</w:t>
      </w:r>
    </w:p>
    <w:p>
      <w:pPr>
        <w:spacing w:after="0" w:line="187"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Certain data breaches must also be reported to affected individuals and various government and/or regulatory agencies, and in some cases to the media, under provisions of HIPAA, as amended by HITECH, other U.S. federal and state law, and requirements of non-U.S. jurisdictions, including the European Union Data Protection Directive, and financial penalties may also apply.</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 In addition, such insurance may not be available to us in the future on economically reasonable terms, or at all. Further, our insurance may not cover all claims made against us and defending a suit, regardless of its merit, could be costly and divert management’s attention.</w:t>
      </w:r>
    </w:p>
    <w:p>
      <w:pPr>
        <w:spacing w:after="0" w:line="17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Securities Exchange Commission (SEC), the National Institutes of Health (NIH) and other government agencies, including from government shut downs, or other disruptions to these agencies’ operations, could hinder their ability to hire, retain or deploy personnel, and substantial leadership, personnel, and policy changes or otherwise, could prevent new products from being developed or commercialized in a timely manner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of these factors. Disruptions at the FDA and other agencies, including substantial leadership, personnel and policy changes,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Currently, federal agencies in the U.S. are operating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6" w:name="page77"/>
    <w:bookmarkEnd w:id="76"/>
    <w:p>
      <w:pPr>
        <w:ind w:right="60"/>
        <w:spacing w:after="0" w:line="261" w:lineRule="auto"/>
        <w:rPr>
          <w:sz w:val="20"/>
          <w:szCs w:val="20"/>
          <w:color w:val="auto"/>
        </w:rPr>
      </w:pPr>
      <w:r>
        <w:rPr>
          <w:rFonts w:ascii="Times New Roman" w:cs="Times New Roman" w:eastAsia="Times New Roman" w:hAnsi="Times New Roman"/>
          <w:sz w:val="18"/>
          <w:szCs w:val="18"/>
          <w:color w:val="auto"/>
        </w:rPr>
        <w:t>under a continuing resolution that is set to expire on March 14, 2025. If a prolonged government shutdown occurs, it could significantly impact the ability of the FDA to timely review and process our regulatory submissions, which could have a material adverse effect on our business. Additionally, disruptions at the NIH or changes to the NIH’s budget may negatively impact our operations and ongoing clinical trials. Further, future government shutdowns could impact our ability to access the public markets and obtain necessary capital in order to properly capitalize and continue our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or may decline regardless of our operating performance.</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shares of our common stock has fluctuated in the past and could be subject to wide fluctuations in the future as a result of many risks listed in this section, and other risks beyond our control, including:</w:t>
      </w:r>
    </w:p>
    <w:p>
      <w:pPr>
        <w:spacing w:after="0" w:line="54"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initiation of, and progress in, our current and planned clinical trials and preclinical studies;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preclinical studies, and the results of clinical trials and preclinical studies by others for product candidates or indications similar to ours;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the FDA or to regulations applicable to cellular immunotherapies generally or our product candidates in particular including, but not limited to, regulatory pathways and clinical trial requirements for approvals;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 such as our announcement in January 2023 of the termination of our collaboration with Janssen;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proprietary rights including patents, litigation matters and our ability to obtain patent protection for our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research and development activities and our business prospects, including in relation to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of technological innovations or new therapeutic products by us or others in the field of immunotherapy;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equity or debt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by our insiders or our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(including changes related to stock-based compensation from performance-based awards);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periods of widespread civil unrest, including the increasingly volatile global economic conditions resulting from the ongoing global geopolitical tensions, including wars and other armed conflicts;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inflationary pressures and stock market volatility.</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and other market and industry factors, including the effects of any future public health crises or other public health concerns, wars or other armed conflicts, changes in the regulatory landscape and governmental agency personnel in the United States or similar events resulting from the change in the U.S. presidential administration, and global economic conditions,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w:t>
      </w:r>
    </w:p>
    <w:p>
      <w:pPr>
        <w:spacing w:after="0" w:line="18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Changes in our stock price may also trigger financial obligations under our licensing arrangements. For example, pursuant to the terms of the Amended MSKCC License, MSKCC is eligible to receive from us certain milestone payments totaling up to $75.0 million based on the price of our common stock, where the amount of such payments owed to MSKCC is contingent upon certain increases in the price of our common stock following the date of achievement of a specified clinical milestone. In July 2021, we achieved the specified clinical milestone for a licensed product under the Amended MSKCC License and our ten-trading day trailing average common stock price exceeded the first, pre-specified threshold. Accordingly, MSKCC received the first milestone payment of</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77" w:name="page78"/>
    <w:bookmarkEnd w:id="77"/>
    <w:p>
      <w:pPr>
        <w:ind w:right="520"/>
        <w:spacing w:after="0" w:line="282" w:lineRule="auto"/>
        <w:rPr>
          <w:sz w:val="20"/>
          <w:szCs w:val="20"/>
          <w:color w:val="auto"/>
        </w:rPr>
      </w:pPr>
      <w:r>
        <w:rPr>
          <w:rFonts w:ascii="Times New Roman" w:cs="Times New Roman" w:eastAsia="Times New Roman" w:hAnsi="Times New Roman"/>
          <w:sz w:val="18"/>
          <w:szCs w:val="18"/>
          <w:color w:val="auto"/>
        </w:rPr>
        <w:t>$20.0 million in November 2021; however, uncertainty of the price of our common stock results in an inability to ascertain the precise timing of any remaining future milestone payments in advance.</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Additionally, a decrease in our stock price may cause our common stock to no longer satisfy the continued listing standards of Nasdaq. If we are not able to maintain the requirements for listing on Nasdaq, our common stock could be delisted, which could have a materially adverse effect on our ability to raise additional funds as well as the price and liquidity of our common stock.</w:t>
      </w:r>
    </w:p>
    <w:p>
      <w:pPr>
        <w:spacing w:after="0" w:line="172"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exercise significant control over our company.</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of February 25, 2025, our executive officers, directors and entities affiliated with our five percent stockholders beneficially own, in the aggregate, shares representing approximately 42.9% of our outstanding voting stock. If, in accordance with the CoD (as such term is defined in Note 9 of the notes to the consolidated financial statements herewith) relating to the Class A Convertible Preferred Stock, Redmile (as such term is defined in Note 9 of the notes to the consolidated financial statements herewith) elects to remove certain limitations on the percentage of our outstanding common stock that it may own such that the 2,755,086 shares of Class A Convertible Preferred Stock currently held by Redmile become fully convertible at Redmile’s option into 13,775,430 shares of common stock, the beneficial ownership of our executive officers, directors and entities affiliated with our five percent stockholders would increase to 46.7%. Although we are not aware of any voting arrangements in place among these stockholders, if these stockholders were to choose to act together, as a result of their stock ownership, they would be able to influence our management and affairs and control all matters submitted to our stockholders for approval, including the election of directors and approval of any merger, consolidation or sale of all or substantially all of our assets. This concentration of ownership may have the effect of delaying or preventing a change in control of our company that our other stockholders may believe are in their best interests, or adversely affecting the liquidity, volatility, and market price of our common stock. For example, if any of our directors, executive officers or other entities affiliated with our five percent stockholders elect to sell, transfer or otherwise dispose of a significant amount of shares of our common stock, this could result in a decrease in our stock price. Furthermore, any transferees or successors of all or a significant portion of our existing stockholders’ ownership in us will be able to exert a similar amount of control over us through their ownership position.</w:t>
      </w:r>
    </w:p>
    <w:p>
      <w:pPr>
        <w:spacing w:after="0" w:line="193"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 Issuances of common stock or rights to purchase common stock under our equity incentive plans could result in additional dilution of the percentage ownership of our stockholders and could cause our stock price to fall.</w:t>
      </w:r>
    </w:p>
    <w:p>
      <w:pPr>
        <w:spacing w:after="0" w:line="1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and we may seek additional funding through a combination of equity offerings, debt financings, state or government grants, strategic alliances, licensing and collaboration arrangements, or other third-party business arrangements. 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 Further, in November 2023, we filed a registration statement on Form S-3 pursuant to which we were initially eligible to issue and sell up to $300.0 million in common stock, preferred stock, debt securities, warrants and/or units, in one or more series or classes, including up to $100.0 million in shares of common stock that may be issued in sales deemed to be an “at the market offering” as defined by the Securities Act of 1933, as amended (the Securities Act). In March 2024, we issued and sold 14,545,454 shares of our common stock at a purchase price of $5.50 per share in an underwritten offering pursuant to the shelf registration statement for aggregate gross proceeds of approximately $80.0 million. Accordingly, we are currently eligible to issue an aggregate of approximately $220.0 million under the shelf registration statement (including the $100.0 million issuable in “at the market offerings”). Any sale or issuance of securities pursuant to a registration statement or otherwise may result in dilution to our stockholders and may cause the market price of our stock to decline, and new investors could gain rights superior to our existing stockholders. In addition, any debt financings that we may enter into in the future may subject us to unfavorable repayment terms, including increased interest rates, impose restrictive covenants or otherwise adversely affect the holdings or the rights of our stockholders, and any additional equity financings will be dilutive to our stockholders. Furthermore, additional equity or debt financing might not be available to us on reasonable terms, if at all.</w:t>
      </w:r>
    </w:p>
    <w:p>
      <w:pPr>
        <w:spacing w:after="0" w:line="19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Pursuant to our 2022 Stock Option and Incentive Plan (as amended and restated, the “2022 Plan”) we are authorized to grant stock options and other equity-based awards to our employees, officers, directors and consultants. The 2022 Plan authorizes the issuance of up to 17.5 million shares. We also make equity grants to new employees joining our company pursuant to an inducement plan, and our board of directors may elect to increase the number of shares available for future grants under the inducement plan without stockholder approval. If our board of directors elects in the future to increase the number of shares available for future grant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78" w:name="page79"/>
    <w:bookmarkEnd w:id="78"/>
    <w:p>
      <w:pPr>
        <w:ind w:right="380"/>
        <w:spacing w:after="0" w:line="282" w:lineRule="auto"/>
        <w:rPr>
          <w:sz w:val="20"/>
          <w:szCs w:val="20"/>
          <w:color w:val="auto"/>
        </w:rPr>
      </w:pPr>
      <w:r>
        <w:rPr>
          <w:rFonts w:ascii="Times New Roman" w:cs="Times New Roman" w:eastAsia="Times New Roman" w:hAnsi="Times New Roman"/>
          <w:sz w:val="18"/>
          <w:szCs w:val="18"/>
          <w:color w:val="auto"/>
        </w:rPr>
        <w:t>and, in the case of the 2022 Plan, if our stockholders approve of any such future increase, our stockholders may experience additional dilution, and our stock price may fall.</w:t>
      </w:r>
    </w:p>
    <w:p>
      <w:pPr>
        <w:spacing w:after="0" w:line="158"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in the near future, which could cause the market price of our common stock to drop significantly.</w:t>
      </w:r>
    </w:p>
    <w:p>
      <w:pPr>
        <w:spacing w:after="0" w:line="15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A significant portion of our outstanding shares of common stock are held by a small number of stockholders, including our directors, officers and significant stockholders. Sales by our stockholders of a substantial number of shares, or the expectation that such sales may occur, could significantly reduce the market price of our common stock.</w:t>
      </w:r>
    </w:p>
    <w:p>
      <w:pPr>
        <w:spacing w:after="0" w:line="180"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7"/>
          <w:szCs w:val="17"/>
          <w:color w:val="auto"/>
        </w:rPr>
        <w:t>For example, we registered all of the 5,250,000 shares of common stock issued by us in our August 2016 private placement transaction for resale on a Form S-3, which was declared effective by the SEC in September 2016. We also registered all of the 6,766,915 shares of common stock issued by us and all 14,097,745 shares of common stock issuable upon the conversion of an aggregate of 2,819,549 shares of Class A Convertible Preferred Stock issued by us in our November 2016 private placement transaction for resale on a Form S-3, which was declared effective by the SEC in January 2017. Additionally, we have registered the shares of common stock issued to Johnson &amp; Johnson Innovation – JJDC, Inc. under the stock purchase agreement entered into in June 2020 in connection with the Janssen Agreement pursuant to a registration statement on Form S-3. Moreover, we registered all of the 5,380,117 shares of common stock issued by us and all of the 257,310 prefunded warrants to purchase common stock in our public offering in January 2021. We registered all of the 14,545,454 shares of common stock issued by us in our underwritten offering in March 2024. In addition, we registered for resale all of the 3,636,364 shares of common stock issuable upon exercise of the pre-funded warrants sold in the concurrent private placement in March 2024.</w:t>
      </w:r>
    </w:p>
    <w:p>
      <w:pPr>
        <w:spacing w:after="0" w:line="17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also registered or intend to register all shares of our common stock subject to options, restricted stock units or other equity awards issued or reserved for future issuance under our equity incentive plans. As a result, these shares will be available for sale in the public market subject to vesting arrangements and exercise of options, and restrictions under applicable securities laws. In addition, certain of our executive officers, directors, employees and affiliates have established and may in the future establish programmed selling plans under Rule 10b5-1 of the Securities Exchange Act of 1934, as amended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83"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Delaware law or our charter documents could delay or prevent an acquisition of our company, and could make it more difficult for you to change management.</w:t>
      </w:r>
    </w:p>
    <w:p>
      <w:pPr>
        <w:spacing w:after="0" w:line="15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Provisions of Delaware law, our amended and restated certificate of incorporation, and our amended and restated bylaws may discourage,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72"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limitations on the removal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 or to call special meetings;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make, alter or repeal our amended and restated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our board of directors may determine.</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Any provision of our amended and restated certificate of incorporation or amended and restated bylaws or Delaware law that has the effect of delaying or discouraging a potential acquisition proposal or tender offer could limit the opportunity for our stockholders to achieve liquidity for their shares of our common stock, even if the acquisition proposal or tender offer is at a premium over the then-current market price for our common stock, and could also affect the price that some investors are willing to pay for our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9" w:name="page80"/>
    <w:bookmarkEnd w:id="79"/>
    <w:p>
      <w:pPr>
        <w:ind w:right="1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and the U.S. federal district courts as the exclusive forum for certain litigation that may be initiated by our stockholders, which could limit our stockholders’ ability to litigate disputes with us in a different judicial forum.</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arising pursuant to any provision of the General Corporation Law of the State of Delaware, our amended and restated certificate of incorporation or our amended and restated bylaws; or (iv) any action asserting a claim governed by the internal affairs doctrine. This exclusive forum provision will not apply to any causes of action arising under the Securities Act. Unless we consent in writing to the selection of an alternate forum, the U.S. federal district courts shall be the sole and exclusive forum for resolving any complaint asserting a cause of action arising under the Securities Act. The forum selection clause in our amended and restated bylaws may limit our stockholders’ ability to litigate disputes with us in a different judicial forum. While the Delaware courts have determined that these types of forum provisions are facially valid, a stockholder may nevertheless seek to bring a claim in a venue other than those designated in the exclusive forum provisions. In such instance, we may incur significant additional costs associated with resolving the dispute in other jurisdictions, and there can be no assurance that the provisions will be enforced by a court in those other jurisdictions.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sustained decline in our stock price may result in an impairment indication which could have an adverse impact on our results of operations.</w:t>
      </w:r>
    </w:p>
    <w:p>
      <w:pPr>
        <w:spacing w:after="0" w:line="229"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Any significant change in market conditions, including a sustained decline in our stock price, that indicate a reduction in carrying value may give rise to indicators of impairment in the period that the change becomes known. For example, as of December 31, 2024, we identified an indicator of impairment of our long-lived assets due to a sustained decline in the trading price of our common stock over the preceding year, resulting in the our market capitalization being below its net asset value. As a result of the fair value analysis, we recorded a $13.4 million impairment charge against property and equipment and a $1.3 million impairment charge against the right-of-use asset in the statement of operations during the year ended December 31, 2024.</w:t>
      </w:r>
    </w:p>
    <w:p>
      <w:pPr>
        <w:spacing w:after="0" w:line="164"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qualify as a “smaller reporting company” and a “non-accelerated filer,” and any decision on our part to comply only with certain reduced reporting and disclosure requirements applicable to such companies could make our common shares less attractive to investors.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a result of our public float (the market value of our common shares held by non-affiliates) as of June 30, 2024, we qualify as a “smaller reporting company,” as defined under the Exchange Act. In addition, we are a “non-accelerated filer” as defined under the Exchange Act. For as long as we continue to be a smaller reporting company or a non-accelerated filer, we may choose to take advantage of exemptions from various reporting requirements applicable to other public companies that are not smaller reporting companies or non-accelerated filers, as applicable, including, but not limited to, an exemption from the requirement that our independent registered public accounting firm attest to the design and operating effectiveness of our internal controls over financial reporting under Section 404(b) of the Sarbanes-Oxley Act.</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we choose to rely on any of these reporting and disclosure exemptions, the information we provide stockholders will be different than the information that is available with respect to many other public companies. Moreover, if some investors find our common stock less attractive as a result of any choices to reduce future disclosure or have an independent review and attestation of our internal control over financial reporting, there may be a less active trading market for our common stock and the market price of our common stock may be more volatile.</w:t>
      </w:r>
    </w:p>
    <w:p>
      <w:pPr>
        <w:spacing w:after="0" w:line="176"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benefits may be limited and, as a result, our future tax liability may increase.</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2024, we had federal and state net operating loss carryforwards of $689.2 million and $644.2 million, respectively, some of which begin to expire in various amounts in 2027 and 2028, respectively. As of December 31, 2024, we also had federal and California research and development tax credit carryforwards of $45.6 million and $37.8 million, respectively. The federal research and development tax credit carryforwards will begin to expire in 2035 unless previously utilized, while the California carryforwards will carry forward indefinitely. These net operating loss and tax credit carryforwards could expire unused and be unavailable to offset future income tax liabilities. In addition, in general, under Sections 382 and 383 of the Internal Revenue Code of 1986, as amended, a corporation that undergoes an “ownership change” is subject to limitations on its ability to utilize its pre-change net operating losses (NOLs) or tax credits, or NOLs or credits, to offset future taxable income or taxes. Generally, a change of more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80" w:name="page81"/>
    <w:bookmarkEnd w:id="80"/>
    <w:p>
      <w:pPr>
        <w:spacing w:after="0" w:line="254" w:lineRule="auto"/>
        <w:rPr>
          <w:sz w:val="20"/>
          <w:szCs w:val="20"/>
          <w:color w:val="auto"/>
        </w:rPr>
      </w:pPr>
      <w:r>
        <w:rPr>
          <w:rFonts w:ascii="Times New Roman" w:cs="Times New Roman" w:eastAsia="Times New Roman" w:hAnsi="Times New Roman"/>
          <w:sz w:val="18"/>
          <w:szCs w:val="18"/>
          <w:color w:val="auto"/>
        </w:rPr>
        <w:t>than 50 percentage points in the ownership of a corporation’s stock, by value, over a three-year period constitutes an ownership change for U.S. federal income tax purposes. We have determined that we triggered an ownership change limitation in November 2009 and again in May 2015. We have determined that we do not believe there were any ownership changes from May 2015 through December 2024. We have not analyzed periods subsequent to December 2024. We may experience additional ownership changes as a result of shifts in our stock ownership in the future. Limits on our ability to use our pre-change NOLs or credits to offset U.S. federal taxable income could potentially result in increased future tax liability to us if we earn net taxable income in the future. The amount of NOLs generated in taxable periods beginning after December 31, 2024, that we are permitted to deduct in any taxable year is limited to 80% of our taxable income in such year, where taxable income is determined without regard to the NOL deduction itself. U.S. federal and certain state NOLs generated in taxable years beginning after December 31, 2017 are not subject to expiration.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and could be further subject to securities class action litigation and other types of stockholder litigation.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stock market in general, and the Nasdaq Global Market and biotechnology companies in particular, have experienced extreme price and volume fluctuations that have often been unrelated or disproportionate to the operating performance of these companies. Securities class action litigation has often been instituted against companies following periods of volatility in the market price of a company’s securities. For example, in January 2023, a purported stockholder filed a lawsuit against us and certain of our officers captioned Hadian v. Fate Therapeutics, Inc. et al. in the U.S. District Court for the Southern District of California and two derivative actions were filed in the same court in June 2023 and June 2024, respectively (see </w:t>
      </w:r>
      <w:r>
        <w:rPr>
          <w:rFonts w:ascii="Times New Roman" w:cs="Times New Roman" w:eastAsia="Times New Roman" w:hAnsi="Times New Roman"/>
          <w:sz w:val="18"/>
          <w:szCs w:val="18"/>
          <w:i w:val="1"/>
          <w:iCs w:val="1"/>
          <w:color w:val="auto"/>
        </w:rPr>
        <w:t>“Item 3. Legal Proceedings”</w:t>
      </w:r>
      <w:r>
        <w:rPr>
          <w:rFonts w:ascii="Times New Roman" w:cs="Times New Roman" w:eastAsia="Times New Roman" w:hAnsi="Times New Roman"/>
          <w:sz w:val="18"/>
          <w:szCs w:val="18"/>
          <w:color w:val="auto"/>
        </w:rPr>
        <w:t xml:space="preserve"> for a more detailed description of this matter). We could also be subject to other types of litigation, which may involve claims of breach of fiduciary duties by our directors or officers for misuse/mismanagement of company assets/resources or conflicts of interest. Any such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200" w:lineRule="exact"/>
        <w:rPr>
          <w:sz w:val="20"/>
          <w:szCs w:val="20"/>
          <w:color w:val="auto"/>
        </w:rPr>
      </w:pPr>
    </w:p>
    <w:p>
      <w:pPr>
        <w:spacing w:after="0" w:line="206" w:lineRule="exact"/>
        <w:rPr>
          <w:sz w:val="20"/>
          <w:szCs w:val="20"/>
          <w:color w:val="auto"/>
        </w:rPr>
      </w:pPr>
    </w:p>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may subject us to disputes, claims and lawsuits, which may be costly and time-consuming and could materially and adversely impact our financial position and results of operations.</w:t>
      </w:r>
    </w:p>
    <w:p>
      <w:pPr>
        <w:spacing w:after="0" w:line="15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become involved in disputes, claims and lawsuits relating to our business operations. For example, we have in the past and we may, from time to time, face or initiate claims related to intellectual property matters, employment matters, or commercial disputes. Any dispute, claim or lawsuit may divert management’s attention away from our business, we may incur significant expenses in addressing or defending any dispute, claim or lawsuit, and we may be required to pay damage awards or settlements or become subject to equitable remedies that could adversely affect our operations and financial results. Litigation related to these disputes may be costly and time-consuming and could materially and adversely impact our financial position and results of operations if resolved against us. In addition, the uncertainty associated with litigation could lead to increased volatility in our stock price.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regulatory and other factors beyond our control, such as the rate of unemployment, rate of inflation, the number of uninsured persons in the United States, political influences and inflationary pressures, and fluctuations in costs, particularly due to changes in labor costs and material costs. For example, an overall decrease in or loss of insurance coverage among individuals in the United States due to high levels of unemployment, underemployment or the repeal of certain provisions of the ACA may decrease the demand for healthcare services and pharmaceuticals. If fewer patients are seeking medical care because they do not have insurance coverage or are unable to obtain medical care for their conditions due to resource constraints on the healthcare system, we may experience difficulties in any eventual commercialization of our product candidates and our business, results of operations, financial condition and cash flows could be adversely affected. In addition, if we are unable to manage cost fluctuations and inflationary pressures, including prices of materials, costs of labor, it may adversely impact our operating performance, expenses and results.</w:t>
      </w:r>
    </w:p>
    <w:p>
      <w:pPr>
        <w:spacing w:after="0" w:line="19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1" w:name="page82"/>
    <w:bookmarkEnd w:id="81"/>
    <w:p>
      <w:pPr>
        <w:ind w:right="100"/>
        <w:spacing w:after="0" w:line="258" w:lineRule="auto"/>
        <w:rPr>
          <w:sz w:val="20"/>
          <w:szCs w:val="20"/>
          <w:color w:val="auto"/>
        </w:rPr>
      </w:pPr>
      <w:r>
        <w:rPr>
          <w:rFonts w:ascii="Times New Roman" w:cs="Times New Roman" w:eastAsia="Times New Roman" w:hAnsi="Times New Roman"/>
          <w:sz w:val="18"/>
          <w:szCs w:val="18"/>
          <w:color w:val="auto"/>
        </w:rPr>
        <w:t>economic downturn, ongoing and emerging global geopolitical tensions, including wars or other armed conflicts, interest rate fluctuations, rising inflation rates or recession, could result in a variety of risks to our business, including a reduced ability to raise additional capital when needed on acceptable terms, if at all, and weakened demand for our product candidates. A weak or declining economy, and rising inflation could also strain our suppliers, possibly resulting in supply disruption. Any of the foregoing could harm our business and we cannot anticipate all of the ways in which ongoing wars and other armed conflicts, current economic climate and financial market conditions could adversely impact our business.</w:t>
      </w:r>
    </w:p>
    <w:p>
      <w:pPr>
        <w:spacing w:after="0" w:line="179"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regulatory developments, and other circumstances beyond our control, could have a material adverse effect on our financial condition or results of operations.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intend to expand our clinical operations to countries other than the U.S., and are developing products for regulatory approval and sale in countries throughout the world. Significant political, trade, or regulatory developments in the jurisdictions in which we may conduct clinical trials, develop, or sell our products,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For example, on February 1, 2025, the U.S. imposed a 25% tariff on imports from Canada and Mexico, which were subsequently suspended for a period of one month, and a 10% additional tariff on imports from 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spacing w:after="0" w:line="190"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Volatility in capital markets and lower market prices for our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spacing w:after="0" w:line="1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operations consume substantial amounts of cash, and we intend to continue to make significant investments to support our business growth, respond to business challenges or opportunities, develop new product candidates, retain or expand our current levels of personnel, improve our existing products,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72"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or our existing product candidates and develop or enhance our technological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in-licenses or other strategic relationships;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25"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185"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volatility in interest rates could affect our ability to obtain working capital through borrowings such as bank credit lines and public or private sales of debt securities, which may result in lower liquidity, reduced working capital and other adverse impacts on our business.</w:t>
      </w:r>
    </w:p>
    <w:p>
      <w:pPr>
        <w:spacing w:after="0" w:line="15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To meet our liquidity needs, we have previously relied, in part, on borrowed funds, and may do so again in the future. Continued volatility in interest rates will impact the cost of new indebtedness and could materially and adversely affect our results of operations, financial condition, liquidity and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2" w:name="page83"/>
    <w:bookmarkEnd w:id="82"/>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changing expectations from governments and third-parties relating to environmental, social and governance (ESG) policies and practices may cause us to incur additional costs, expose us to additional risks or impact our reputation.</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recent years, there has been increasing public focus and scrutiny from certain investors, employees and other stakeholders concerning corporate responsibility, specifically related to ESG factors. In addition to the changing rules and regulations related to ESG matters imposed by governmental and self-regulatory organizations, a variety of third-party organizations, institutional investors and customers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expectations related to ESG matters. Third-party providers of ESG ratings and reports on companies have increased in number, resulting in varied and, in some cases, inconsistent standards and frameworks. Topics taken into account in such assessments include, among others, our efforts and impacts with respect to climate change and the role of our board of directors in supervising various sustainability issues.</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diversity equity and inclusion (“DEI”) initiatives in the private sector. Such anti-ESG and anti-DEI-related policies, legislation, initiatives, litigation, legal opinions, and scrutiny could result in the Company facing additional compliance obligations, becoming the subject of investigations and enforcement actions, or sustaining reputational harm.</w:t>
      </w:r>
    </w:p>
    <w:p>
      <w:pPr>
        <w:spacing w:after="0" w:line="19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our business practices do not meet evolving investor, government agency or other stakeholder expectations and standards with respect to ESG, then our reputation, our ability to attract or retain employees and the market price of our securities could be negatively impacted. New governmental regulations could result in new directives and new or more stringent forms of ESG oversight and disclosures which may lead to increased expenditures for sustainability initiatives, which in turn could have a material adverse effect on our business, financial condition, cash flows and results of operations and could cause the market value of our common stock to decline.</w:t>
      </w:r>
    </w:p>
    <w:p>
      <w:pPr>
        <w:spacing w:after="0" w:line="179"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1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these cases borrowers under credit agreements, letters of credit and certain other financial instruments with SVB, Signature Bank or any other financial institution that is placed into receivership by the FDIC may be unable to access undrawn amounts thereunder. We currently use deposit accounts to fund our operations and other financial instruments such as cash-collateralized letters of credit associated with our facilities leases. Our excess cash is invested according to a restrictive investment policy within custodial accounts at various financial institutions. If any of the financial institutions that hold our deposit accounts were to be placed into receivership, we may be unable to access the funds in those accounts, which could result in liquidity constraints or failures. In addition, if any of our collaboration partners, suppliers or other parties with whom we conduct business are unable to access funds pursuant to such instruments or lending arrangements with such a financial institution, such parties’ ability to pay their obligations to us or to enter into</w:t>
      </w:r>
    </w:p>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19" w:right="439" w:bottom="1440" w:gutter="0" w:footer="0" w:header="0"/>
        </w:sectPr>
      </w:pPr>
    </w:p>
    <w:bookmarkStart w:id="83" w:name="page84"/>
    <w:bookmarkEnd w:id="83"/>
    <w:p>
      <w:pPr>
        <w:ind w:right="60"/>
        <w:spacing w:after="0" w:line="261" w:lineRule="auto"/>
        <w:rPr>
          <w:sz w:val="20"/>
          <w:szCs w:val="20"/>
          <w:color w:val="auto"/>
        </w:rPr>
      </w:pPr>
      <w:r>
        <w:rPr>
          <w:rFonts w:ascii="Times New Roman" w:cs="Times New Roman" w:eastAsia="Times New Roman" w:hAnsi="Times New Roman"/>
          <w:sz w:val="18"/>
          <w:szCs w:val="18"/>
          <w:color w:val="auto"/>
        </w:rPr>
        <w:t>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or the sale of its assets, and uncertainty remains over liquidity concerns in the broader financial services industry. Similar impacts have occurred in the past, such as during the 2008-2010 financial crisis.</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other business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 or</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or reductions in borrowings available under working capital sources and/or delays, inability or reductions in our ability to refund, roll over or extend the maturity of, or enter into new working capital resources.</w:t>
      </w:r>
    </w:p>
    <w:p>
      <w:pPr>
        <w:spacing w:after="0" w:line="162" w:lineRule="exact"/>
        <w:rPr>
          <w:sz w:val="20"/>
          <w:szCs w:val="20"/>
          <w:color w:val="auto"/>
        </w:rPr>
      </w:pPr>
    </w:p>
    <w:p>
      <w:pPr>
        <w:ind w:right="520" w:firstLine="509"/>
        <w:spacing w:after="0" w:line="258"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our collaboration partners, suppliers or other parties with whom we do business, which in turn, could have a material adverse effect on our current and/or projected business operations and results of operations and financial condition. Any bankruptcy or insolvency of a collaboration partner, supplier or other party with whom we do business, or the failure of any such party to make payments when due, or any breach or default by any such party, or the loss of any significant commercial relationships, could result in material losses to us and may have a material adverse impact on our business.</w:t>
      </w:r>
    </w:p>
    <w:p>
      <w:pPr>
        <w:spacing w:after="0" w:line="179"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risks associated with ongoing wars and armed conflicts could have an adverse impact on our business, financial condition and results of operations, including our clinical trials.</w:t>
      </w:r>
    </w:p>
    <w:p>
      <w:pPr>
        <w:spacing w:after="0" w:line="15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There are ongoing and emerging geopolitical tensions, including wars and other armed conflicts, and although the conflicts have had little direct impact on our business to date, the uncertainty and ripple effects created by these conflicts may have unknown indirect impacts. For instance, the ongoing conflicts have resulted in significant volatility in certain equity, debt and currency markets, material increases in certain commodity prices, and economic uncertainty. Global conflicts, including Russia’s invasion of Ukraine, conflicts in the Middle East, and heightened tensions in the Pacific region, have significantly elevated global geopolitical tensions and security concerns. It is not possible to predict the broader or longer-term consequences of these conflicts, although a prolonged conflict may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4" w:name="page85"/>
    <w:bookmarkEnd w:id="84"/>
    <w:p>
      <w:pPr>
        <w:ind w:right="20"/>
        <w:spacing w:after="0" w:line="256" w:lineRule="auto"/>
        <w:rPr>
          <w:sz w:val="20"/>
          <w:szCs w:val="20"/>
          <w:color w:val="auto"/>
        </w:rPr>
      </w:pPr>
      <w:r>
        <w:rPr>
          <w:rFonts w:ascii="Times New Roman" w:cs="Times New Roman" w:eastAsia="Times New Roman" w:hAnsi="Times New Roman"/>
          <w:sz w:val="18"/>
          <w:szCs w:val="18"/>
          <w:color w:val="auto"/>
        </w:rPr>
        <w:t>result in adverse effects on microeconomic conditions including inflation; disruptions to our global technology infrastructure, including through cyberattack, ransom attack, or cybersecurity-intrusion; adverse changes in international trade policies and relations; disruptions in global supply chains; our exposure to foreign currency fluctuations; and constraints, volatility, or disruption in the capital markets, any of which could negatively impact our business, financial performance and financial condition. Economic sanctions imposed by the United States, Canada, EU, and other countries in response to the ongoing conflicts and the potential response to such sanctions may also have an adverse impact our business, including our clinical trials and supply chain, the financial markets and the global economy.</w:t>
      </w:r>
    </w:p>
    <w:p>
      <w:pPr>
        <w:spacing w:after="0" w:line="187"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We continue to monitor any adverse impact that the outbreak of war and the subsequent institution of sanctions by the United States and other countries may have on the global economy in general, on our business and operations and on the businesses and operations of our suppliers and third parties with whom we conduct business.</w:t>
      </w:r>
    </w:p>
    <w:p>
      <w:pPr>
        <w:spacing w:after="0" w:line="172" w:lineRule="exact"/>
        <w:rPr>
          <w:sz w:val="20"/>
          <w:szCs w:val="20"/>
          <w:color w:val="auto"/>
        </w:rPr>
      </w:pPr>
    </w:p>
    <w:p>
      <w:pPr>
        <w:ind w:right="32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or the third parties upon whom we depend may be adversely affected by earthquakes, wildfires, power outages, or other natural disasters, including public health crises, and our business continuity and disaster recovery plans may not adequately protect us from a serious disaster.</w:t>
      </w:r>
    </w:p>
    <w:p>
      <w:pPr>
        <w:spacing w:after="0" w:line="13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facilities are located in San Diego, California, which is a seismically active region, and has also historically been subject to wildfires and electrical blackouts. Earthquakes, wildfires, power outages, or other natural disasters (including due to the effects of climate change or any public health crises) could severely disrupt our operations, or the operations of third parties upon whom we depend,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our manufacturing facilities or those of our CMOs, or that otherwise disrupted operations, it may be difficult or, in certain cases, impossible for us to continue our business for a substantial period of time. For example, clinical supplies of our NK and T-cell therapeutic product candidates, as well as the working and master cell banks from which these product candidates are manufactured, are maintained in freezers at our manufacturing facility and at third-party biorepositories. If these materials are damaged at our facility or at the facilities of our third-party repositories, including as a result of a power outage or natural disaster, clinical supply of our product candidates may be impacted and our clinical trials may be delayed. Further, any measures taken by governmental authorities or businesses in response to any public health crisis, such as quarantines, stay-at-home orders or travel restrictions, could adversely affect our business, operations, financial condition, prospects or results of operations by restricting our ability to conduct our clinical trials and research and development activities, and limiting our and our third-party manufacturers’ ability to manufacture product and forcing temporary closure of our facilities and facilities that we rely upon. The disaster recovery and business continuity plans we and our third-party biorepositories have in place currently may be limited and may not prove adequate for protecting and continuing our business in the event that our business is disrupted as a result of a public health crisis or other serious disaster or similar event. We may incur substantial expenses as a result of the limited nature of our disaster recovery and business continuity plans which could have a material adverse effect on our business. Any insurance we maintain against such risks may not be adequate to cover losses in any particular case.</w:t>
      </w:r>
    </w:p>
    <w:p>
      <w:pPr>
        <w:spacing w:after="0" w:line="189"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procedures and internal controls, our ability to produce accurate financial statements or comply with applicable regulations could be impaired.</w:t>
      </w:r>
    </w:p>
    <w:p>
      <w:pPr>
        <w:spacing w:after="0" w:line="15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comply with the Sarbanes-Oxley Act of 2002, as amended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183"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cannot assure that we will not have material weaknesses or significant deficiencies in our internal control over financial reporting. If we are unable to successfully remediate any material weakness or significant deficiency in our internal control over financial reporting, or identify any material weaknesses or significant deficiencies that may exist, the accuracy and timing of our financial reporting may be adversely affected, we may be unable to maintain compliance with securities law requirements regarding timely filing of periodic reports in addition to applicable stock exchange listing requirements, and our stock price may decline materially as a result.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5" w:name="page86"/>
    <w:bookmarkEnd w:id="85"/>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including regulations governing the handling, storage or disposal of hazardous materials, we could become subject to fines or penalties or incur costs that could harm our business.</w:t>
      </w:r>
    </w:p>
    <w:p>
      <w:pPr>
        <w:spacing w:after="0" w:line="15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biological materials and infectious agents.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76"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was enacted in 2017 and made significant changes to corporate taxation, including the reduction of the corporate tax rate from a top marginal rate of 35% to a flat rate of 21%, the limitation of the tax deduction for net interest expense to 30% of adjusted taxable income (except for certain small businesses), the limitation of the deduction for net operating losses to 80% of current year taxable income and the elimination of net operating loss carrybacks (though any such net operating losses may be carried forward indefinitely), and the modification or repeal of many business deductions and credits. In addition, under Section 174 of the Internal Revenue Code of 1986, as amended, in taxable years beginning after December 31, 2021, expenses that are incurred for research and development in the U.S. will be capitalized and amortized, which may have an adverse effect on our cash flow.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have implemented and maintain a cybersecurity risk management program that includes processes for the identification, assessment, and mitigation of cybersecurity risks. We conduct annual cybersecurity training for all of our employees and periodically engage third-party consultants to conduct penetrating testing and vulnerability assessments. Additionally, we use automated tools designed to monitor, identify, and address cybersecurity risks. Further, we have a process to evaluate and review the cybersecurity practices of our key vendors prior to onboarding, including through a general security assessment and contractual requirements, as appropriate.</w:t>
      </w:r>
    </w:p>
    <w:p>
      <w:pPr>
        <w:spacing w:after="0" w:line="7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Although such risks have not materially affected us, including our business strategy, results of operations or financial condition, to date, we have, from time to time, experienced threats to and breaches of our data and systems, including malware and computer virus attacks. For more information about the cybersecurity risks we face, see the risk factors entitled “Our business could be negatively affected by cyberattacks or a deficiency in our cybersecurity system and infrastructure” and “Our internal computer systems, or those used by our third-party research institution collaborators, CROs or other contractors or consultants, may fail or suffer security breaches” in Item 1A- Risk Factors.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cybersecurity process is overseen by our Information Technology department, which is managed by our Head of IT. The Head of IT role is currently held by an individual who has approximately two decades of professional IT management experience. In addition, our Security Leadership Team (SLT), which is comprised of the Head of IT as well as leaders from our operations, finance, and legal departments, is responsible for documenting, reviewing, and assessing our cybersecurity processes, monitoring for cybersecurity incidents, and periodically reporting on cybersecurity risks and risk management to a committee of our executive team (Executive Committee). The Executive Committee, which is led by our Chief Executive Officer, undertakes reviews of our cybersecurity program and assesses any security incident updates from the SLT on a quarterly basis.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Executive Committee meets with the Audit Committee of our Board of Directors on a quarterly basis to report on and discuss material updates to our cybersecurity program. The Audit Committee provides oversight of our cybersecurity program as part of its periodic review of enterprise risk management and provides regular reports to our Board of Directors regarding our cybersecurity processes, including updates on the status of ongoing cybersecurity projects, the results of cybersecurity risk assessments, and the emerging cybersecurity threat landscape. Additionally, the Board of Directors reviews the enterprise risk management program on at least an annual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occupied approximately 200,000 square feet of office, laboratory and Good Manufacturing Practice (GMP) manufacturing space at our corporate headquarters in San Diego, California under a non-cancelable operating lease through May 2036. We believe that this facility is adequate for our current needs. In addition, we have additional operating leases for office and laboratory space in San Diego, California.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During the reporting period, we pursued claims in two lawsuits that we filed in 2022 against Shoreline Biosciences, Inc. (Shoreline) and certain of its founders and officers (collectively, the Shoreline litigations). The first suit, filed on May 13, 2022, was pending in San Diego Superior Court against Shoreline and four of its founders, Drs. Dan S. Kaufman (Kaufman), Kleanthis G. Xanthopoulos, and Messrs. William Sandborn and Steven Holtzman. Our claims included actions for breach of contract, breach of implied covenant of good faith and fair dealing, fraud and deceit, tortious interference, restitution and unfair competition. On August 9, 2024, the court denied the defendants’ motions for summary judgment preserving for trial all of Fate’s claims against the defendants, with the exception of defendants’ motions with respect to certain theories under Fate’s tortious interference claim (which claim by Fate was otherwise preserved for trial). On September 19, 2024, the court denied defendants’ motion for reconsideration of its summary judgment ruling. Trial began on October 21, 2024, with a jury selected on October 24, 2024. On October 28, 2024, the parties entered a settlement agreement resolving the litigation on terms agreeable to all parties, pursuant to which we filed a request for dismissal with prejudice of all claims on October 31, 2024.</w:t>
      </w:r>
    </w:p>
    <w:p>
      <w:pPr>
        <w:spacing w:after="0" w:line="6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second of the Shoreline litigations, also filed on May 13, 2022, we and Whitehead Institute for Biomedical Research (Whitehead) filed a lawsuit in the U.S. District Court for the Southern District of California against Shoreline and Kaufman seeking monetary damages for the defendants’ infringement of U.S. Patent Nos. 8,071,369, 8,932,856, 8,951,797, 8,940,536, 9,169,490, 10,457,917, and 10,017,744. On June 7, 2023, we and Whitehead filed a motion to dismiss our patent infringement claims against Kaufman in his personal capacity; that motion was granted on June 9, 2023. On August 30, 2023, the court granted Shoreline’s motion for summary judgment and denied our motion for partial summary judgment as moot. Judgment in favor of Shoreline was entered on August 31, 2023. On September 27, 2023, we and Whitehead filed a Notice of Appeal with the Court of Appeals for the Federal Circuit challenging the trial court’s claim construction and grant of summary judgment in favor of the defendants; the defendants cross-appealed challenging the district court’s earlier denial of a motion to dismiss and partial motion for summary judgment on other grounds. The Federal Circuit docketed the case on October 5, 2023, and briefing was completed on June 26, 2024. On October 28, 2024, the parties entered a settlement agreement resolving the litigation on terms agreeable to all parties, pursuant to which the parties filed a joint notice of dismissal of the appeal and cross-appeal on October 31, 2024.</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January 20, 2023, a purported stockholder of the Company filed a securities class action lawsuit against the Company and certain of its officers captioned Hadian v. Fate Therapeutics, Inc. et al. in the U.S. District Court for the Southern District of California (the Securities Action). On May 4, 2023, the court appointed a different purported stockholder of the Company to serve as lead plaintiff in the Securities Action. On July 24, 2023, the lead plaintiff filed an amended complaint. The amended complaint alleged that the Company violated the federal securities laws by making allegedly false and/or misleading statements and/or omissions in its public disclosures dating back to August 2020 relating to our collaboration agreement with Janssen Biotech, Inc. (the Janssen Agreement), potential product candidates subject to the Janssen Agreement, and the termination of the Janssen Agreement. On September 22, 2023, we filed a motion to dismiss the amended complaint. On September 19, 2024, the court granted our motion to dismiss the amended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87" w:name="page88"/>
    <w:bookmarkEnd w:id="87"/>
    <w:p>
      <w:pPr>
        <w:spacing w:after="0" w:line="266" w:lineRule="auto"/>
        <w:rPr>
          <w:sz w:val="20"/>
          <w:szCs w:val="20"/>
          <w:color w:val="auto"/>
        </w:rPr>
      </w:pPr>
      <w:r>
        <w:rPr>
          <w:rFonts w:ascii="Times New Roman" w:cs="Times New Roman" w:eastAsia="Times New Roman" w:hAnsi="Times New Roman"/>
          <w:sz w:val="18"/>
          <w:szCs w:val="18"/>
          <w:color w:val="auto"/>
        </w:rPr>
        <w:t>complaint, with leave for plaintiff to file a second amended complaint. On October 18, 2024, the lead plaintiff filed a second amended complaint alleging substantially similar facts and claims as in the prior amended complaint. We filed a motion to dismiss the second amended complaint on November 18, 2024, and briefing on the motion was completed on January 21, 2025. We intend to continue to vigorously defend against this action.</w:t>
      </w:r>
    </w:p>
    <w:p>
      <w:pPr>
        <w:spacing w:after="0" w:line="68"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On June 2, 2023, a derivative complaint, captioned Guarino v. Wolchko, et al., was filed by a purported stockholder of the Company in the U.S. District Court for the Southern District of California (the Guarino Action). On June 12, 2024, an additional derivative complaint, captioned Horrobin v. Wolchko, et al., was filed by a purported stockholder of the Company in the same district (the Horrobin Action). On December 3, 2024, the court entered an order consolidating the Guarino Action and the Horrobin Action under the caption In re Fate Therapeutics, Inc. Derivative Litigation (the Derivative Action) and staying the Derivative Action pending the court’s decision on our motion to dismiss the second amended complaint in the Securities Action. The court’s ruling on the motion is pending. The Derivative Action names members of our board of directors and certain officers as defendants. The Company is also named as a nominal defendant. The plaintiffs in the Derivative Actions assert derivative claims arising out of substantially the same alleged facts and circumstances as the Securities Action. The Guarino complaint asserts claims for breach of fiduciary duty, unjust enrichment, abuse of control, gross mismanagement, waste of corporate assets, and violation of federal securities laws. The Horrobin complaint asserts substantially similar claims in addition to a claim of breach of fiduciary duty for insider trading. We intend to vigorously defend against the Derivative Action.</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we may be subject to various other legal proceedings and claims that arise in the ordinary course of our business activities.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5" w:right="519" w:bottom="1440" w:gutter="0" w:footer="0" w:header="0"/>
        </w:sectPr>
      </w:pPr>
    </w:p>
    <w:bookmarkStart w:id="88" w:name="page89"/>
    <w:bookmarkEnd w:id="8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72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ticker symbol is “FATE”, as traded and reported by The NASDAQ Global Market.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February 25, 2025, there were approximately 17 stockholders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dividends on our capital or common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herein by reference to Item 12 of Part III of this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did not issue or sell any unregistered securities not previously disclosed in a Quarterly Report on Form 10-Q or in a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repurchase any securities during the year ended December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03"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under Item 8 of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bringing a first-in-class pipeline of programmed cellular immunotherapies to patients.</w:t>
      </w:r>
    </w:p>
    <w:p>
      <w:pPr>
        <w:spacing w:after="0" w:line="5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To create better cell therapies, we have pioneered a therapeutic approach that we generally refer to as cell programming: we create and engineer human induced pluripotent stem cells (iPSCs) to incorporate novel synthetic controls of cell function; we generate a clonal master iPSC line for use as a renewable source of cell manufacture; and we direct the fate of the clonal master iPSC line to produce our cell therapy product candidates. Analogous to master cell lines used to manufacture biopharmaceutical drug products such as monoclonal antibodies, we believe our proprietary clonal master iPSC lines can be used to mass produce multiplexed-engineered. cellular immunotherapies which have off-the-shelf availability, can be combined and administered alone or with standard-of-care therapies, and enable significant patient reach.</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Utilizing our proprietary iPSC product platform, we are developing off-the-shelf, multiplexed-engineered T-cell and natural killer (NK) cell product candidates which are selectively designed, incorporate novel synthetic controls of cell function, and intended to deliver multiple therapeutic mechanisms to patients. We have a pipeline of iPSC-derived, chimeric antigen receptor (CAR)-targeted T-cell and NK cell product candidates currently under development. In addition, we have entered into research collaborations and license agreements with academic institutions to support the development of our iPSC product platform and our off-the-shelf product candidates.</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also entered into collaborations with pharmaceutical companies to research, develop and commercialize off-the-shelf, multiplexed-engineered, iPSC-derived CAR T-cell CAR NK cell product candidates for the treatment of cancer. In September 2018, we entered into a collaboration and option agreement (Ono Agreement) with Ono Pharmaceutical Co., Ltd. (Ono), under which we are currently researching and developing iPSC-derived CAR T-cell and CAR NK cell product candidates for the treatment of solid tumors. In April 2020, we entered into a collaboration and option agreement (Janssen Agreement) with Janssen Biotech, Inc. (Janssen), part of the Janssen Pharmaceutical Companies of Johnson &amp; Johnson, for the research, development and commercialization of iPSC-derived CAR T-cell and CAR NK cell product candidates for the treatment of cancer. On January 3, 2023, we received notice of termination of the Janssen Agreement from Janssen, which took effect on April 3, 2023.</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in 2007 and are headquartered in San Diego, California. Since our inception in 2007, we have devoted substantially all of our resources to our cell programming approach and the research and development of our product candidates, the creation, licensing and protection of related intellectual property, and the provision of general and administrative support for these activities. To date, we have funded our operations primarily through the public and private sale of common stock, the private placement of preferred stock and convertible notes, commercial bank debt and revenues from collaboration activities and grants.</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have never been profitable and have incurred net losses in each year since inception. Substantially all of our net losses resulted from costs incurred in connection with our research and development programs and from general and administrative costs associated with our operations. We expect to continue to incur operating losses for at least the foreseeable future. Our net losses may fluctuate significantly from quarter to quarter and year to year. We expect our expenses will remain significant in connection with our ongoing and planned activities as we:</w:t>
      </w:r>
    </w:p>
    <w:p>
      <w:pPr>
        <w:spacing w:after="0" w:line="72" w:lineRule="exact"/>
        <w:rPr>
          <w:sz w:val="20"/>
          <w:szCs w:val="20"/>
          <w:color w:val="auto"/>
        </w:rPr>
      </w:pPr>
    </w:p>
    <w:p>
      <w:pPr>
        <w:ind w:left="1020" w:right="14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and planned preclinical studies and clinical trials of our product candidates, which may include higher clinical trial expenses associated with arrangements we may enter into with clinical research organizations (CROs) for the execution and management of certain clinical trials, including trials outside of the United States;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Good Manufacturing Practice (GMP) production, including through the use of contract manufacturing organizations (CMOs) for the conduct of some or all of the activities required for manufacturing our iPSC-derived cell product candidates, process and scale-up development and technology transfer activities for the manufacture of our product candidates, including those undergoing clinical investigation and Investigational New Drug (IND) application-enabling preclinical development;</w:t>
      </w:r>
    </w:p>
    <w:p>
      <w:pPr>
        <w:spacing w:after="0" w:line="7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laboratory equipment, materials and supplies for the manufacture of our product candidates and the conduct of our research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0" w:name="page91"/>
    <w:bookmarkEnd w:id="90"/>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and clinical research to investigate the therapeutic activity of our product candidates;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development and manufacturing activities, including under our sponsored research and collaboration agreement with Ono;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prosecute, protect, expand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regulatory authorities for the development of, and seek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business operations at our corporate headquarters, including maintaining internal GMP production capabilities;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operating as a public company and support our operations.</w:t>
      </w:r>
    </w:p>
    <w:p>
      <w:pPr>
        <w:spacing w:after="0" w:line="11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do not expect to generate any meaningful revenues from product sales, royalties, or sales milestones unless and until we successfully complete development and obtain regulatory approval for one or more of our product candidates, which we expect will take a number of years. If we obtain regulatory approval for any of our product candidates, we expect to incur significant commercialization expenses related to product sales, marketing, manufacturing and distribution. Accordingly, we will seek to fund our operations through public or private equity or debt financings, collaboration arrangements, or other sources. However, we may be unable to raise additional funds or enter into such other arrangements when needed on favorable terms or at all. Our failure to raise capital or enter into such other arrangements when needed would have a negative effect on our financial condition and ability to develop our product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conduct substantially all of our activities through Fate Therapeutics, Inc., a Delaware corporation, at our facilities headquartered in San Diego, California. Our results of operations include the operations of the Company and its subsidiaries. To date, the aggregate operations of our subsidiaries have not been significant, and all intercompany transactions and balances have been eliminated in consolidation.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revenues from therapeutic product sales or royalties. Our revenues have been derived from collaboration agreements and government grants.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Agreement with Ono Pharmaceutical Co., Ltd.</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September 14, 2018, we entered into the Ono Agreement for the joint development and commercialization of two iPSC-derived CAR T-cell product candidates (Candidate 1 and Candidate 2). Pursuant to the terms of the Ono Agreement, we received an upfront, non-refundable and non-creditable payment of $10.0 million. Additionally, we are entitled to receive funding for the conduct of research and preclinical development under a joint research plan, which fees were estimated to be $20.0 million in aggregate.</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December 2020, we entered into a letter agreement with Ono (the Ono Letter Agreement) pursuant to which Ono delivered proprietary antigen binding domains targeting an antigen expressed on certain solid tumors for incorporation into Candidate 2 and paid the Company a milestone fee of $10.0 million for further research and preclinical development of Candidate 2. In addition, Ono terminated all further research and preclinical development with respect to Candidate 1, and we retained all rights to research, develop and commercialize Candidate 1 throughout the world without any obligation to Ono.</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2022, we entered into an amendment with Ono to the Ono Agreement (the 2022 Ono Amendment). Pursuant to the 2022 Ono Amendment, the companies agreed to designate an additional antigen expressed on certain solid tumors for research and preclinical development, and Ono agreed to contribute proprietary antigen binding domains targeting such additional solid tumor antigen (Candidate 3). In addition, for both Candidate 2 and Candidate 3, the companies expanded the scope of the collaboration to include the research and preclinical development of iPSC-derived CAR NK cell product candidates (in addition to iPSC-derived CAR T-cell product candidates) targeting the designated solid tumor antigens. Similar to Candidate 2, we granted to Ono, during a specified period of time, a preclinical option (Candidate 3 Development Option) to obtain an exclusive license under certain intellectual property rights, subject to payment of an option exercise fee to us by Ono, to further develop and commercialize Candidate 3 in all territories of the world, where we retain rights to co-develop and co-commercialize Candidate 3 in the United States and Europe under a joint arrangement with Ono pursuant to which we are eligible to share at least 50% of the profits and losses. The Candidate 3 Development Option represents an option with no material right. Under the 2022 Ono Amendment, aggregate estimated research and preclinical development fees have been increased by approximately $9.3 million, for a total estimated $29.3 million in aggregate research and preclinical development fees over the course of the joint research plan.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91" w:name="page92"/>
    <w:bookmarkEnd w:id="91"/>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November 2022, Ono exercised its option to obtain a license to develop and commercialize Candidate 2 (the Candidate 2 Development Option), and we exercised our option to co-develop and co-commercialize Candidate 2 in the United States and Europe. As a result, we received and recognized an option exercise fee of $12.5 million from Ono during the year ended December 31, 2022. We and Ono are proceeding under a joint development plan for the ongoing development of Candidate 2, and, as such, we have initiated clinical studies for Candidate 2. The costs of this joint development plan are accounted for in accordance with ASC 808, and cost sharing payments to us from Ono are recorded as contra-research and development expenses.</w:t>
      </w:r>
    </w:p>
    <w:p>
      <w:pPr>
        <w:spacing w:after="0" w:line="7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November 2023, we entered into an amendment with Ono to the Ono Agreement (the 2023 Ono Amendment). Under the 2023 Ono Amendment, aggregate estimated research and preclinical development fees payable to us by Ono for Candidate 3 have been increased by approximately $1.4 million, for a total estimated $30.7 million in aggregate research and preclinical development fees over the course of the joint research plan.</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May 2024, following Ono’s exercise of the Candidate 2 Development Option and grant of the development and commercialization license, we achieved a $5.0 million clinical development milestone for Candidate 2. We determined that we had completed our performance obligation with respect to such milestone during the year ended December 31, 2024 and accordingly, recognized such amount as revenue during the period.</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August 2024, we entered into an amendment with Ono to the Ono Agreement (the 2024 Ono Amendment and collectively with the 2023 Ono Amendment and 2022 Ono Amendment, the Ono Amendments). Under the 2024 Ono Amendment, aggregate estimated research and preclinical development fees payable to us by Ono for Candidate 3 have been increased by approximately $7.3 million, for a total estimated $38.0 million in aggregate research and preclinical development fees over the course of the joint research plan. We will continue to receive committed funding from Ono through June 2025. The Candidate 3 Development Option expires upon the earlier of: (a) June 30, 2025 or (b) the achievement of the pre-defined preclinical milestone under the joint research plan for Candidate 3. Subject to payment of an extension fee by Ono, Ono may choose to defer its decision to exercise the Candidate 3 Development Option until no later than June 2026.</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account for the Ono Agreement, Ono Letter Agreement, and Ono Amendments (collectively, the Ono Arrangement) under ASC 808. We concluded that certain units of account, specifically the grant of a research license to certain intellectual property and the performance of research and preclinical development, within the Ono Arrangement represented a customer relationship and applied relevant guidance from ASC 606 to evaluate the appropriate accounting for those units of account. The initial transaction price under the Ono Arrangement was determined to be $48.0 million, consisting of the upfront, non-refundable and non-creditable payment of $10.0 million, the aggregate estimated research and preclinical development fees of $38.0 million. We also concluded that the Candidate 2 milestone fee of $10.0 million for further research and preclinical development of Candidate 2 represented a variable consideration that was previously constrained. We identified our promised goods and services under the Ono Arrangement to include our grant to Ono of a research license to certain of our intellectual property subject to certain conditions, our conduct of research and preclinical development services, and our participation in a joint steering committee. We determined that the promised goods and services should be accounted for as one combined performance obligation. We recognize revenue for the combined performance obligation over time as the research and preclinical development services are performed.</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and 2023, we recognized $13.6 million and $11.2 million, respectively, of collaboration revenue under the Ono Arrangement. During the years ended December 31, 2024 and 2023, we recognized $5.1 million and $8.0 million, respectively, of contra-research and development expense under the Ono Arrangement. As of December 31, 2024, aggregate deferred revenue related to the Ono Agreement, Ono Letter Agreement, and Ono Amendments was $0.4 million.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Agreement with Janssen Biotech, Inc.</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2, 2020 (the Janssen Agreement Effective Date), we entered into the Janssen Agreement. Additionally, on the Janssen Agreement Effective Date, we entered into a Stock Purchase Agreement (the Stock Purchase Agreement) with Johnson &amp; Johnson Innovation - JJDC, Inc. (JJDC). Under the terms of the Janssen Agreement and the Stock Purchase Agreement taken together, we received $100.0 million, of which $50.0 million was an upfront cash payment and $50.0 million was in the form of an equity investment by JJDC.</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determined the common stock purchase by JJDC represented a premium of $9.93 per share, or $16.0 million in aggregate (the Equity Premium), and the remaining $34.0 million was recorded as issuance of common stock in shareholders’ equity.</w:t>
      </w:r>
    </w:p>
    <w:p>
      <w:pPr>
        <w:spacing w:after="0" w:line="54"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On January 3, 2023, we received notice of termination from Janssen of the Janssen Agreement. The termination took effect on April 3, 2023, and during the three months ending March 31, 2023, we performed wind-down activities, including discontinuing development of all collaboration product candidates under the Janssen Agreement. We were reimbursed for all wind-down activities associated with the termination of the Janssen Agreement during the second quarter of 2023.</w:t>
      </w:r>
    </w:p>
    <w:p>
      <w:pPr>
        <w:spacing w:after="0" w:line="7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recognized $52.3 million of collaboration revenue under the Janssen Agreement, of which $41.2 million was deferred as of December 31,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92" w:name="page93"/>
    <w:bookmarkEnd w:id="9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the research, preclinical development, process and scale-up development, manufacture and clinical development of our product candidates, the research and development of our cell programming technology including our iPSC product platform, and the performance of research and development activities under our collaboration agreements. These costs are expensed as incurred and include:</w:t>
      </w:r>
    </w:p>
    <w:p>
      <w:pPr>
        <w:spacing w:after="0" w:line="72"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employee-related costs, including stock-based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clinical trial agreements with investigative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develop and manufacture preclinical study and clinical trial materials, including our product candidates;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conducting our preclinical, process and scale-up development, manufacturing, clinical and regulatory activities, including fees paid to third-party professional consultants, service providers and suppliers;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for our research, development and manufacturing activities, including under our collaboration agreements;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laboratory equipment, materials and supplies for the manufacture of our product candidates and the conduct of our research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license and maintain intellectual property;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including allocated expenses for rent and maintenance of facilities.</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plan to continue to significantly invest in our current level of research and development activities for the foreseeable future as we continue the clinical and preclinical development and manufacture of our product candidates, research and develop our iPSC product platform, and perform our obligations under collaboration agreements including under our agreements with Ono, University of Minnesota and MSKCC. Our current planned research and development activities over the next twelve months consist primarily of the following:</w:t>
      </w:r>
    </w:p>
    <w:p>
      <w:pPr>
        <w:spacing w:after="0" w:line="72" w:lineRule="exact"/>
        <w:rPr>
          <w:sz w:val="20"/>
          <w:szCs w:val="20"/>
          <w:color w:val="auto"/>
        </w:rPr>
      </w:pPr>
    </w:p>
    <w:p>
      <w:pPr>
        <w:ind w:left="1020" w:right="30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trials of our product candidates, including through the engagement of CROs to manage various aspects of our clinical trials;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GMP production, including through the use of CMOs for the conduct of some or all of the activities required for manufacturing our iPSC-derived cell product candidates, process and scale-up development and technology transfer activities for the manufacture of our product candidates, including those undergoing clinical investigation and IND-enabling preclinical development;</w:t>
      </w:r>
    </w:p>
    <w:p>
      <w:pPr>
        <w:spacing w:after="0" w:line="6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laboratory equipment, materials and supplies for the manufacture of our product candidates and the conduct of our research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preclinical and clinical research to investigate the therapeutic activity of our product candidates; and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research, development and manufacturing activities, including under our sponsored research and collaboration agreement with Ono.</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Due to the inherently unpredictable nature of preclinical and clinical development and manufacture, and given our novel therapeutic approach and the current stage of development of our product candidates, we cannot determine and are unable to estimate with certainty the timelines we will require and the costs we will incur for the development and manufacture of our product candidates. Clinical and preclinical development and manufacturing timelines and costs, and the potential of development and manufacturing success, can differ materially from expectations. In addition, we cannot forecast which product candidates may be subject to future collaborations, when such arrangements will be secured, if at all, and to what degree such arrangements would affect our development and manufacturing plans and capital requirements. We cannot predict the effects of the impact of global economic and market conditions, a continued and prolonged public health emergency such as the COVID-19 pandemic, and wars and other armed conflicts, such as the ongoing wars between Russia and Ukraine and in the Middle East, on our business and operations, and our expenditures may be increased by delays or disruptions due to these or other factors, including as a result of actions we take in the near term to ensure business continuity and protect against possible supply chain shortages.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employee-related costs, including stock-based compensation, for our employees in executive, operational, finance and human resource functions; professional fees for accounting, legal and tax services; costs for obtaining, prosecuting, maintaining, and enforcing our intellectual property; and other costs and fees, including director and officer insurance premiums, to support our operations as a public company. We anticipate that our general and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93" w:name="page94"/>
    <w:bookmarkEnd w:id="93"/>
    <w:p>
      <w:pPr>
        <w:ind w:right="320"/>
        <w:spacing w:after="0" w:line="282" w:lineRule="auto"/>
        <w:rPr>
          <w:sz w:val="20"/>
          <w:szCs w:val="20"/>
          <w:color w:val="auto"/>
        </w:rPr>
      </w:pPr>
      <w:r>
        <w:rPr>
          <w:rFonts w:ascii="Times New Roman" w:cs="Times New Roman" w:eastAsia="Times New Roman" w:hAnsi="Times New Roman"/>
          <w:sz w:val="18"/>
          <w:szCs w:val="18"/>
          <w:color w:val="auto"/>
        </w:rPr>
        <w:t>administrative expenses will remain significant in the future as we maintain our focus on innovation, and research and development activities, maintain compliance with exchange listing and SEC requirements, protect and enforce our intellectual property, and continue to operate as a public company.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Other income consists of proceeds from a settlement agreement and changes in the fair value of stock price appreciation milestones associated with the Amended and Restated Exclusive License Agreement dated May 15, 2018 (Amended MSKCC License) with MSKCC, interest income earned on cash, cash equivalents, and investments (including the amortization of discounts and premiums).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California Institute for Regenerative Medicine Award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FT819 CIRM Award</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February 2024, we were awarded $7.9 million from the California Institute for Regenerative Medicine (CIRM) to support the conduct of the Company’s Phase 1 study of FT819 in patients with systemic lupus erythematosus and, in April 2024, we executed an award agreement with CIRM (the FT819 CIRM Award). Pursuant to the terms of the FT819 CIRM Award, we are eligible to receive five disbursements in varying amounts from CIRM, with one disbursement receivable upon the execution of the award and four disbursements receivable based upon the completion of certain development milestones throughout the period of the award, which is estimated to be from April 1, 2024 to March 31, 2028 (the Award Period). Under the FT819 CIRM Award, we have certain obligations of co-funding and are required to provide CIRM progress and financial update reports throughout the Award Period.</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Following the conclusion of the Award Period, we, in our sole discretion, have the option to treat the FT819 CIRM Award either as a loan or as a grant. If we do not elect to treat the FT819 CIRM Award as a loan within 10 years of the award date, the award will be considered a grant and we will be obligated to pay CIRM, on a quarterly basis, a low single-digit royalty on commercial sales of FT819 until such aggregate royalty payments equal nine times the total amount awarded to us under the FT819 CIRM Award.</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Since we may, at our election, repay some or all of the FT819 CIRM Award, we account for the award as a liability until the time of election. During the year ended December 31, 2024, we received two disbursements under the award in the aggregate amount of $5.1 million, which is recorded as a liability on the accompanying consolidated balance sheets. As of December 31, 2024, the entire balance is classified as non-current as we do not expect any amount to be payable within the next 12 months.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FT516 CIRM Award</w:t>
      </w:r>
    </w:p>
    <w:p>
      <w:pPr>
        <w:spacing w:after="0" w:line="11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April 2018, we executed an award agreement with CIRM pursuant to which CIRM awarded us $4.0 million to advance our FT516 product candidate into a first-in-human clinical trial for the treatment of subjects with advanced solid tumors (the FT516 CIRM Award). Under the FT516 CIRM Award, we have certain obligations of co-funding and are required to provide CIRM with progress and financial update reports.</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Pursuant to the terms of the FT516 CIRM Award, we, in our sole discretion, have the option to treat the FT516 CIRM Award either as a loan or as a grant. During the first quarter of 2023, we elected to treat the FT516 CIRM Award as a grant. As such, the liability associated with the FT516 CIRM Award was reversed and such amount was recorded as other income during the first quarter of 2023.</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Employee Retention Credit</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Coronavirus Aid, Relief and Economic Security (CARES) Act provides an employee retention credit (ERC), which is a refundable tax credit against certain employment taxes of up to $5,000 per employee for eligible employers. The tax credit is equal to 50% of qualified wages paid to employees during a quarter, capped at $10,000 of qualified wages per employee through December 31, 2020. Additional relief provisions were passed by the United States government, which extend and slightly expand the qualified wage caps on these credits through December 31, 2021. Based on these additional provisions, the tax credit is now equal to 70% of qualified wages paid to employees during a quarter, and the limit on qualified wages per employee has been increased to $10,000 of qualified wages per quarter. In connection with the CARES Act, we adopted a policy to recognize an ERC when it is reasonably assumed we will comply with the conditions and the grant will be received and include in other income in the statement of operations. The Company received a cash payment and recorded $5.1 million of other income during the year ended December 31, 2023. No such amount was received or recognized as other income during the year ended December 31, 2024.</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United States generally accepted accounting principles. The preparation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94" w:name="page95"/>
    <w:bookmarkEnd w:id="94"/>
    <w:p>
      <w:pPr>
        <w:ind w:right="20"/>
        <w:spacing w:after="0" w:line="255" w:lineRule="auto"/>
        <w:rPr>
          <w:sz w:val="20"/>
          <w:szCs w:val="20"/>
          <w:color w:val="auto"/>
        </w:rPr>
      </w:pPr>
      <w:r>
        <w:rPr>
          <w:rFonts w:ascii="Times New Roman" w:cs="Times New Roman" w:eastAsia="Times New Roman" w:hAnsi="Times New Roman"/>
          <w:sz w:val="18"/>
          <w:szCs w:val="18"/>
          <w:color w:val="auto"/>
        </w:rPr>
        <w:t>these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the fair value of the stock price appreciation milestones for the Amended MSKCC License, contracts containing leases, accrued expenses, stock-based compensation, and the estimated total costs expected to be incurred under our collaboration agreements. We base our estimates on historical experience, known trends and events, financial models,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financial statements appearing elsewhere in this Annual Report on Form 10-K, we believe that the following critical accounting policies reflect the more significant procedures, estimates and assumptions used in the preparation of our consolidated financial statements.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analyze our collaboration arrangements to assess whether they are within the scope of ASC Topic 808, Collaborative Arrangements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we assess whether aspects of the arrangement between us and our collaboration partner are within the scope of other accounting literature, including ASC Topic 606, Revenue from Contracts with Customers (ASC 606). If it is concluded that some or all aspects of the arrangement represent a transaction with a customer, we will account for those aspects of the arrangement within the scope of ASC 606.</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ASC 808 provides guidance for the presentation and disclosure of transactions in collaborative arrangements, but it does not provide recognition or measurement guidance. Therefore, if we conclude a counterparty to a transaction is not a customer or otherwise not within the scope of ASC 606, we consider the guidance in other accounting literature as applicable or by analogy to account for such transaction. The classification of transactions under our arrangements is determined based on the nature and contractual terms of the arrangement along with the nature of the operations of the participants.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recognize revenue in a manner that depicts the transfer of control of a product or a service to a customer and reflects the amount of the consideration we are entitled to receive in exchange for such product or service. In doing so, we follow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We consider the terms of a contract and all relevant facts and circumstances when applying the revenue recognition standard. We apply the revenue recognition standard, including the use of any practical expedients, consistently to contracts with similar characteristics and in similar circumstances.</w:t>
      </w:r>
    </w:p>
    <w:p>
      <w:pPr>
        <w:spacing w:after="0" w:line="7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 performance obligation is defined as a promise to transfer a product or a service to a customer. If a promise to transfer a product or a service is not separately identifiable from other promises in the contract, such promises should be combined into a single performance obligation. We determined that the promised goods and services for our collaboration agreements should be accounted for as one combined performance obligation. We recognize revenue for the combined performance obligation over time as the research services are performed.</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transaction price is the amount of consideration we are entitled to receive in exchange for the transfer of control of a product or a service to a customer. To determine the transaction price, we consider the existence of any significant financing component, the effects of any variable elements, noncash considerations and consideration payable to the customer. For our collaboration agreements, we calculate the transaction price as an estimate of the total research and development plan reimbursement.</w:t>
      </w:r>
    </w:p>
    <w:p>
      <w:pPr>
        <w:spacing w:after="0" w:line="7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expense incremental costs of obtaining and fulfilling a contract as and when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95" w:name="page96"/>
    <w:bookmarkEnd w:id="9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Price Appreciation Milestones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estimate the fair value of the stock price appreciation milestones under the Amended MSKCC License using a Monte Carlo simulation model, which relies on our current stock price at the end of each quarter as well as significant estimates and assumptions to determine the estimated liability associated with the contingent milestone payments. We account for the fair value of the stock price appreciation milestones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with fair value marked to market. The assumptions used to calculate the fair value of the stock price appreciation milestones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 significant amount of judgment including the assessment of achieving a specified clinical milestone, the expected volatility of our common stock, the risk-free interest rate and the estimated term, which is based in part on the last valid patent claim date. We achieved the specified clinical milestone in July 2021 and met the first milestone during fiscal 2021. Accordingly, we remitted a payment to MSKCC of $20.0 million during the year ended December 31, 2021. We remeasure the fair value of the remaining stock price appreciation milestones at each balance sheet date, with changes in fair value recorded in earnings as a non-operating income or expense.</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The long-lived asset evaluation is performed at the asset group level (i.e.,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from their use and eventual disposition. If the carrying amount is not recoverable, the carrying amount of such assets is reduced to fair value. During 2024, we identified an indicator of impairment of its long-lived assets due to a sustained decline in the trading price of the Company’s common stock over the preceding year, resulting in our market capitalization being below our net asset value. Although there have been no changes in the intended use of our long-lived assets. We utilized observed market lease rates for comparable properties to estimate the fair value of the right-of-use asset and leasehold improvements. We utilized trend factors applied to historical costs, estimates of economic depreciation, normal useful lives, and benchmark values for orderly liquidations of the assets in secondary markets to estimate the fair value of our property and equipment. As a result of the fair value analysis, we recorded a $13.4 million impairment charge against property and equipment and a $1.3 million impairment charge against the right-of-use asset in the statement of operations during the year ended December 31, 2024. No impairment was recorded during the year ended December 31, 2023.</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accrued research and development expenses include amounts owed to clinical research organizations, to investigative sites in connection with clinical trials, to sponsored research organizations, to service providers in connection with preclinical development activities and to service providers related to product manufacturing, development and distribution of clinical supplies.</w:t>
      </w:r>
    </w:p>
    <w:p>
      <w:pPr>
        <w:spacing w:after="0" w:line="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base our accrued expenses related to clinical trials on our estimates of the services performed and efforts expended pursuant to our contractual arrangements, including those with clinical research organizations. The financial terms of these agreements are sometimes subject to negotiation, vary from contract to contract and may result in uneven payment flows. There may be instances in which payments made to our service providers will exceed the level of services performed and result in a prepayment of the clinical expense. Payments under some of these contracts depend on factors such as the successful enrollment of patients and the completion of clinical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spacing w:after="0" w:line="8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expenses actually incurred, if our estimates of the status and timing of services performed differs from the actual status and timing of services performed, we may report amounts that are too high or too low in any particular period. To date, there have been no material differences from our estimates to the amounts actually incurred.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96" w:name="page97"/>
    <w:bookmarkEnd w:id="9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Stock-based compensation expense represents the grant date fair value of employee stock option and restricted stock unit grants recognized over the requisite service period of the awards (usually the vesting period) on a straight-line basis. Performance-based stock units/awards represent a right to receive a certain number of shares of common stock based on the achievement of corporate performance goals and continued employment during the vesting period. At each reporting period, and to the extent achievement of one or any of the performance conditions is probable, we reassess the probability of the achievement of such corporate performance goals and any increase or decrease in share-based compensation expense resulting from an adjustment in the estimated shares to be released is treated as a cumulative catch-up in the period of adjustment.</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estimate the fair value of stock option grants using the Black-Scholes option pricing model, with the exception of option grants with both performance-based milestones and market conditions, which are valued using a lattice-based model. These models require the use of highly subjective and complex assumptions which determine the fair value of stock-based awards, (a) the risk-free interest rate, (b) the expected volatility of our stock, (c) the expected term of the award and (d) the expected dividend yield. The expected volatility is based on the historical volatility of our common stock over the most recent period commensurate with the estimated expected term of our stock options which is derived from historical experience and anticipated future exercise behavior. The risk-free interest rates for periods within the expected life of the option are based on the yields of zero-coupon U.S. Treasury securities. See Note 9 of the notes to the consolidated financial statements for additional information.</w:t>
      </w:r>
    </w:p>
    <w:p>
      <w:pPr>
        <w:spacing w:after="0" w:line="8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our restricted stock units, including performance-based restricted stock units, is based on the closing price of our common stock as reported on The NASDAQ Global Market on the date of grant.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 discussion of recently issued accounting pronouncements, please see Note 1 of the notes to the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years ended December 31, 2024 and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55"/>
        </w:trPr>
        <w:tc>
          <w:tcPr>
            <w:tcW w:w="6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8"/>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3"/>
                <w:szCs w:val="13"/>
                <w:color w:val="auto"/>
              </w:rPr>
            </w:pPr>
          </w:p>
        </w:tc>
      </w:tr>
      <w:tr>
        <w:trPr>
          <w:trHeight w:val="236"/>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63,533</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(49,902 )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172,596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(37,595 )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74,169</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81,448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(7,279 )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24,014</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(5,569 )</w:t>
            </w:r>
          </w:p>
        </w:tc>
      </w:tr>
    </w:tbl>
    <w:p>
      <w:pPr>
        <w:spacing w:after="0" w:line="23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During the year ended December 31, 2024, we recognized revenue of $13.6 million under our collaboration agreement with Ono.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we recognized revenue of $63.5 million under our collaboration agreements with Janssen and Ono. The decrease in revenue was attributable to the termination of our collaboration with Janssen in April 2023. The following table summarizes the revenue recognized with respect to each collaboration partner for the years ended December 31, 2024 and 2023:</w:t>
      </w:r>
    </w:p>
    <w:p>
      <w:pPr>
        <w:spacing w:after="0" w:line="202"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3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38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8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3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Janssen Biotech, Inc.</w:t>
            </w:r>
          </w:p>
        </w:tc>
        <w:tc>
          <w:tcPr>
            <w:tcW w:w="402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52,312</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Ono Pharmaceutical Co., Ltd.</w:t>
            </w:r>
          </w:p>
        </w:tc>
        <w:tc>
          <w:tcPr>
            <w:tcW w:w="256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100" w:type="dxa"/>
            <w:vAlign w:val="bottom"/>
          </w:tcPr>
          <w:p>
            <w:pPr>
              <w:spacing w:after="0"/>
              <w:rPr>
                <w:sz w:val="18"/>
                <w:szCs w:val="18"/>
                <w:color w:val="auto"/>
              </w:rPr>
            </w:pPr>
          </w:p>
        </w:tc>
      </w:tr>
      <w:tr>
        <w:trPr>
          <w:trHeight w:val="250"/>
        </w:trPr>
        <w:tc>
          <w:tcPr>
            <w:tcW w:w="3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402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96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63,533</w:t>
            </w:r>
          </w:p>
        </w:tc>
        <w:tc>
          <w:tcPr>
            <w:tcW w:w="100" w:type="dxa"/>
            <w:vAlign w:val="bottom"/>
            <w:shd w:val="clear" w:color="auto" w:fill="CFF0FC"/>
          </w:tcPr>
          <w:p>
            <w:pPr>
              <w:spacing w:after="0"/>
              <w:rPr>
                <w:sz w:val="21"/>
                <w:szCs w:val="21"/>
                <w:color w:val="auto"/>
              </w:rPr>
            </w:pPr>
          </w:p>
        </w:tc>
      </w:tr>
      <w:tr>
        <w:trPr>
          <w:trHeight w:val="669"/>
        </w:trPr>
        <w:tc>
          <w:tcPr>
            <w:tcW w:w="3860" w:type="dxa"/>
            <w:vAlign w:val="bottom"/>
            <w:tcBorders>
              <w:top w:val="single" w:sz="8" w:color="CFF0FC"/>
            </w:tcBorders>
          </w:tcPr>
          <w:p>
            <w:pPr>
              <w:spacing w:after="0"/>
              <w:rPr>
                <w:sz w:val="24"/>
                <w:szCs w:val="24"/>
                <w:color w:val="auto"/>
              </w:rPr>
            </w:pPr>
          </w:p>
        </w:tc>
        <w:tc>
          <w:tcPr>
            <w:tcW w:w="2560" w:type="dxa"/>
            <w:vAlign w:val="bottom"/>
            <w:tcBorders>
              <w:top w:val="single" w:sz="8" w:color="CFF0FC"/>
            </w:tcBorders>
          </w:tcPr>
          <w:p>
            <w:pPr>
              <w:jc w:val="right"/>
              <w:ind w:right="610"/>
              <w:spacing w:after="0"/>
              <w:rPr>
                <w:sz w:val="20"/>
                <w:szCs w:val="20"/>
                <w:color w:val="auto"/>
              </w:rPr>
            </w:pPr>
            <w:r>
              <w:rPr>
                <w:rFonts w:ascii="Times New Roman" w:cs="Times New Roman" w:eastAsia="Times New Roman" w:hAnsi="Times New Roman"/>
                <w:sz w:val="18"/>
                <w:szCs w:val="18"/>
                <w:color w:val="auto"/>
              </w:rPr>
              <w:t>95</w:t>
            </w:r>
          </w:p>
        </w:tc>
        <w:tc>
          <w:tcPr>
            <w:tcW w:w="14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8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-959485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-942340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97" w:name="page98"/>
    <w:bookmarkEnd w:id="97"/>
    <w:p>
      <w:pPr>
        <w:ind w:right="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$135.0 million for the year ended December 31,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$172.6 million for the year ended December 31, 2023. The decrease in research and development expenses was attributable primarily to the following:</w:t>
      </w:r>
    </w:p>
    <w:p>
      <w:pPr>
        <w:spacing w:after="0" w:line="52"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million decrease in third-party professional consultant and clinical trial related expense;</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million decrease in employee compensation and benefits expense, partially offset by a $1.7 million increase in employee-stock based compensation expense;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million decrease in sublicense consideration owed to existing licensors.</w:t>
      </w:r>
    </w:p>
    <w:p>
      <w:pPr>
        <w:spacing w:after="0" w:line="115"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$74.2 million for the year ended December 31,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$81.4 million for the year ended December 31, 2023. The decrease in general and administrative expenses was attributable primarily to the following:</w:t>
      </w:r>
    </w:p>
    <w:p>
      <w:pPr>
        <w:spacing w:after="0" w:line="52" w:lineRule="exact"/>
        <w:rPr>
          <w:sz w:val="20"/>
          <w:szCs w:val="20"/>
          <w:color w:val="auto"/>
        </w:rPr>
      </w:pPr>
    </w:p>
    <w:p>
      <w:pPr>
        <w:ind w:left="1020" w:right="40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million decrease in employee compensation and benefits expense, which includes a $3.6 million decrease in employee stock-based compensation expense;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decrease in third-party professional consultant expense;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million increase in patent and legal expense.</w:t>
      </w:r>
    </w:p>
    <w:p>
      <w:pPr>
        <w:spacing w:after="0" w:line="11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was $24.0 million and $29.6 million for the years ended December 31, 2024 and 2023, respectively. During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we recorded proceeds from a settlement agreement, and $0.8 million in other income attributable to the decrease in fair value of the stock price appreciation milestone under the Amended MSKCC License. Other income for the year ended December 31, 2024 also consisted of $17.3 million interest income earned on cash, cash equivalents, and investments (including the amortization of discounts and premiums). During the year ended December 31, 2023, we recorded $4.0 million in income attributable to the CIRM Award, $5.1 million in income attributable to the ERC, and $2.5 million in other income attributable to the decrease in fair value of the stock price appreciation milestone under the Amended MSKCC License. Other income for the year ended December 31, 2023 also consisted of $17.2 million of interest income earned on cash, cash equivalents, and investments (including the amortization of discounts and premiums).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have incurred losses and negative cash flows from operations since inception. As of December 31, 2024, we had an accumulated deficit of $1.4 billion and anticipate that we will continue to incur net losses for the foreseeable future.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the net cash flow activity for each of the years ended December 31:</w:t>
      </w:r>
    </w:p>
    <w:p>
      <w:pPr>
        <w:sectPr>
          <w:pgSz w:w="11900" w:h="16838" w:orient="portrait"/>
          <w:cols w:equalWidth="0" w:num="1">
            <w:col w:w="11200"/>
          </w:cols>
          <w:pgMar w:left="320" w:top="12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1200" w:type="dxa"/>
            <w:vAlign w:val="bottom"/>
          </w:tcPr>
          <w:p>
            <w:pPr>
              <w:jc w:val="right"/>
              <w:ind w:right="36"/>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90"/>
              <w:spacing w:after="0" w:line="124"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(122,874 )</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(132,263 )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99,892</w:t>
            </w:r>
          </w:p>
        </w:tc>
        <w:tc>
          <w:tcPr>
            <w:tcW w:w="280" w:type="dxa"/>
            <w:vAlign w:val="bottom"/>
            <w:vMerge w:val="restart"/>
          </w:tcPr>
          <w:p>
            <w:pPr>
              <w:jc w:val="right"/>
              <w:ind w:right="119"/>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280" w:type="dxa"/>
            <w:vAlign w:val="bottom"/>
            <w:vMerge w:val="continue"/>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9" w:lineRule="exact"/>
        <w:rPr>
          <w:sz w:val="20"/>
          <w:szCs w:val="20"/>
          <w:color w:val="auto"/>
        </w:rPr>
      </w:pPr>
    </w:p>
    <w:p>
      <w:pPr>
        <w:sectPr>
          <w:pgSz w:w="11900" w:h="16838" w:orient="portrait"/>
          <w:cols w:equalWidth="0" w:num="2">
            <w:col w:w="7000" w:space="720"/>
            <w:col w:w="3480"/>
          </w:cols>
          <w:pgMar w:left="320" w:top="1213" w:right="379" w:bottom="1440" w:gutter="0" w:footer="0" w:header="0"/>
          <w:type w:val="continuous"/>
        </w:sect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net cash used in operating activities was $122.9 million for the year ended December 31, 2024 and primarily consisted of a net loss of $186.3 million adjusted for non-cash items including stock-based compensation of $41.5 million and depreciation and amortization of $19.0 million. Operating cash inflows were primarily from cash receipts under the Ono Arrangement - see section </w:t>
      </w:r>
      <w:r>
        <w:rPr>
          <w:rFonts w:ascii="Times New Roman" w:cs="Times New Roman" w:eastAsia="Times New Roman" w:hAnsi="Times New Roman"/>
          <w:sz w:val="18"/>
          <w:szCs w:val="18"/>
          <w:i w:val="1"/>
          <w:iCs w:val="1"/>
          <w:color w:val="auto"/>
        </w:rPr>
        <w:t>Agreement with Ono Pharmaceutical Co., Ltd.</w:t>
      </w:r>
      <w:r>
        <w:rPr>
          <w:rFonts w:ascii="Times New Roman" w:cs="Times New Roman" w:eastAsia="Times New Roman" w:hAnsi="Times New Roman"/>
          <w:sz w:val="18"/>
          <w:szCs w:val="18"/>
          <w:color w:val="auto"/>
        </w:rPr>
        <w:t xml:space="preserve"> above and Note 2 of the consolidated financial statements for additional detail.</w:t>
      </w:r>
    </w:p>
    <w:p>
      <w:pPr>
        <w:spacing w:after="0" w:line="72"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net cash used in operating activities was $132.3 million for the year ended December 31, 2023 and primarily consisted of a net loss of $160.9 million adjusted for non-cash items including stock based compensation of $43.5 million, $41.5 million change in deferred revenue, and depreciation and amortization of $18.3 million. During the year ended December 31, 2023, we experienced a termination of the Janssen agreement, restructuring activities and discontinuation of programs implemented in January 2023.</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investing activities provided cash of $12.2 million and $112.7 million, respectively. During the year ended December 31, 2024, we purchased $317.8 million of investments, which were partially offset by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3" w:right="379" w:bottom="1440" w:gutter="0" w:footer="0" w:header="0"/>
          <w:type w:val="continuous"/>
        </w:sectPr>
      </w:pPr>
    </w:p>
    <w:bookmarkStart w:id="98" w:name="page99"/>
    <w:bookmarkEnd w:id="98"/>
    <w:p>
      <w:pPr>
        <w:ind w:right="120"/>
        <w:spacing w:after="0" w:line="266" w:lineRule="auto"/>
        <w:rPr>
          <w:sz w:val="20"/>
          <w:szCs w:val="20"/>
          <w:color w:val="auto"/>
        </w:rPr>
      </w:pPr>
      <w:r>
        <w:rPr>
          <w:rFonts w:ascii="Times New Roman" w:cs="Times New Roman" w:eastAsia="Times New Roman" w:hAnsi="Times New Roman"/>
          <w:sz w:val="18"/>
          <w:szCs w:val="18"/>
          <w:color w:val="auto"/>
        </w:rPr>
        <w:t>$330.7 million in maturities of investments. During the year ended December 31, 2023, we purchased $358.8 million of investments, which were partially offset by $477.6 million in maturities of investments. The remaining investing activities for the periods presented were primarily attributable to the purchase of property and equipment.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Financing activities provided cash of $99.9 million for the year ended December 31, 2024, which primarily consisted of (i) the issuance of 14,545,454 shares of common stock at a purchase price of $5.50 per share in an underwritten public offering of common stock in March 2024, (ii) the issuance of pre-funded warrants to purchase an aggregate of 3,636,364 shares of common stock at a purchase price of $5.499 per pre-funded warrant, which represents the offering price per share of common stock in the underwritten public offering less the $0.001 exercise price per share of each pre-funded warrant, in a private placement concurrent with the underwritten public offering in March 2024, and (iii) the issuance of common stock from equity incentive plans pursuant to the exercise of employee stock options.</w:t>
      </w:r>
    </w:p>
    <w:p>
      <w:pPr>
        <w:spacing w:after="0" w:line="7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Financing activities provided cash of $0.1 million for the year ended December 31, 2023, which consisted of $0.1 million received from the issuance of common stock from equity incentive plans pursuant to the exercise of employee stock options.</w:t>
      </w:r>
    </w:p>
    <w:p>
      <w:pPr>
        <w:spacing w:after="0" w:line="54"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From our inception through December 31, 2024, we have funded our consolidated operations primarily through the public and private sale of common stock and pre-funded warrants, the private placement of preferred stock and convertible notes, commercial bank debt and revenues from collaboration activities and grants. As of December 31, 2024, we had aggregate cash, cash equivalents, and investments of $306.7 million.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Registration Statements on Form S-3</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SEC declared effective a shelf registration statement on Form S-3 filed by us in November 2023 (File No. 333-275402). The shelf registration statement allows us to issue certain securities, including shares of our common stock, from time to time. The specific terms of any offering under the shelf registration statement would be established at the time of such offering. We are eligible to issue an aggregate of $300.0 million in securities under the shelf registration statement. Additionally, we entered into a sales agreement with Jefferies Group LLC (Jefferies) with respect to an at-the-market offering program, under which we may offer and sell, from time to time at our sole discretion, shares of our common stock having an aggregate offering price of up to $100.0 million (which is included in the $300.0 million registered under the shelf registration statement) through Jefferies as the sales agent.</w:t>
      </w:r>
    </w:p>
    <w:p>
      <w:pPr>
        <w:spacing w:after="0" w:line="8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March 2024, we entered into an underwriting agreement with BofA Securities, Inc., Jefferies, and Leerink Partners LLC with respect to an underwritten public offering, under which we sold 14,545,454 shares of our common stock at a purchase price of $5.50 per share pursuant to the shelf registration statement. To date, we have not sold any securities pursuant to the sales agreement with Jefferies and are eligible to issue an aggregate of approximately $220.0 million under the shelf registration statement (including the $100.0 million issuable pursuant to the sales agreement with Jefferies).</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March 2024, concurrent with the underwritten public offering, we entered into a securities purchase agreement with a fund affiliated with Redmile Group, LLC under which we sold pre-funded warrants to purchase up to 3,636,364 shares of our common stock, at a purchase price of $5.499 per pre-funded warrant, in a private placement exempt from the registration requirements pursuant to Section 4(a)(2) of the Securities Act of 1933, as amended (the Securities Act). Pursuant to the terms of the purchase agreement, we agreed to register for resale the shares of common stock issuable upon the exercise of the pre-funded warrants (Warrant Shares). On April 18, 2024, we filed a resale registration statement on Form S-3 (File No. 333-278792), registering the Warrant Shares. The resale registration statement on Form S-3 was declared effective on April 29, 2024.</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Capital Requirements</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anticipate that we will continue to incur losses for the foreseeable future, and we expect the losses to remain significant as we continue the research, manufacture and development of, and seek regulatory approvals for, our product candidates and conduct additional research, manufacturing and development activities pursuant to our collaboration agreement with Ono. Our product candidates have not yet achieved regulatory approval and we may not be successful in achieving commercialization of our product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99" w:name="page100"/>
    <w:bookmarkEnd w:id="99"/>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all the risks and uncertainties incident in the research, manufacture and development of therapeutic products, and cell therapy product candidates in particular. For example, the FDA or other regulatory authorities may require us to generate additional data or conduct additional preclinical studies, manufacturing activities, or clinical trials, or may impose other requirements beyond those that we currently anticipate. Additionally, it is possible for a product candidate to show promising results in preclinical studies or in clinical trials, but fail to establish sufficient safety and efficacy data necessary to obtain regulatory approvals. As a result of these and other risks and uncertainties and the probability of success, the duration and the cost of our research, manufacturing and development activities required to advance a product candidate cannot be accurately estimated and are subject to considerable variation. We may encounter difficulties, complications, delays and other unknown factors and unforeseen expenses in the course of our research, manufacturing and development activities, any of which may significantly increase our capital requirements and could adversely affect our liquidity.</w:t>
      </w:r>
    </w:p>
    <w:p>
      <w:pPr>
        <w:spacing w:after="0" w:line="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will require additional capital for the research, manufacture and development of our product candidates and to perform our obligations under our collaboration agreements, and we may need to seek additional funds sooner than expected due to any changes in our business, operations, financial condition or prospects, including any impacts of inflation rates and global economic conditions, and wars or other armed conflicts. We expect to finance our capital requirements in the foreseeable future through the sale of public or private equity, debt securities, or through existing or future potential collaborations. However, additional capital may not be available to us on reasonable terms, if at all. If we are unable to raise additional capital in sufficient amounts or on terms acceptable to us, we may have to significantly delay, scale back or discontinue the research, manufacture or development of one or more of our product candidates. If we do raise additional funds through the issuance of additional equity or debt securities, it could result in dilution to our existing stockholders, increased fixed payment obligations and the existence of securities with rights that may be senior to those of our common stock. Additionally, if we incur indebtedness, we may become subject to financial or other covenants that could adversely restrict, impair or affect our ability to conduct our business, such as requiring us to relinquish rights to certain of our product candidates or technologies or limiting our ability to acquire, sell or license intellectual property rights or incur additional debt. Any of these events could significantly harm our business, operations, financial condition and prospects. In addition, the full impact of inflation rates, global political and economic instability, a continued and prolonged public health emergency such as the COVID-19 pandemic, and wars and other armed conflicts, on our business, operations, financial condition and prospects, and on the global economy, are currently unknown and difficult to predict, and these events could materially and adversely affect our ability to raise capital through equity or debt financings in the future.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00" w:name="page101"/>
    <w:bookmarkEnd w:id="100"/>
    <w:p>
      <w:pPr>
        <w:ind w:firstLine="509"/>
        <w:spacing w:after="0" w:line="258" w:lineRule="auto"/>
        <w:rPr>
          <w:sz w:val="20"/>
          <w:szCs w:val="20"/>
          <w:color w:val="auto"/>
        </w:rPr>
      </w:pPr>
      <w:r>
        <w:rPr>
          <w:rFonts w:ascii="Times New Roman" w:cs="Times New Roman" w:eastAsia="Times New Roman" w:hAnsi="Times New Roman"/>
          <w:sz w:val="18"/>
          <w:szCs w:val="18"/>
          <w:color w:val="auto"/>
        </w:rPr>
        <w:t>Our forecast of the period of time through which our existing cash, cash equivalents, and investments will be adequate to support our operations is a forward-looking statement and involves significant risks and uncertainties. We have based this forecast on assumptions that may prove to be wrong, and actual results could vary materially from our expectations, which may adversely affect our capital resources and liquidity. We could utilize our available capital resources sooner than we currently expect. The amount and timing of future funding requirements, both near- and long-term, will depend on many factors, including, but not limited to:</w:t>
      </w:r>
    </w:p>
    <w:p>
      <w:pPr>
        <w:spacing w:after="0" w:line="75" w:lineRule="exact"/>
        <w:rPr>
          <w:sz w:val="20"/>
          <w:szCs w:val="20"/>
          <w:color w:val="auto"/>
        </w:rPr>
      </w:pPr>
    </w:p>
    <w:p>
      <w:pPr>
        <w:ind w:left="1020" w:right="56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size, duration, costs and results of our clinical trials and preclinical studies for our product candidates, including the timing and costs of manufacturing activities to support such clinical trials and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the nature of product candidates that we pursue;</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to and cost of establishing and maintaining internal GMP production capabilities to support the clinical and potential commercial manufacture of our product candidates at our corporate headquarters;</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GMP production, process and scale-up development and technology transfer activities for the manufacture of our product candidates, including the cost of laboratory equipment, materials and supplies to support these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cost and outcome of seeking and obtaining regulatory approvals;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MSKCC in connection with the stock price appreciation milestones;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milestones are achieved under our collaboration agreement with Ono, and any other strategic partnership or collaboration agreements that we may enter into in the future, and the time to achievement of such milestones and our receipt of any associated milestone payments;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 and the cost of enforcing any of our other contractual rights;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 including our need and ability to hire additional employees and procure additional equipment, materials and supplies;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continuation of collaborations and strategic alliances;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in-licensing and out-licensing transactions;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manufacturing and distribution capabilities for, and the pricing and reimbursement of, any products for which we may receive regulatory approval.</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we are closely monitoring inflation rates and global political and economic conditions, including the ongoing wars between Russia and Ukraine and in the Middle East, and evaluating adjustments to our business and operations, which may negatively impact our financial condition and prospects and our operating results. We will continue to assess our operating capital requirements and may make adjustments to our business and operations if circumstances warrant. If we cannot continue or expand our research, manufacturing and development operations, or otherwise capitalize on our business opportunities, because we lack sufficient capital, our business, operations, financial condition and prospects could be materially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lease certain office, laboratory, and manufacturing space under non-cancelable operating leases. In addition to rent, our leases are subject to certain fixed amenities fees. These leases are also subject to additional variable charges for common area maintenance, property taxes, property insurance and other variable costs. See Note 8 of the consolidated financial statements for additional detail.</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Total undiscounted aggregate future operating lease obligations under all of our operating leases as of December 31, 2024 are $133.7 million.</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May 15, 2018, we entered into the Amended MSKCC License with MSKCC. In the event a licensed product achieves a specified clinical milestone, MSKCC is then eligible to receive certain milestone payments totaling up to $75.0 million based on the price of our common stock, where the amount of such payments owed to MSKCC is contingent upon certain increases in the price of our common stock following the date of achievement of such clinical milestone. See Note 2 of the consolidated financial statements for additional detail.</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have no material contractual obligations not fully recorded on our consolidated balance sheets or fully disclosed in the notes to the financial statements.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5" w:right="399" w:bottom="1440" w:gutter="0" w:footer="0" w:header="0"/>
        </w:sectPr>
      </w:pPr>
    </w:p>
    <w:bookmarkStart w:id="101" w:name="page102"/>
    <w:bookmarkEnd w:id="101"/>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obligations under various license agreements to make future payments to third parties that become due and payable on the achievement of certain development, regulatory and commercial milestones (such as the start of a clinical trial, filing for product approval with the FDA or other regulatory agencies, product approval by the FDA or other regulatory agencies, product launch or product sales) or on the sublicense of our rights to another party. We have not included these commitments on our balance sheet because the achievement and timing of these events is not fixed and determinable. Certain milestones are in advance of receipt of revenue from the sale of products and, therefore, we may require additional debt or equity capital to make such payments. These commitments include:</w:t>
      </w:r>
    </w:p>
    <w:p>
      <w:pPr>
        <w:spacing w:after="0" w:line="79" w:lineRule="exact"/>
        <w:rPr>
          <w:sz w:val="20"/>
          <w:szCs w:val="20"/>
          <w:color w:val="auto"/>
        </w:rPr>
      </w:pPr>
    </w:p>
    <w:p>
      <w:pPr>
        <w:ind w:left="1020" w:right="20" w:hanging="503"/>
        <w:spacing w:after="0" w:line="255"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license agreement with the Whitehead Institute for Biomedical Research, pursuant to which we license certain patents relating to our iPSC product platform, we are required to make annual maintenance payments and payments based upon development, regulatory and commercial milestones for any products covered by the in-licensed intellectual property. The maximum aggregate milestone payments we may be obligated to make per product are $2.3 million. We will also be required to pay a royalty on net sales of products covered by the in-licensed intellectual property in the low single digits. The royalty is subject to reduction for any third-party payments required to be made, with a minimum floor in the low single digits. We have the right to sublicense our rights under this agreement, and we will be required to pay a percentage of any sublicense income.</w:t>
      </w:r>
    </w:p>
    <w:p>
      <w:pPr>
        <w:spacing w:after="0" w:line="80" w:lineRule="exact"/>
        <w:rPr>
          <w:rFonts w:ascii="Times New Roman" w:cs="Times New Roman" w:eastAsia="Times New Roman" w:hAnsi="Times New Roman"/>
          <w:sz w:val="18"/>
          <w:szCs w:val="18"/>
          <w:color w:val="auto"/>
        </w:rPr>
      </w:pPr>
    </w:p>
    <w:p>
      <w:pPr>
        <w:ind w:left="1020" w:right="60" w:hanging="503"/>
        <w:spacing w:after="0" w:line="255"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license agreements with The Scripps Research Institute (TSRI), pursuant to which we license certain patents relating to our iPSC product platform, we are required to make annual maintenance payments and payments based upon development, regulatory and commercial milestones for any products covered by the in-licensed intellectual property. The maximum aggregate milestone payments we may be obligated to make are $1.8 million. We will also be required to pay a royalty on net sales of products covered by the in-licensed intellectual property in the low- to mid-single digits. The royalty is subject to reduction for any third-party payments required to be made, with a minimum floor in the low single digits. We have the right to sublicense our rights under these agreements, and we will be required to pay a percentage of any sublicense income.</w:t>
      </w:r>
    </w:p>
    <w:p>
      <w:pPr>
        <w:spacing w:after="0" w:line="80"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license agreement with the Regents of the University of Minnesota, pursuant to which we license certain patents relating to compositions and uses of NK cells and to compositions of engineered receptors and immune cells expressing such receptors, we are required to make annual maintenance payments and payments based upon development, regulatory and commercial milestones for any products covered by the in-licensed intellectual property. The maximum aggregate milestone payments we may be obligated to make per product are $4.6 million. We will also be required to pay a royalty on net sales of products covered by the in-licensed intellectual property in the low single digits. The royalty is subject to reduction for any third-party payments required to be made, with a minimum floor in the low single digits. We have the right to sublicense our rights under this agreement, and we will be required to pay a percentage of any sublicense income.</w:t>
      </w:r>
    </w:p>
    <w:p>
      <w:pPr>
        <w:spacing w:after="0" w:line="80" w:lineRule="exact"/>
        <w:rPr>
          <w:rFonts w:ascii="Times New Roman" w:cs="Times New Roman" w:eastAsia="Times New Roman" w:hAnsi="Times New Roman"/>
          <w:sz w:val="18"/>
          <w:szCs w:val="18"/>
          <w:color w:val="auto"/>
        </w:rPr>
      </w:pPr>
    </w:p>
    <w:p>
      <w:pPr>
        <w:ind w:left="1020" w:hanging="503"/>
        <w:spacing w:after="0" w:line="253"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license agreement with MSKCC, pursuant to which we license certain patents relating to compositions and uses of T-cells derived from iPSCs, CARs and genetic modifications using CRISPR, we are required to make annual maintenance payments and payments based upon development, regulatory and commercial milestones for any products covered by the in-licensed intellectual property. The maximum aggregate milestone payments we may be obligated to make per product are $12.5 million. We will also be required to pay a royalty on net sales of products covered by the in-licensed intellectual property up to the high-single digits. The royalty is subject to reduction for any third-party payments required to be made, with a minimum floor in the low- to mid-single digits. We have the right to sublicense our rights under this agreement, and we will be required to pay a percentage of any sublicense income. Additionally, in the event a licensed product achieves a specified clinical milestone, MSKCC is then eligible to receive additional milestone payments, where the amount of such payments owed to MSKCC are contingent upon certain increases in the price of our common stock following the date of achievement of such clinical milestone. See Note 2 of the notes to the consolidated financial statements for additional detail related to the stock price appreciation milestone payments.</w:t>
      </w:r>
    </w:p>
    <w:p>
      <w:pPr>
        <w:spacing w:after="0" w:line="83" w:lineRule="exact"/>
        <w:rPr>
          <w:rFonts w:ascii="Times New Roman" w:cs="Times New Roman" w:eastAsia="Times New Roman" w:hAnsi="Times New Roman"/>
          <w:sz w:val="18"/>
          <w:szCs w:val="18"/>
          <w:color w:val="auto"/>
        </w:rPr>
      </w:pPr>
    </w:p>
    <w:p>
      <w:pPr>
        <w:ind w:left="1020" w:right="240" w:hanging="503"/>
        <w:spacing w:after="0" w:line="255"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license agreement with Dana Farber Cancer Institute, pursuant to which we license certain patent applications relating to novel antibody fragments that bind the alpha-3 domain of MICA/B, we are required to make annual maintenance payments and payments based upon development, regulatory and commercial milestones for any products covered by the in-licensed intellectual property. The maximum aggregate milestone payments we may be obligated to make per product are $25 million. We will also be required to pay a royalty on net sales of products covered by the in-licensed intellectual property in the low single digits. The royalty is subject to reduction for any third-party payments required to be made, with a minimum floor in the low single digits. We have the right to sublicense our rights under these agreements, and we will be required to pay a percentage of any sublicense income.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02" w:name="page103"/>
    <w:bookmarkEnd w:id="102"/>
    <w:p>
      <w:pPr>
        <w:ind w:left="1020" w:right="20" w:hanging="503"/>
        <w:spacing w:after="0" w:line="255"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license agreement with Baylor College of Medicine, pursuant to which we license certain patents relating to the composition and use of a novel allo-immune defense receptor (ADR), we are required to make annual maintenance payments and payments based upon development, regulatory and commercial milestones for any products covered by the in-licensed intellectual property. The maximum aggregate milestone payments we may be obligated to make per product are $7.0 million. We will also be required to pay a royalty on net sales of products covered by the in-licensed intellectual property in the low single digits. The royalty is subject to reduction for any third-party payments required to be made, with a minimum floor in the low single digits. We have the right to sublicense our rights under this agreement, and we will be required to pay a percentage of any sublicense income.</w:t>
      </w:r>
    </w:p>
    <w:p>
      <w:pPr>
        <w:spacing w:after="0" w:line="80"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a license agreement with Max Delbruck Center for Molecular Medicine (MDC), pursuant to which we license certain patents relating to novel humanized antibody fragments, antigen-binding domains and CAR constructs that </w:t>
      </w:r>
      <w:r>
        <w:rPr>
          <w:rFonts w:ascii="Times New Roman" w:cs="Times New Roman" w:eastAsia="Times New Roman" w:hAnsi="Times New Roman"/>
          <w:sz w:val="18"/>
          <w:szCs w:val="18"/>
          <w:color w:val="222222"/>
        </w:rPr>
        <w:t>uniquely target and specifically bind B-cell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Maturation Antigen, w</w:t>
      </w:r>
      <w:r>
        <w:rPr>
          <w:rFonts w:ascii="Times New Roman" w:cs="Times New Roman" w:eastAsia="Times New Roman" w:hAnsi="Times New Roman"/>
          <w:sz w:val="18"/>
          <w:szCs w:val="18"/>
          <w:color w:val="000000"/>
        </w:rPr>
        <w:t>e are required to make annual maintenance payments and payments based upon development, regulatory and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commercial milestones for any products covered by the in-licensed intellectual property. The maximum aggregate milestone payments we may be obligated to make per product are $11.0 million. We will also be required to pay a royalty on net sales of products covered by the in-licensed intellectual property in the low single digits. The royalty is subject to reduction for any third-party payments required to be made, with a minimum floor in the low single digits. We have the right to sublicense our rights under this agreement, and we will be required to pay a percentage of any sublicense income.</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including with clinical sites, CROs, and other professional service providers for the conduct of clinical trials, contract manufacturers for the production of our product candidates, contract research service providers for preclinical research studies, professional consultants for expert advice and vendors for the sourcing of clinical and laboratory supplies and materials. These contracts generally provide for termination on notice, and therefore are cancelable contracts and not included in the table of contractual obligations and commitments.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Inflation has increased during the periods covered by this Annual Report on Form 10-K, and may continue to increase or remain elevated for the near future. Inflationary factors, such as increases in the prices of material, interest rates and cost of labor may adversely affect our operating results. Although we do not believe that inflation has had a material impact on our financial position or results of operations to date, we may experience some effect in the near future, especially if inflation rates continue to rise.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Fate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Fate Therapeutics, Inc. (the Company) as of December 31, 2024 and 2023, the related consolidated statements of operations and comprehensive loss, convertible preferred stock and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 or disclosure to which they relate.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4" w:name="page105"/>
    <w:bookmarkEnd w:id="104"/>
    <w:p>
      <w:pPr>
        <w:spacing w:after="0" w:line="9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 – clinical trials</w:t>
      </w:r>
    </w:p>
    <w:p>
      <w:pPr>
        <w:spacing w:after="0" w:line="227" w:lineRule="exact"/>
        <w:rPr>
          <w:sz w:val="20"/>
          <w:szCs w:val="20"/>
          <w:color w:val="auto"/>
        </w:rPr>
      </w:pPr>
    </w:p>
    <w:p>
      <w:pPr>
        <w:ind w:left="2280" w:right="200" w:hanging="2254"/>
        <w:spacing w:after="0" w:line="261" w:lineRule="auto"/>
        <w:tabs>
          <w:tab w:leader="none" w:pos="226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The Company recorded research and development expenses of $135.0 million for the year ended December 31, 2024. Research and development costs are expensed as incurred. Research and development costs include fees paid to contract research organizations, investigative sites and sponsored research organizations that conduct certain research and development activities on the Company’s behalf for clinical trials.</w:t>
      </w:r>
    </w:p>
    <w:p>
      <w:pPr>
        <w:spacing w:after="0" w:line="182" w:lineRule="exact"/>
        <w:rPr>
          <w:sz w:val="20"/>
          <w:szCs w:val="20"/>
          <w:color w:val="auto"/>
        </w:rPr>
      </w:pPr>
    </w:p>
    <w:p>
      <w:pPr>
        <w:ind w:left="2280"/>
        <w:spacing w:after="0" w:line="261" w:lineRule="auto"/>
        <w:rPr>
          <w:sz w:val="20"/>
          <w:szCs w:val="20"/>
          <w:color w:val="auto"/>
        </w:rPr>
      </w:pPr>
      <w:r>
        <w:rPr>
          <w:rFonts w:ascii="Times New Roman" w:cs="Times New Roman" w:eastAsia="Times New Roman" w:hAnsi="Times New Roman"/>
          <w:sz w:val="18"/>
          <w:szCs w:val="18"/>
          <w:color w:val="auto"/>
        </w:rPr>
        <w:t>Auditing the Company’s research and development expenses and related accruals was challenging due to the complex nature of evaluating the completeness and accuracy of the expenses and accruals. Research and development expenses are recognized as the services are being performed by the vendors, which requires management to accurately reflect the cost of services performed by vendors, such as patient enrollment and treatment at several investigative sites.</w:t>
      </w:r>
    </w:p>
    <w:p>
      <w:pPr>
        <w:spacing w:after="0" w:line="178" w:lineRule="exact"/>
        <w:rPr>
          <w:sz w:val="20"/>
          <w:szCs w:val="20"/>
          <w:color w:val="auto"/>
        </w:rPr>
      </w:pPr>
    </w:p>
    <w:p>
      <w:pPr>
        <w:ind w:left="20"/>
        <w:spacing w:after="0"/>
        <w:tabs>
          <w:tab w:leader="none" w:pos="226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To test the clinical trial expenses and related accruals, our audit procedures included, among others, confirming with a</w:t>
      </w:r>
    </w:p>
    <w:p>
      <w:pPr>
        <w:spacing w:after="0" w:line="29" w:lineRule="exact"/>
        <w:rPr>
          <w:sz w:val="20"/>
          <w:szCs w:val="20"/>
          <w:color w:val="auto"/>
        </w:rPr>
      </w:pPr>
    </w:p>
    <w:p>
      <w:pPr>
        <w:ind w:left="2280" w:right="120" w:hanging="2254"/>
        <w:spacing w:after="0" w:line="253" w:lineRule="auto"/>
        <w:tabs>
          <w:tab w:leader="none" w:pos="226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sample of vendors the progress of activities under research and development contracts at period end, testing a sample of invoices from vendors providing clinical services, testing a sample of cash disbursements after period end to assess the completeness of the expense recognition, and testing a sample of research and development expenses recorded during the period and evaluating the timing and amount of the expense recognition.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7" w:lineRule="exact"/>
        <w:rPr>
          <w:sz w:val="20"/>
          <w:szCs w:val="20"/>
          <w:color w:val="auto"/>
        </w:rPr>
      </w:pPr>
    </w:p>
    <w:p>
      <w:pPr>
        <w:ind w:left="2280" w:right="60" w:hanging="2254"/>
        <w:spacing w:after="0" w:line="254" w:lineRule="auto"/>
        <w:tabs>
          <w:tab w:leader="none" w:pos="226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discussed in Note 1 of the consolidated financial statements, the Company reviews its long-lived assets for impairment whenever events or changes in circumstances indicate that the carrying amounts of the assets may not be recoverable. The long-lived asset evaluation is performed at the asset group level, i.e.,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from the use and eventual disposition. If such review indicates that the carrying amount of the long-lived assets is not recoverable, the carrying amount of such assets is reduced to fair value. During the year ended December 31, 2024, the Company recorded an impairment of $14.7 million, consisting of $1.3 million related to right-of-use assets and $13.4 million related to property and equipment.</w:t>
      </w:r>
    </w:p>
    <w:p>
      <w:pPr>
        <w:spacing w:after="0" w:line="190" w:lineRule="exact"/>
        <w:rPr>
          <w:sz w:val="20"/>
          <w:szCs w:val="20"/>
          <w:color w:val="auto"/>
        </w:rPr>
      </w:pPr>
    </w:p>
    <w:p>
      <w:pPr>
        <w:ind w:left="2280"/>
        <w:spacing w:after="0" w:line="255" w:lineRule="auto"/>
        <w:rPr>
          <w:sz w:val="20"/>
          <w:szCs w:val="20"/>
          <w:color w:val="auto"/>
        </w:rPr>
      </w:pPr>
      <w:r>
        <w:rPr>
          <w:rFonts w:ascii="Times New Roman" w:cs="Times New Roman" w:eastAsia="Times New Roman" w:hAnsi="Times New Roman"/>
          <w:sz w:val="18"/>
          <w:szCs w:val="18"/>
          <w:color w:val="auto"/>
        </w:rPr>
        <w:t>Auditing the valuation of the Company’s impairment of its long-lived assets was complex and required a high degree of auditor judgment when performing procedures due to the significant estimation uncertainty in determining the fair value of its property and equipment. Management used observed market lease rates for comparable properties to perform the impairment test for its leasehold improvements and the right-of-use lease assets. To establish an estimate of fair value of the remaining property and equipment, primarily consisting of scientific equipment, management utilized trend factors applied to historical costs, estimates of economic depreciation, normal useful lives, and benchmark values for orderly liquidations of assets in secondary markets.</w:t>
      </w:r>
    </w:p>
    <w:p>
      <w:pPr>
        <w:spacing w:after="0" w:line="187" w:lineRule="exact"/>
        <w:rPr>
          <w:sz w:val="20"/>
          <w:szCs w:val="20"/>
          <w:color w:val="auto"/>
        </w:rPr>
      </w:pPr>
    </w:p>
    <w:p>
      <w:pPr>
        <w:ind w:left="20"/>
        <w:spacing w:after="0"/>
        <w:tabs>
          <w:tab w:leader="none" w:pos="226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Our audit procedures included, among others, evaluating the methodology and valuation models used and testing the key</w:t>
      </w:r>
    </w:p>
    <w:p>
      <w:pPr>
        <w:spacing w:after="0" w:line="29" w:lineRule="exact"/>
        <w:rPr>
          <w:sz w:val="20"/>
          <w:szCs w:val="20"/>
          <w:color w:val="auto"/>
        </w:rPr>
      </w:pPr>
    </w:p>
    <w:p>
      <w:pPr>
        <w:ind w:left="2280" w:right="60" w:hanging="2254"/>
        <w:spacing w:after="0" w:line="253" w:lineRule="auto"/>
        <w:tabs>
          <w:tab w:leader="none" w:pos="226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inputs and significant assumptions made by management. We evaluated the significant assumptions used by management related to the valuation of the leasehold improvements and right-of-use lease assets by obtaining observable lease rates for comparable properties and recalculating the impairment charge. We evaluated the significant assumptions for the valuation of other property and equipment by testing a sample of observable market data and comparable executed transactions and listings for scientific equipment.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36,056</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243,012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273,305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291,909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331,540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96,836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r>
      <w:tr>
        <w:trPr>
          <w:trHeight w:val="249"/>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440,694</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CIRM award liability</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77,849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97,360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 appreciation milestones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shares—5,000,000; Class A Convertible</w:t>
            </w: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Preferred shares issued and outstanding—2,755,086 at December 31, 2024 and</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2,761,108 at December 31, 2023</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198"/>
        </w:trPr>
        <w:tc>
          <w:tcPr>
            <w:tcW w:w="77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shares—250,000,000; issued and</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113,928,279 at December 31, 2024 and 98,627,076 at December 31,</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1,716,335</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1,580,032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(1,397,994 )</w:t>
            </w: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(1,211,732 )</w:t>
            </w:r>
          </w:p>
        </w:tc>
      </w:tr>
      <w:tr>
        <w:trPr>
          <w:trHeight w:val="210"/>
        </w:trPr>
        <w:tc>
          <w:tcPr>
            <w:tcW w:w="774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318,726</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368,417</w:t>
            </w:r>
          </w:p>
        </w:tc>
        <w:tc>
          <w:tcPr>
            <w:tcW w:w="100" w:type="dxa"/>
            <w:vAlign w:val="bottom"/>
            <w:tcBorders>
              <w:top w:val="single" w:sz="8" w:color="CFF0FC"/>
            </w:tcBorders>
          </w:tcPr>
          <w:p>
            <w:pPr>
              <w:spacing w:after="0"/>
              <w:rPr>
                <w:sz w:val="18"/>
                <w:szCs w:val="18"/>
                <w:color w:val="auto"/>
              </w:rPr>
            </w:pPr>
          </w:p>
        </w:tc>
      </w:tr>
      <w:tr>
        <w:trPr>
          <w:trHeight w:val="250"/>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440,694</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506,217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-3368040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-3350895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135,001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loss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223,907</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254,044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(210,276 )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(190,511 )</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stock price appreciation milestones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(186,262 )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(160,928 )</w:t>
            </w:r>
          </w:p>
        </w:tc>
        <w:tc>
          <w:tcPr>
            <w:tcW w:w="0" w:type="dxa"/>
            <w:vAlign w:val="bottom"/>
          </w:tcPr>
          <w:p>
            <w:pPr>
              <w:spacing w:after="0"/>
              <w:rPr>
                <w:sz w:val="1"/>
                <w:szCs w:val="1"/>
                <w:color w:val="auto"/>
              </w:rPr>
            </w:pPr>
          </w:p>
        </w:tc>
      </w:tr>
      <w:tr>
        <w:trPr>
          <w:trHeight w:val="197"/>
        </w:trPr>
        <w:tc>
          <w:tcPr>
            <w:tcW w:w="77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gain:</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available-for-sale securities, net</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(186,009 )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(159,059 )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(1.64 )</w:t>
            </w:r>
          </w:p>
        </w:tc>
        <w:tc>
          <w:tcPr>
            <w:tcW w:w="380" w:type="dxa"/>
            <w:vAlign w:val="bottom"/>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178"/>
        </w:trPr>
        <w:tc>
          <w:tcPr>
            <w:tcW w:w="772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Weighted–average common shares used to compute basic and</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113,685,177</w:t>
            </w:r>
          </w:p>
        </w:tc>
        <w:tc>
          <w:tcPr>
            <w:tcW w:w="2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98,411,162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7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diluted net loss per share</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-2039620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-1199515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-908050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-890905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-607695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-281940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50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980" w:type="dxa"/>
            <w:vAlign w:val="bottom"/>
            <w:gridSpan w:val="2"/>
            <w:vMerge w:val="continue"/>
          </w:tcPr>
          <w:p>
            <w:pPr>
              <w:spacing w:after="0"/>
              <w:rPr>
                <w:sz w:val="12"/>
                <w:szCs w:val="12"/>
                <w:color w:val="auto"/>
              </w:rPr>
            </w:pPr>
          </w:p>
        </w:tc>
        <w:tc>
          <w:tcPr>
            <w:tcW w:w="94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sive</w:t>
            </w:r>
          </w:p>
        </w:tc>
        <w:tc>
          <w:tcPr>
            <w:tcW w:w="98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d</w:t>
            </w:r>
          </w:p>
        </w:tc>
        <w:tc>
          <w:tcPr>
            <w:tcW w:w="16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08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0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9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980" w:type="dxa"/>
            <w:vAlign w:val="bottom"/>
            <w:gridSpan w:val="2"/>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2,794,5</w:t>
            </w:r>
          </w:p>
        </w:tc>
        <w:tc>
          <w:tcPr>
            <w:tcW w:w="5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500" w:type="dxa"/>
            <w:vAlign w:val="bottom"/>
          </w:tcPr>
          <w:p>
            <w:pPr>
              <w:spacing w:after="0"/>
              <w:rPr>
                <w:sz w:val="14"/>
                <w:szCs w:val="14"/>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97,294,917</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1,536,497</w:t>
            </w:r>
          </w:p>
        </w:tc>
        <w:tc>
          <w:tcPr>
            <w:tcW w:w="2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(1,854 )</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(1,050,804 )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483,939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Exercise of stock options, net of issuance costs</w:t>
            </w: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93,787</w:t>
            </w: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76</w:t>
            </w: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of restricted</w:t>
            </w:r>
          </w:p>
        </w:tc>
        <w:tc>
          <w:tcPr>
            <w:tcW w:w="10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1,071,167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units</w:t>
            </w:r>
          </w:p>
        </w:tc>
        <w:tc>
          <w:tcPr>
            <w:tcW w:w="10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Conversion of preferred shares to common stock</w:t>
            </w:r>
          </w:p>
        </w:tc>
        <w:tc>
          <w:tcPr>
            <w:tcW w:w="1080" w:type="dxa"/>
            <w:vAlign w:val="bottom"/>
            <w:gridSpan w:val="2"/>
            <w:shd w:val="clear" w:color="auto" w:fill="CFF0FC"/>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(33,441 )</w:t>
            </w: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167,205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43,459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Unrealized gain on investments, net</w:t>
            </w:r>
          </w:p>
        </w:tc>
        <w:tc>
          <w:tcPr>
            <w:tcW w:w="1080" w:type="dxa"/>
            <w:vAlign w:val="bottom"/>
            <w:gridSpan w:val="2"/>
            <w:shd w:val="clear" w:color="auto" w:fill="CFF0FC"/>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1,869</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(160,928 )</w:t>
            </w: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(160,928 )</w:t>
            </w:r>
          </w:p>
        </w:tc>
        <w:tc>
          <w:tcPr>
            <w:tcW w:w="0" w:type="dxa"/>
            <w:vAlign w:val="bottom"/>
          </w:tcPr>
          <w:p>
            <w:pPr>
              <w:spacing w:after="0"/>
              <w:rPr>
                <w:sz w:val="1"/>
                <w:szCs w:val="1"/>
                <w:color w:val="auto"/>
              </w:rPr>
            </w:pPr>
          </w:p>
        </w:tc>
      </w:tr>
      <w:tr>
        <w:trPr>
          <w:trHeight w:val="119"/>
        </w:trPr>
        <w:tc>
          <w:tcPr>
            <w:tcW w:w="336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2,761,1</w:t>
            </w:r>
          </w:p>
        </w:tc>
        <w:tc>
          <w:tcPr>
            <w:tcW w:w="500" w:type="dxa"/>
            <w:vAlign w:val="bottom"/>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5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98,627,076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1,580,032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(1,211,732 )</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368,417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Exercise of stock options, net of issuance costs</w:t>
            </w:r>
          </w:p>
        </w:tc>
        <w:tc>
          <w:tcPr>
            <w:tcW w:w="10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45,438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6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of restricted</w:t>
            </w:r>
          </w:p>
        </w:tc>
        <w:tc>
          <w:tcPr>
            <w:tcW w:w="1080" w:type="dxa"/>
            <w:vAlign w:val="bottom"/>
            <w:gridSpan w:val="2"/>
            <w:vMerge w:val="restart"/>
            <w:shd w:val="clear" w:color="auto" w:fill="CFF0FC"/>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680,201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 units</w:t>
            </w:r>
          </w:p>
        </w:tc>
        <w:tc>
          <w:tcPr>
            <w:tcW w:w="1080" w:type="dxa"/>
            <w:vAlign w:val="bottom"/>
            <w:gridSpan w:val="2"/>
            <w:vMerge w:val="continue"/>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Conversion of preferred shares to common stock</w:t>
            </w:r>
          </w:p>
        </w:tc>
        <w:tc>
          <w:tcPr>
            <w:tcW w:w="10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(6,022 )</w:t>
            </w:r>
          </w:p>
        </w:tc>
        <w:tc>
          <w:tcPr>
            <w:tcW w:w="4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30,110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gridSpan w:val="2"/>
            <w:shd w:val="clear" w:color="auto" w:fill="CFF0FC"/>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41,496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41,496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Public offering of common stock and issuance of</w:t>
            </w:r>
          </w:p>
        </w:tc>
        <w:tc>
          <w:tcPr>
            <w:tcW w:w="10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14,545,454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74,516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74,531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pre-funded warrants, net of offering costs</w:t>
            </w:r>
          </w:p>
        </w:tc>
        <w:tc>
          <w:tcPr>
            <w:tcW w:w="10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Private placement of pre-funded warrants</w:t>
            </w:r>
          </w:p>
        </w:tc>
        <w:tc>
          <w:tcPr>
            <w:tcW w:w="1080" w:type="dxa"/>
            <w:vAlign w:val="bottom"/>
            <w:gridSpan w:val="2"/>
            <w:shd w:val="clear" w:color="auto" w:fill="CFF0FC"/>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Unrealized gain on investments, net</w:t>
            </w:r>
          </w:p>
        </w:tc>
        <w:tc>
          <w:tcPr>
            <w:tcW w:w="10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220" w:type="dxa"/>
            <w:vAlign w:val="bottom"/>
          </w:tcPr>
          <w:p>
            <w:pPr>
              <w:spacing w:after="0"/>
              <w:rPr>
                <w:sz w:val="12"/>
                <w:szCs w:val="12"/>
                <w:color w:val="auto"/>
              </w:rPr>
            </w:pPr>
          </w:p>
        </w:tc>
        <w:tc>
          <w:tcPr>
            <w:tcW w:w="9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(186,262 )</w:t>
            </w: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(186,262 )</w:t>
            </w:r>
          </w:p>
        </w:tc>
        <w:tc>
          <w:tcPr>
            <w:tcW w:w="0" w:type="dxa"/>
            <w:vAlign w:val="bottom"/>
          </w:tcPr>
          <w:p>
            <w:pPr>
              <w:spacing w:after="0"/>
              <w:rPr>
                <w:sz w:val="1"/>
                <w:szCs w:val="1"/>
                <w:color w:val="auto"/>
              </w:rPr>
            </w:pPr>
          </w:p>
        </w:tc>
      </w:tr>
      <w:tr>
        <w:trPr>
          <w:trHeight w:val="119"/>
        </w:trPr>
        <w:tc>
          <w:tcPr>
            <w:tcW w:w="3360" w:type="dxa"/>
            <w:vAlign w:val="bottom"/>
            <w:tcBorders>
              <w:top w:val="single" w:sz="8" w:color="CFF0FC"/>
            </w:tcBorders>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2,755,0</w:t>
            </w:r>
          </w:p>
        </w:tc>
        <w:tc>
          <w:tcPr>
            <w:tcW w:w="500" w:type="dxa"/>
            <w:vAlign w:val="bottom"/>
            <w:tcBorders>
              <w:top w:val="single" w:sz="8" w:color="CFF0FC"/>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113,928,27</w:t>
            </w: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5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86</w:t>
            </w:r>
          </w:p>
        </w:tc>
        <w:tc>
          <w:tcPr>
            <w:tcW w:w="500" w:type="dxa"/>
            <w:vAlign w:val="bottom"/>
          </w:tcPr>
          <w:p>
            <w:pPr>
              <w:spacing w:after="0"/>
              <w:rPr>
                <w:sz w:val="14"/>
                <w:szCs w:val="14"/>
                <w:color w:val="auto"/>
              </w:rPr>
            </w:pPr>
          </w:p>
        </w:tc>
        <w:tc>
          <w:tcPr>
            <w:tcW w:w="420" w:type="dxa"/>
            <w:vAlign w:val="bottom"/>
            <w:tcBorders>
              <w:bottom w:val="single" w:sz="8" w:color="auto"/>
            </w:tcBorders>
          </w:tcPr>
          <w:p>
            <w:pPr>
              <w:jc w:val="right"/>
              <w:ind w:right="268"/>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114</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1,716,335</w:t>
            </w:r>
          </w:p>
        </w:tc>
        <w:tc>
          <w:tcPr>
            <w:tcW w:w="220" w:type="dxa"/>
            <w:vAlign w:val="bottom"/>
          </w:tcPr>
          <w:p>
            <w:pPr>
              <w:spacing w:after="0"/>
              <w:rPr>
                <w:sz w:val="14"/>
                <w:szCs w:val="14"/>
                <w:color w:val="auto"/>
              </w:rPr>
            </w:pPr>
          </w:p>
        </w:tc>
        <w:tc>
          <w:tcPr>
            <w:tcW w:w="140" w:type="dxa"/>
            <w:vAlign w:val="bottom"/>
            <w:tcBorders>
              <w:bottom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268</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 (1,397,994</w:t>
            </w:r>
          </w:p>
        </w:tc>
        <w:tc>
          <w:tcPr>
            <w:tcW w:w="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318,726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-1173480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-1173480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-1173480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-1173480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-1173480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-1173480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-1173480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-1173480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-222250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-222250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-222250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-222250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-222250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-222250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-222250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-222250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(186,262 )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(160,928 )</w:t>
            </w: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Accretion and amortization of premiums and discounts on investments, net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(9,080 )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(11,398 )</w:t>
            </w: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Amortization of collaboration contract costs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(892 )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(41,541 )</w:t>
            </w: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 in fair value of stock price appreciation milestones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(819 )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(2,515 )</w:t>
            </w: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Grant income from FT516 CIRM award</w:t>
            </w: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(4,000 )</w:t>
            </w: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(1,113 )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(1,661 )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(28,940 )</w:t>
            </w:r>
          </w:p>
        </w:tc>
      </w:tr>
      <w:tr>
        <w:trPr>
          <w:trHeight w:val="216"/>
        </w:trPr>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(4,421 )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(1,408 )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(122,874 )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(132,263 )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(730 )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(6,153 )</w:t>
            </w: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(317,750 )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(358,810 )</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330,698</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477,628</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Issuance of common stock from equity incentive plans, net of issuance costs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public offering of common stock, net of issuance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pre-funded warrants, net of issuance costs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FT819 CIRM award</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99,892</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(10,764 )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(19,513 )</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57,047</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year</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46,283</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57,047</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-2411095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-2411095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-739775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-739775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-456565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right="6280" w:firstLine="8"/>
        <w:spacing w:after="0" w:line="377" w:lineRule="auto"/>
        <w:tabs>
          <w:tab w:leader="none" w:pos="1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Organization</w:t>
      </w:r>
    </w:p>
    <w:p>
      <w:pPr>
        <w:spacing w:after="0" w:line="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Fate Therapeutics, Inc. (the Company) was incorporated in the state of Delaware on April 27, 2007 and has its principal operations in San Diego, California. The Company is a clinical-stage biopharmaceutical company dedicated to bringing off-the-shelf, multiplexed-engineered, iPSC-derived cellular immunotherapies to patients.</w:t>
      </w:r>
    </w:p>
    <w:p>
      <w:pPr>
        <w:spacing w:after="0" w:line="68"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devoted substantially all of its efforts to product development, raising capital and building infrastructure and has not generated any revenues from any sales of its therapeutic products. To date, the Company’s revenues have been derived from collaboration agreements and government grants.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380" w:firstLine="509"/>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United States generally accepted accounting principles (U.S. GAAP). The preparation of the Company’s consolidated financial statements requires it to make estimates and assumptions that impact the reported amounts of assets, liabilities, revenues and expenses and the disclosure of contingent assets and liabilities in the Company’s consolidated financial statements and accompanying notes. The most significant estimates in the Company’s consolidated financial statements relate to its stock appreciation milestone obligations, contracts containing leases, and accrued expenses. Although these estimates are based on the Company’s knowledge of current events and actions it may undertake in the future, actual results may ultimately materially differ from these estimates and assumptions.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To date, the aggregate operations of these subsidiaries have not been significant and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marketable securities, accounts receivable, stock price appreciation milestones, accounts payable, and accrued liabilities. The carrying amounts of accounts receivable, accounts payable and accrued liabilities are considered to be representative of their respective fair values because of the relatively short-term nature of those instruments.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 tier fair value hierarchy, which prioritizes the inputs used in measuring fair value as follows:</w:t>
      </w:r>
    </w:p>
    <w:p>
      <w:pPr>
        <w:spacing w:after="0" w:line="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 and</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11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The Company reviews the fair value hierarchy classification on a quarterly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in readily available checking and savings accounts, money market accounts and money market funds. The Company considers all highly liquid investments with an original maturity of three months or less from the date of purchase to be cash equivalents.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0" w:name="page111"/>
    <w:bookmarkEnd w:id="110"/>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 as of December 31, 2024 and 2023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7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36,056</w:t>
            </w:r>
          </w:p>
        </w:tc>
        <w:tc>
          <w:tcPr>
            <w:tcW w:w="12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2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consolidated statement of cash flows</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46,283</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57,047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restricted cash balance includes cash-collateralized irrevocable standby letters of credit for $10.2 million and $15.2 million, respectively, associated with the Company’s facilities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Investments are accounted for as available-for-sale securities and are carried at fair value on the consolidated balance sheets. Upon initial recognition of the investment and at each reporting period, the Company evaluates whether any unrealized losses on investments are attributable to a credit loss or other factors. Any unrealized losses attributable to credit loss are recorded through an allowance for credit losses, limited to the amount by which the fair value is below amortized cost, with the offsetting amount recorded in other income or expense in the consolidated statement of operations and comprehensive loss. Unrealized losses not attributable to an expected credit loss and unrealized gains on investments are recorded in other comprehensive income (loss) on the consolidated statements of operations and comprehensive loss. Realized gains and losses, if any, on investments classified as available-for-sale securities are included in other income or expense.</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amortized cost of investments classified as available-for-sale debt securities is adjusted for amortization of premiums and accretion of discounts to maturity. Such amortization and accretion are included in interest income. The cost of securities sold is based on the specific identification method. Interest and dividends on securities classified as available-for-sale are included in interest income.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a significant concentration of credit risk, consist primarily of cash, cash equivalents, and investments.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and investments are held.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using the straight-line method over the estimated useful lives of the assets (generally two to five years) and generally consist of furniture and fixtures, computers, scientific and office equipment, and in-process costs related to facilities construction. Repairs and maintenance costs are charged to expense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The long-lived asset evaluation is performed at the asset group level (i.e.,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from their use and eventual disposition. If the carrying amount is not recoverable, the carrying amount of such assets is reduced to fair value. During 2024, the Company identified an indicator of impairment of its long-lived assets due to a sustained decline in the trading price of the Company’s common stock over the preceding year, resulting in the Company’s market capitalization being below its net asset value. The Company utilized observed market lease rates for comparable properties to estimate the fair value of the right-of-use asset and leasehold improvements. The Company utilized trend factors applied to historical costs, estimates of economic depreciation, normal useful lives, and benchmark values for orderly liquidations of the assets in secondary markets to estimate the fair value of the property and equipment. As a result of its fair value analysis, the Company recorded a $13.4 million impairment charge on its property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11" w:name="page112"/>
    <w:bookmarkEnd w:id="111"/>
    <w:p>
      <w:pPr>
        <w:ind w:right="140"/>
        <w:spacing w:after="0" w:line="282" w:lineRule="auto"/>
        <w:rPr>
          <w:sz w:val="20"/>
          <w:szCs w:val="20"/>
          <w:color w:val="auto"/>
        </w:rPr>
      </w:pPr>
      <w:r>
        <w:rPr>
          <w:rFonts w:ascii="Times New Roman" w:cs="Times New Roman" w:eastAsia="Times New Roman" w:hAnsi="Times New Roman"/>
          <w:sz w:val="18"/>
          <w:szCs w:val="18"/>
          <w:color w:val="auto"/>
        </w:rPr>
        <w:t>and equipment and a $1.3 million impairment charge on its right-of-use asset in the statement of operations during the year ended December 31, 2024. No impairment was recorded during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The Company determines if a contract contains a lease at the inception of the contract. The Company currently has leases related to its facilities leased for office and laboratory space, which are classified as operating leases. These leases result in operating right-of-use (ROU) assets, current operating lease liabilities, and non-current operating lease liabilities in the Company’s consolidated balance sheets. The Company does not have any financing leases. Leases with a term of 12 months or less are considered short-term and ROU assets and lease obligations are not recognized. Payments associated with short-term leases are expensed on a straight-line basis over the lease term.</w:t>
      </w:r>
    </w:p>
    <w:p>
      <w:pPr>
        <w:spacing w:after="0" w:line="75"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Lease liabilities represent an obligation to make lease payments arising from the lease and ROU assets represent the right to use the underlying asset identified in the lease for the lease term. Lease liabilities are measured at the present value of the lease payments not yet paid discounted using the discount rate for the lease established at the lease commencement date. To determine the present value, the implicit rate is used when readily determinable. For those leases where the implicit rate is not provided, the Company determines an incremental borrowing rate based on the information available at the lease commencement date in determining the present value of lease payments. ROU assets are measured as the present value of the lease payments and also include any prepaid lease payments made and any other indirect costs incurred, and exclude any lease incentives received. Lease terms may include the impact of options to extend or terminate the lease when it is reasonably certain that the Company will exercise that option. Lease expense for operating leases is recognized on a straight-line basis over the lease term. The Company aggregates all lease and non-lease components for each class of underlying assets into a single lease component.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Arrangements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analyzes its collaboration arrangements to assess whether they are within the scope of ASC Topic 808, Collaborative Arrangements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between the Company and its collaboration partner are within the scope of other accounting literature, including ASC Topic 606, Revenue from Contracts with Customers (ASC 606). If it is concluded that some or all aspects of the arrangement represent a transaction with a customer, the Company will account for those aspects of the arrangement within the scope of ASC 606.</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ASC 808 provides guidance for the presentation and disclosure of transactions in collaborative arrangements, but it does not provide recognition or measurement guidance. Therefore, if the Company concludes a counterparty to a transaction is not a customer or otherwise not within the scope of ASC 606, the Company considers the guidance in other accounting literature as applicable or by analogy to account for such transaction. The classification of transactions under the Company’s arrangements is determined based on the nature and contractual terms of the arrangement along with the nature of the operations of the participants.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analyzes its collaboration arrangements to assess whether they are within the scope of ASC 808, to determine whether such arrangements involve joint operating activities performed by parties that are both active participants in the activities and exposed to significant risks and rewards that are dependent on the commercial success of such activities. If the Company concludes that some or all aspects of the arrangement represent a transaction with a customer, the Company accounts for those aspects of the arrangement within the scope of ASC 606.</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arrangements attributable to ASC 606, the Company recognizes revenue in a manner that depicts the transfer of control of a product or a service to a customer and reflects the amount of the consideration the Company is entitled to receive in exchange for such product or service. In doing so, the 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Appreciation Milestones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the stock price appreciation milestones associated with the Amended and Restated Exclusive License Agreement with Memorial Sloan Kettering Cancer Center (MSKCC) using a Monte Carlo simulation model, which relies on the Company’s current stock price as well as significant estimates and assumptions to determine the estimated liability associated with the contingent milestone payments. The Company accounts for the fair value of the stock price appreciation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12" w:name="page113"/>
    <w:bookmarkEnd w:id="112"/>
    <w:p>
      <w:pPr>
        <w:ind w:right="160"/>
        <w:spacing w:after="0" w:line="277" w:lineRule="auto"/>
        <w:rPr>
          <w:sz w:val="20"/>
          <w:szCs w:val="20"/>
          <w:color w:val="auto"/>
        </w:rPr>
      </w:pPr>
      <w:r>
        <w:rPr>
          <w:rFonts w:ascii="Times New Roman" w:cs="Times New Roman" w:eastAsia="Times New Roman" w:hAnsi="Times New Roman"/>
          <w:sz w:val="17"/>
          <w:szCs w:val="17"/>
          <w:color w:val="auto"/>
        </w:rPr>
        <w:t>milestones in accordance with ASC 815, Derivatives and Hedging, with fair value marked to market at each reporting date. The assumptions used to calculate the fair value of the stock price appreciation milestones are subject to a significant amount of judgment including the probability of achieving a specified clinical milestone, the expected volatility of the Company’s common stock, the risk-free interest rate, and the estimated term, which is based in part on the last valid patent claim date. The Company remeasures the fair value of the stock price appreciation milestones at each balance sheet date, with changes in fair value recorded in earnings as non-operating income or expense on the consolidated statements of operations and comprehensive loss.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employee stock option and restricted stock unit grants recognized over the requisite service period of the awards (usually the vesting period) on a straight-line basis. Performance-based stock units/awards represent a right to receive a certain number of shares of the Company’s common stock based on the achievement of corporate performance goals and continued employment during the vesting period. At each reporting period, and to the extent achievement of one or any of the performance conditions is probable, the Company reassesses the probability of the achievement of such corporate performance goals and any increase or decrease in share-based compensation expense resulting from an adjustment in the estimated shares to be released is treated as a cumulative catch-up in the period of adjustment. For stock awards for which vesting is subject to both performance-based milestones and market conditions, expense is recorded over the derived service period after the point when the achievement of the performance-based milestone is probable or the performance condition has been achieved.</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stock option grants using the Black-Scholes option pricing model, with the exception of option grants for which vesting is subject to both performance-based milestones and market conditions, which are valued using a lattice-based model. The fair value of restricted stock units, including performance-based restricted stock units, is based on the closing price of the Company’s common stock as reported on The Nasdaq Global Market on the date of grant. The Company recognizes forfeitures for all awards as such forfeitures occur.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 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Credit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CARES Act provides an employee retention credit (ERC), which is a refundable tax credit against certain employment taxes of up to $5,000 per employee for eligible employers. The tax credit is equal to 50% of qualified wages paid to employees during a quarter, capped at $10,000 of qualified wages per employee through December 31, 2020. Additional relief provisions were passed by the United States government, which extend and slightly expand the qualified wage caps on these credits through December 31, 2021. Based on these additional provisions, the tax credit is now equal to 70% of qualified wages paid to employees during a quarter, and the limit on qualified wages per employee has been increased to $10,000 of qualified wages per quarter. The Company qualifies for the tax credit under the CARES Act and expects to continue to receive additional tax credits under the additional relief provisions for qualified wages through December 31, 2021. In connection with the CARES Act, the Company adopted a policy to recognize the employee retention credit when received and include in other income in the statement of operations. The Company received a cash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13" w:name="page114"/>
    <w:bookmarkEnd w:id="113"/>
    <w:p>
      <w:pPr>
        <w:ind w:right="200"/>
        <w:spacing w:after="0" w:line="282" w:lineRule="auto"/>
        <w:rPr>
          <w:sz w:val="20"/>
          <w:szCs w:val="20"/>
          <w:color w:val="auto"/>
        </w:rPr>
      </w:pPr>
      <w:r>
        <w:rPr>
          <w:rFonts w:ascii="Times New Roman" w:cs="Times New Roman" w:eastAsia="Times New Roman" w:hAnsi="Times New Roman"/>
          <w:sz w:val="18"/>
          <w:szCs w:val="18"/>
          <w:color w:val="auto"/>
        </w:rPr>
        <w:t>payment and recorded $5.1 million of other income during the year ended December 31, 2023. No such amount was received or recorded during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80"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owner sources.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 includes unrealized gains and losses on available-for-sale securities.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common shares outstanding for the period, without consideration for common stock equivalents. The Pre-Funded Warrants associated with the January 2021 public equity offering and the private placement concurrent with the March 2024 public equity offering (see Note 9) are considered outstanding shares in the basic earnings per share calculation given their nominal exercise price. Dilutive common stock equivalents comprise convertible preferred stock, warrants for the purchase of common stock, and common stock options and restricted stock units outstanding under the Company’s stock option plans. For all periods presented, there is no difference in the number of common shares used to calculate basic and diluted common shares outstanding due to the Company’s net loss position.</w:t>
      </w:r>
    </w:p>
    <w:p>
      <w:pPr>
        <w:spacing w:after="0" w:line="7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stockholders for the years ended December 31, 2024 and 2023 are calculated as follows (in thousands, except share and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(186,262 )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(160,928 )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Shares used to compute net loss per share, basic and diluted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110,596,272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98,153,852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pre-funded warrants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3,088,905</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720" w:type="dxa"/>
            <w:vAlign w:val="bottom"/>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Weighted-average common shares outstanding used to</w:t>
            </w:r>
          </w:p>
        </w:tc>
        <w:tc>
          <w:tcPr>
            <w:tcW w:w="36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113,685,177</w:t>
            </w: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98,411,162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ind w:left="380"/>
              <w:spacing w:after="0" w:line="194" w:lineRule="exact"/>
              <w:rPr>
                <w:sz w:val="20"/>
                <w:szCs w:val="20"/>
                <w:color w:val="auto"/>
              </w:rPr>
            </w:pPr>
            <w:r>
              <w:rPr>
                <w:rFonts w:ascii="Times New Roman" w:cs="Times New Roman" w:eastAsia="Times New Roman" w:hAnsi="Times New Roman"/>
                <w:sz w:val="18"/>
                <w:szCs w:val="18"/>
                <w:color w:val="auto"/>
              </w:rPr>
              <w:t>compute basic and diluted net loss per share</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(1.64 )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-299720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-281940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are not included in the calculation of diluted net loss per common share because to do so would be anti-dilutive are as follows (in common stock equivalent shares):</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jc w:val="right"/>
        <w:ind w:right="2240"/>
        <w:spacing w:after="0"/>
        <w:rPr>
          <w:sz w:val="20"/>
          <w:szCs w:val="20"/>
          <w:color w:val="auto"/>
        </w:rPr>
      </w:pPr>
      <w:r>
        <w:rPr>
          <w:rFonts w:ascii="Times New Roman" w:cs="Times New Roman" w:eastAsia="Times New Roman" w:hAnsi="Times New Roman"/>
          <w:sz w:val="18"/>
          <w:szCs w:val="18"/>
          <w:color w:val="auto"/>
        </w:rPr>
        <w:t>Series A convertible preferred stock (if converted)</w:t>
      </w:r>
    </w:p>
    <w:p>
      <w:pPr>
        <w:spacing w:after="0" w:line="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Total</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Assessment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7620</wp:posOffset>
            </wp:positionV>
            <wp:extent cx="17570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ind w:left="20"/>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-3175</wp:posOffset>
            </wp:positionV>
            <wp:extent cx="17570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10,722,674</w:t>
      </w:r>
      <w:r>
        <w:rPr>
          <w:sz w:val="20"/>
          <w:szCs w:val="20"/>
          <w:color w:val="auto"/>
        </w:rPr>
        <w:tab/>
      </w:r>
      <w:r>
        <w:rPr>
          <w:rFonts w:ascii="Times New Roman" w:cs="Times New Roman" w:eastAsia="Times New Roman" w:hAnsi="Times New Roman"/>
          <w:sz w:val="18"/>
          <w:szCs w:val="18"/>
          <w:color w:val="auto"/>
        </w:rPr>
        <w:t>9,850,841</w:t>
      </w:r>
    </w:p>
    <w:p>
      <w:pPr>
        <w:spacing w:after="0" w:line="7" w:lineRule="exact"/>
        <w:rPr>
          <w:sz w:val="20"/>
          <w:szCs w:val="20"/>
          <w:color w:val="auto"/>
        </w:rPr>
      </w:pPr>
    </w:p>
    <w:p>
      <w:pPr>
        <w:ind w:left="80"/>
        <w:spacing w:after="0"/>
        <w:tabs>
          <w:tab w:leader="none" w:pos="1540" w:val="left"/>
        </w:tabs>
        <w:rPr>
          <w:sz w:val="20"/>
          <w:szCs w:val="20"/>
          <w:color w:val="auto"/>
        </w:rPr>
      </w:pPr>
      <w:r>
        <w:rPr>
          <w:rFonts w:ascii="Times New Roman" w:cs="Times New Roman" w:eastAsia="Times New Roman" w:hAnsi="Times New Roman"/>
          <w:sz w:val="18"/>
          <w:szCs w:val="18"/>
          <w:color w:val="auto"/>
        </w:rPr>
        <w:t>6,214,064</w:t>
      </w:r>
      <w:r>
        <w:rPr>
          <w:sz w:val="20"/>
          <w:szCs w:val="20"/>
          <w:color w:val="auto"/>
        </w:rPr>
        <w:tab/>
      </w:r>
      <w:r>
        <w:rPr>
          <w:rFonts w:ascii="Times New Roman" w:cs="Times New Roman" w:eastAsia="Times New Roman" w:hAnsi="Times New Roman"/>
          <w:sz w:val="18"/>
          <w:szCs w:val="18"/>
          <w:color w:val="auto"/>
        </w:rPr>
        <w:t>3,065,087</w:t>
      </w:r>
    </w:p>
    <w:p>
      <w:pPr>
        <w:spacing w:after="0" w:line="9"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13,775,430</w:t>
      </w:r>
      <w:r>
        <w:rPr>
          <w:sz w:val="20"/>
          <w:szCs w:val="20"/>
          <w:color w:val="auto"/>
        </w:rPr>
        <w:tab/>
      </w:r>
      <w:r>
        <w:rPr>
          <w:rFonts w:ascii="Times New Roman" w:cs="Times New Roman" w:eastAsia="Times New Roman" w:hAnsi="Times New Roman"/>
          <w:sz w:val="18"/>
          <w:szCs w:val="18"/>
          <w:color w:val="auto"/>
        </w:rPr>
        <w:t>13,805,540</w:t>
      </w:r>
    </w:p>
    <w:p>
      <w:pPr>
        <w:spacing w:after="0" w:line="9"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30,712,168</w:t>
      </w:r>
      <w:r>
        <w:rPr>
          <w:sz w:val="20"/>
          <w:szCs w:val="20"/>
          <w:color w:val="auto"/>
        </w:rPr>
        <w:tab/>
      </w:r>
      <w:r>
        <w:rPr>
          <w:rFonts w:ascii="Times New Roman" w:cs="Times New Roman" w:eastAsia="Times New Roman" w:hAnsi="Times New Roman"/>
          <w:sz w:val="18"/>
          <w:szCs w:val="18"/>
          <w:color w:val="auto"/>
        </w:rPr>
        <w:t>26,721,468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14605</wp:posOffset>
            </wp:positionV>
            <wp:extent cx="175704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57045" cy="25400"/>
                    </a:xfrm>
                    <a:prstGeom prst="rect">
                      <a:avLst/>
                    </a:prstGeom>
                    <a:noFill/>
                  </pic:spPr>
                </pic:pic>
              </a:graphicData>
            </a:graphic>
          </wp:anchor>
        </w:drawing>
      </w:r>
    </w:p>
    <w:p>
      <w:pPr>
        <w:spacing w:after="0" w:line="733" w:lineRule="exact"/>
        <w:rPr>
          <w:sz w:val="20"/>
          <w:szCs w:val="20"/>
          <w:color w:val="auto"/>
        </w:rPr>
      </w:pPr>
    </w:p>
    <w:p>
      <w:pPr>
        <w:sectPr>
          <w:pgSz w:w="11900" w:h="16838" w:orient="portrait"/>
          <w:cols w:equalWidth="0" w:num="2">
            <w:col w:w="7020" w:space="720"/>
            <w:col w:w="3500"/>
          </w:cols>
          <w:pgMar w:left="320" w:top="1215" w:right="339" w:bottom="1440" w:gutter="0" w:footer="0" w:header="0"/>
          <w:type w:val="continuous"/>
        </w:sect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Substantial doubt about an entity’s ability to continue as a going concern exists when relevant conditions and events, considered in the aggregate, indicate that it is probable that the entity will be unable to meet its obligations as they become due within one year from the financial statement issuance date. The Company determined that there are no conditions or events that raise substantial doubt about its ability to continue as a going concern for a period of at least twelve months from the date of issuance of these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which requires public entities to disclose significant segment expenses and other segment items on an annual and interim basis and to provide in interim periods all disclosures about a reportable segment’s profit or loss and assets that are currently required annually. Public entities with a single reportable segment are required to provide the new disclosures and all the disclosures required under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ASU does not change how a public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114" w:name="page115"/>
    <w:bookmarkEnd w:id="114"/>
    <w:p>
      <w:pPr>
        <w:ind w:right="20"/>
        <w:spacing w:after="0" w:line="258" w:lineRule="auto"/>
        <w:rPr>
          <w:sz w:val="20"/>
          <w:szCs w:val="20"/>
          <w:color w:val="auto"/>
        </w:rPr>
      </w:pPr>
      <w:r>
        <w:rPr>
          <w:rFonts w:ascii="Times New Roman" w:cs="Times New Roman" w:eastAsia="Times New Roman" w:hAnsi="Times New Roman"/>
          <w:sz w:val="18"/>
          <w:szCs w:val="18"/>
          <w:color w:val="auto"/>
        </w:rPr>
        <w:t>entity identifies its operating segments, aggregates them or applies the quantitative thresholds to determine its reportable segments. The ASU is effective for fiscal years beginning after December 15, 2023, and for interim periods beginning after December 15, 2024, with early adoption permitted. The guidance should be applied retrospectively to all periods presented in the financial statements, unless it is impracticable. The segment expense categories and amounts disclosed in the prior periods should be based on the significant segment expense categories identified and disclosed in the period of adoption. The Company adopted ASU No. 2023-07 during the year ended December 31, 2024 and have included required disclosures in Note 11.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new standard will be effective for the annual periods beginning the year ended December 31, 2025. The new standard permits early adoption and can be applied prospectively or retrospectively. The Company does not expect the adoption of this guidance to have a material impact on its consolidated financial statements.</w:t>
      </w:r>
    </w:p>
    <w:p>
      <w:pPr>
        <w:spacing w:after="0" w:line="77"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w:t>
      </w:r>
      <w:r>
        <w:rPr>
          <w:rFonts w:ascii="Times New Roman" w:cs="Times New Roman" w:eastAsia="Times New Roman" w:hAnsi="Times New Roman"/>
          <w:sz w:val="18"/>
          <w:szCs w:val="18"/>
          <w:color w:val="auto"/>
        </w:rPr>
        <w:t>, which requires detailed information about specified categories of expenses included in certain expense captions presented on the face of the income statement, as well as disclosures about selling expenses.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this guidance to determine the impact it may have on its consolidated financial statements disclosures.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Collaboration and License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Ono Collaboration and Option Agreement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September 14, 2018, the Company entered into a Collaboration and Option Agreement (the Ono Agreement) with Ono Pharmaceutical Co., Ltd. (Ono) for the joint development and commercialization of two off-the-shelf, iPSC-derived CAR T-cell product candidates (Candidate 1 and Candidate 2). Pursuant to the terms of the Ono Agreement, the Company received an upfront, non-refundable and non-creditable payment of $10.0 million. Additionally, the Company was entitled to receive funding for the conduct of research and preclinical development under a joint research plan, which fees were estimated to be $20.0 million in aggregate.</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December 2020, the Company entered into a letter agreement with Ono (the Ono Letter Agreement) pursuant to which Ono delivered proprietary antigen binding domains targeting an antigen expressed on certain solid tumors for incorporation into Candidate 2 and paid the Company a milestone fee of $10.0 million for further research and preclinical development of Candidate 2. In addition, Ono terminated all further research and preclinical development with respect to Candidate 1, and the Company retained all rights to research, develop and commercialize Candidate 1 throughout the world without any obligation to Ono.</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June 2022, the Company entered into an amendment with Ono to the Ono Agreement (the 2022 Ono Amendment). Pursuant to the 2022 Ono Amendment, the companies agreed to designate an additional antigen expressed on certain solid tumors for research and preclinical development, and Ono agreed to contribute proprietary antigen binding domains targeting such additional solid tumor antigen (Candidate 3). In addition, for both Candidate 2 and Candidate 3, Ono and the Company expanded the scope of the collaboration to include the research and preclinical development of iPSC-derived CAR NK cell product candidates (in addition to iPSC-derived CAR T-cell product candidates) targeting the designated solid tumor antigens. Similar to Candidate 2, the Company granted to Ono, during a specified period of time, a preclinical option (Candidate 3 Development Option) to obtain an exclusive license under certain intellectual property rights, subject to payment of an option exercise fee to the Company by Ono, to further develop and commercialize Candidate 3 in all territories of the world, where the Company retains rights to co-develop and co-commercialize Candidate 3 in the United States and Europe under a joint arrangement with Ono pursuant to which the Company is eligible to share at least 50% of the profits and losses. The Candidate 3 Development Option represents an option with no material right. Under the 2022 Ono Amendment, aggregate estimated research and preclinical development fees have been increased by approximately $9.3 million, for a total estimated $29.3 million in aggregate research and preclinical development fees over the course of the joint research plan.</w:t>
      </w:r>
    </w:p>
    <w:p>
      <w:pPr>
        <w:spacing w:after="0" w:line="8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November 2022, Ono exercised its option to obtain a license to develop and commercialize Candidate 2 (the Candidate 2 Development Option). The Company exercised its option (the CDCC Option) to co-develop and co-commercialize Candidate 2 in the United States and Europe. As a result, the Company received an Option Exercise Payment (as defined under the Ono Agreement)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15" w:name="page116"/>
    <w:bookmarkEnd w:id="115"/>
    <w:p>
      <w:pPr>
        <w:ind w:right="100"/>
        <w:spacing w:after="0" w:line="254" w:lineRule="auto"/>
        <w:rPr>
          <w:sz w:val="20"/>
          <w:szCs w:val="20"/>
          <w:color w:val="auto"/>
        </w:rPr>
      </w:pPr>
      <w:r>
        <w:rPr>
          <w:rFonts w:ascii="Times New Roman" w:cs="Times New Roman" w:eastAsia="Times New Roman" w:hAnsi="Times New Roman"/>
          <w:sz w:val="18"/>
          <w:szCs w:val="18"/>
          <w:color w:val="auto"/>
        </w:rPr>
        <w:t>$12.5 million. The Company and Ono are proceeding under a joint development plan for the ongoing development of Candidate 2. At the inception of the Ono Agreement, the Company determined the Candidate 2 Development Option represented an option with no material right that is distinct and separable from the ongoing development of Candidate 2 being performed by the parties. As such, the option exercise was treated as a separate contract with a single performance obligation of granting and delivering Ono a license to further develop and commercialize Candidate 2. The Company has completed its performance obligation with respect to the Candidate 2 Development Option and accordingly, recognized the Option Exercise Payment as revenue for the year ended December 31, 2022. The costs of this joint development plan are accounted for in accordance with ASC 808, and cost sharing payments to the Company from Ono are recorded net into research and development expenses. In addition, in connection with the ongoing joint development of Candidate 2, the Company is eligible to receive additional payments upon the achievement of certain clinical, regulatory, and commercial milestones (as further described below).</w:t>
      </w:r>
    </w:p>
    <w:p>
      <w:pPr>
        <w:spacing w:after="0" w:line="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Company entered into an amendment with Ono to the Ono Agreement (the 2023 Ono Amendment). Under the 2023 Ono Amendment, aggregate estimated research and preclinical development fees payable by Ono to the Company for Candidate 3 have been increased by approximately $1.4 million, for a total estimated $30.7 million in aggregate research and preclinical development fees over the course of the joint research plan.</w:t>
      </w:r>
    </w:p>
    <w:p>
      <w:pPr>
        <w:spacing w:after="0" w:line="72"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In May 2024, following Ono’s exercise of the Candidate 2 Development Option and grant of the development and commercialization license, the Company achieved a $5.0 million clinical development milestone for Candidate 2 and the Company recognized such amount as revenue during the period.</w:t>
      </w:r>
    </w:p>
    <w:p>
      <w:pPr>
        <w:spacing w:after="0" w:line="3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August 2024, the Company entered into an amendment with Ono to the Ono Agreement (the 2024 Ono Amendment and collectively with the 2023 Ono Amendment and 2022 Ono Amendment, the Ono Amendments). Under the 2024 Ono Amendment, aggregate estimated research and preclinical development fees payable by Ono to the Company for Candidate 3 have been increased by approximately $7.3 million, for a total estimated $38.0 million in aggregate research and preclinical development fees over the course of the joint research plan. The Company will continue to receive committed funding under the joint research plan from Ono through June 2025. The Candidate 3 Development Option expires upon the earlier of: (a) June 30, 2025 or (b) the achievement of the pre-defined preclinical milestone under the joint research plan for Candidate 3. Subject to payment of an extension fee by Ono, Ono may choose to defer its decision to exercise the Candidate 3 Development Option until no later than June 2026.</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Ono Agreement (as amended by the Ono Amendments), for Candidate 2 and for Candidate 3 (subject to exercise by Ono of its Candidate 3 Development Option), the Company is eligible to receive additional payments upon the achievement of certain clinical, regulatory and commercial milestones (the Ono Milestones) with respect to each Candidate in an amount up to $843.0 million in aggregate, with the applicable milestone payments for the United States and Europe subject to reduction by 50% if the Company elects to co-develop and co-commercialize the Candidate in the United States and Europe as described above. In addition, in those territories where Ono has exclusive rights of commercialization, the Company is eligible to receive tiered royalties (Royalties) ranging from the mid-single digits to the low-double digits based on annual net sales by Ono for each Candidate in such territories, with the Royalties subject to certain reductions.</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Ono Agreement will terminate with respect to a Candidate if Ono does not exercise its development option for a candidate within the option period, or in its entirety if Ono does not exercise any of its development options for the candidates within their respective option periods. In addition, either party may terminate the Ono Agreement in the event of breach, insolvency or patent challenges by the other party; provided, that Ono may terminate the Ono Agreement in its sole discretion (x) on a Candidate-by-Candidate basis at any time after the second anniversary of the effective date of the Ono Agreement or (y) on a Candidate-by-Candidate or country-by-country basis at any time after the expiration of the development option period, subject to certain limitations. The Ono Agreement will expire on a Candidate-by-Candidate and country-by-country basis upon the expiration of the applicable royalty term, or in its entirety upon the expiration of all applicable payment obligations under the agreement.</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determined that the Ono Agreement, Ono Letter Agreement, and Ono Amendments (collectively, the Ono Arrangement) were within the scope of ASC 808 and applicable to such guidance. The Company concluded that certain units of account, specifically the grant of a research license to certain intellectual property and the performance of research and preclinical development, within the Ono Arrangement represented a customer relationship and applied relevant guidance from ASC 606 to evaluate the appropriate accounting for those units of account. In accordance with this guidance, the Company identified its promised goods and services, including its grant of a research license to Ono to certain of its intellectual property subject to certain conditions, its conduct of research and preclinical development services, and its participation in a joint steering committee. The Company determined that its grant of a research license to Ono to certain of its intellectual property was not distinct from its conduct of research and preclinical development services and participation in a joint steering committee. Accordingly, the Company determined that the research license, the research and preclinical development services, and the participation in a joint steering committee during the development option period, should be accounted for as one combined performance obligation, and that the combined performance obligation is transferred over the expected term of the conduct of the research and preclinical development services. The Company also determined that, subject to the guidance of ASC 606, the license to develop and commercialize Candidate 2 upon exercise of the Candidate 2 Development Option was distinct and separable from the development and commercialization activities, which are accounted for under ASC 808. The termination of the Ono Agreement with respect to Candidate 1 did not impact this assessment.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16" w:name="page117"/>
    <w:bookmarkEnd w:id="116"/>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In accordance with ASC 606, the Company determined that the initial transaction price for research and preclinical development under the Ono Arrangement equaled $48.0 million, consisting of the upfront, non-refundable and non-creditable payment of $10.0 million and the aggregate estimated research and preclinical development fees of $38.0 million. The Company also concluded that the milestone fee of $10.0 million paid by Ono to the Company for further research and preclinical development of Candidate 2 represented a variable consideration that was previously constrained. Both the upfront payment of $10.0 million and the Candidate 2 milestone fee of $10.0 million were recorded as deferred revenue and were recognized as revenue over time in conjunction with the Company’s conduct of research and preclinical development services based on actual costs incurred as a percentage of the estimated total costs expected to be incurred over the expected term of conduct of the research and preclinical development services. The Company recorded the $5.0 million prepayment of the first-year research and preclinical development fees as deferred revenue, and such fees were recognized as revenue as the research and preclinical development services were delivered.</w:t>
      </w:r>
    </w:p>
    <w:p>
      <w:pPr>
        <w:spacing w:after="0" w:line="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recognized revenue of $13.6 million and $11.2 million under the Ono Arrangement during the years ended December 31, 2024 and 2023, respectively. Such revenue consisted of $8.6 million associated with research and preclinical development services, and $5.0 million associated with the achievement of a clinical development milestone for the year ended December 31, 2024. During the year ended December 31, 2023, such revenue comprised $11.2 million associated with research and preclinical development services.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contra-research and development expense of $5.1 million associated with the joint development of Candidate 2 under the Ono Arrangement for the year ended December 31, 2024. During the year ended December 31, 2023, the Company recognized contra-research and development expense of $8.0 million.</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a direct result of the Company’s entry into the Ono Arrangement, the Company incurred an aggregate of $9.0 million in sublicense consideration to existing licensors. The Company recognized $1.2 million of such expense during the year ended December 31, 2024. The Company recognized no such expense during the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Janssen Collaboration and Option Agreement</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April 2, 2020 (the Janssen Agreement Effective Date), the Company entered into a Collaboration and Option Agreement (the Janssen Agreement) with Janssen Biotech, Inc. (Janssen), part of the Janssen Pharmaceutical Companies of Johnson &amp; Johnson. Additionally, on the Janssen Agreement Effective Date, the Company entered into a Stock Purchase Agreement (the Stock Purchase Agreement) with Johnson &amp; Johnson Innovation - JJDC, Inc. (JJDC). On January 3, 2023, the Company received notice of termination from Janssen of the Janssen Agreement. The termination took effect on April 3, 2023, and during the three months ended March 31, 2023, the Company performed wind-down activities including discontinuing development of all collaboration product candidates under the Janssen Agreement. The Company was reimbursed for all wind-down activities.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Janssen Agreement and the Stock Purchase Agreement taken together, the Company received $100.0 million, of which $50.0 million was an upfront cash payment and $50.0 million was in the form of an equity investment by JJDC. The Company determined the common stock purchase by JJDC represented a premium of $9.93 per share, or $16.0 million in aggregate (the Equity Premium), and the remaining $34.0 million was recorded as issuance of common stock in shareholders’ equity. In addition, under the Stock Purchase Agreement, the Company exercised the right to require JJDC to purchase an aggregate of $50.0 million in shares in a private placement at the same price per share as paid by investors in a public offering. In June 2020, JJDC purchased 1.8 million shares of the Company’s common stock at a price of $28.31 per share. Additionally, the Company received full funding for the conduct of all research, preclinical development and Investigational New Drug Application (IND)-enabling activities performed by the Company under the Janssen Agreement.</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revenue of $52.3 million under the Janssen Agreement for the year ended December 31, 2023, of which $41.2 million was deferred as of December 31, 2022. Such revenue consisted of $11.1 million associated with research and development services, $31.2 million associated with the upfront fee and Equity Premium, and $10.0 million associated with a commercial option exercise.</w:t>
      </w:r>
    </w:p>
    <w:p>
      <w:pPr>
        <w:spacing w:after="0" w:line="6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Janssen Agreement, the Company incurred $17.1 million in sublicense fees to certain of its existing licensors. The $17.1 million in sublicense consideration represents an asset under ASC 340, and was amortized to research and development expense ratably with the Company’s revenue recognition under the Janssen Agreement. During the year ended December 31, 2023, the Company recognized $7.2 million of such expense. As of December 31, 2024, there was no remaining balance on the Janssen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Memorial Sloan Kettering Cancer Center License Agreement</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May 15, 2018, the Company entered into an Amended and Restated Exclusive License Agreement (the Amended MSKCC License) with MSKCC. The Amended MSKCC License amends and restates the Exclusive License Agreement entered into between the Company and MSKCC on August 19, 2016 (the Original MSKCC License), pursuant to which the Company entered into an exclusive license agreement with MSKCC for rights relating to compositions and methods covering iPSC-derived cellular immunotherapy, including T-cells and NK-cells derived from iPSCs engineered with CARs.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17" w:name="page118"/>
    <w:bookmarkEnd w:id="117"/>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Pursuant to the Amended MSKCC License, MSKCC granted to the Company additional licenses to certain patents and patent applications relating to new CAR constructs and off-the-shelf CAR T-cells, including the use of clustered regularly interspaced short palindromic repeat (CRISPR) and other innovative technologies for their production, in each case to research, develop, and commercialize licensed products in the field of all human therapeutic uses worldwide. The Company has the right to grant sublicenses to certain licensed rights in accordance with the terms of the Amended MSKCC License, in which case it is obligated to pay MSKCC a percentage of certain sublicense income received by the Company.</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obligated to pay to MSKCC an annual license maintenance fee during the term of the agreement, and milestone payments upon the achievement of specified clinical, regulatory and commercial milestones for licensed products as well as royalty payments on net sales of licensed products.</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event a licensed product achieves a specified clinical milestone, MSKCC is then eligible to receive certain milestone payments totaling up to $75.0 million based on the price of the Company’s common stock, where the amount of such payments owed to MSKCC is contingent upon certain increases in the price of the Company’s common stock following the date of achievement of such clinical milestone. These payments are based on common stock price multiples, with the numerator being the fair value of the ten-trading day trailing average closing price of the Company’s common stock and the denominator being the ten-trading day trailing average closing price of the Company’s common stock as of the effective date of the Amended MSKCC License, adjusted for any stock splits, cash dividends, stock dividends, other distributions, combinations, recapitalizations, or similar events. Under the terms of the Amended MSKCC License, upon a change of control of the Company, in certain circumstances, the Company may be required to pay a portion of these payments to MSKCC based on the price of the Company’s common stock in connection with such change of control.</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common stock multiples and the stock price appreciation milestone payments under the terms of the agreement:</w:t>
      </w:r>
    </w:p>
    <w:p>
      <w:pPr>
        <w:spacing w:after="0" w:line="35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multiple</w:t>
            </w: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5.0x</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10.0x</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15.0x</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Ten-trading day trailing average common stock price</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50.18</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100.36</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150.54</w:t>
            </w: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 appreciation milestone payment (in millions)</w:t>
            </w:r>
          </w:p>
        </w:tc>
        <w:tc>
          <w:tcPr>
            <w:tcW w:w="9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bl>
    <w:p>
      <w:pPr>
        <w:spacing w:after="0" w:line="30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July 2021, the Company achieved the specified clinical milestone for a licensed product under the Amended MSKCC License and the Company’s ten-trading day trailing average common stock price exceeded the first, pre-specified threshold. As a result, the Company remitted the first milestone payment of $20.0 million to MSKCC during the year ended December 31, 2021.</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 determine the estimated fair value of the remaining stock price appreciation milestones, the Company uses a Monte Carlo simulation methodology which models future Company common stock prices based on the current stock price and several key variables. The following variables were incorporated in the calculation of the estimated fair value of the stock price appreciation milestones as of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16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640" w:type="dxa"/>
            <w:vAlign w:val="bottom"/>
          </w:tcPr>
          <w:p>
            <w:pPr>
              <w:spacing w:after="0"/>
              <w:rPr>
                <w:sz w:val="15"/>
                <w:szCs w:val="15"/>
                <w:color w:val="auto"/>
              </w:rPr>
            </w:pPr>
          </w:p>
        </w:tc>
        <w:tc>
          <w:tcPr>
            <w:tcW w:w="116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64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center"/>
              <w:ind w:left="24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center"/>
              <w:ind w:right="13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4"/>
              </w:rPr>
              <w:t>85.3 %</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84.0 %</w:t>
            </w: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term (in years)</w:t>
            </w: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14.0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FF0FC"/>
          </w:tcPr>
          <w:p>
            <w:pPr>
              <w:spacing w:after="0"/>
              <w:rPr>
                <w:sz w:val="18"/>
                <w:szCs w:val="18"/>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stock price as of measurement date</w:t>
            </w:r>
          </w:p>
        </w:tc>
        <w:tc>
          <w:tcPr>
            <w:tcW w:w="1160" w:type="dxa"/>
            <w:vAlign w:val="bottom"/>
          </w:tcPr>
          <w:p>
            <w:pPr>
              <w:jc w:val="right"/>
              <w:ind w:right="98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1.65</w:t>
            </w:r>
          </w:p>
        </w:tc>
        <w:tc>
          <w:tcPr>
            <w:tcW w:w="18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tcPr>
          <w:p>
            <w:pPr>
              <w:spacing w:after="0"/>
              <w:rPr>
                <w:sz w:val="20"/>
                <w:szCs w:val="20"/>
                <w:color w:val="auto"/>
              </w:rPr>
            </w:pPr>
          </w:p>
        </w:tc>
      </w:tr>
    </w:tbl>
    <w:p>
      <w:pPr>
        <w:spacing w:after="0" w:line="287" w:lineRule="exact"/>
        <w:rPr>
          <w:sz w:val="20"/>
          <w:szCs w:val="20"/>
          <w:color w:val="auto"/>
        </w:rPr>
      </w:pPr>
    </w:p>
    <w:p>
      <w:pPr>
        <w:jc w:val="both"/>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key inputs to the Monte Carlo simulation to determine the fair value of the stock price appreciation milestones include the Company’s stock price as of the measurement date; the estimated term which is based in part on the last valid patent claim date; the expected volatility of the Company’s common stock, estimated using the Company’s historical common stock volatility as of the remeasurement date; and the risk-free rate based on the U.S. Treasury yield for the estimated term determined. Fair value measurements are highly sensitive to changes in these inputs and significant changes could result in a significantly higher or lower fair value and resulting expense or gain.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18" w:name="page119"/>
    <w:bookmarkEnd w:id="118"/>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At each balance sheet date, the Company remeasures the fair value of the stock price appreciation milestones, with changes in fair value recognized as a component of other income (expense) in the consolidated statements of operations and comprehensive loss. Amounts are included in current or non-current liabilities based on the estimated timeline associated with the individual potential payments. During the years ended December 31, 2024 and 2023, the Company recorded $0.8 million and $2.5 million of income, respectively, associated with the change in fair value of the stock price appreciation milestones. As of December 31, 2024 and 2023, the Company recorded a liability of $0.5 million and $1.3 million, respectively, associated with the stock price appreciation milestones for the Amended MSKCC License.</w:t>
      </w:r>
    </w:p>
    <w:p>
      <w:pPr>
        <w:spacing w:after="0" w:line="291" w:lineRule="exact"/>
        <w:rPr>
          <w:sz w:val="20"/>
          <w:szCs w:val="20"/>
          <w:color w:val="auto"/>
        </w:rPr>
      </w:pPr>
    </w:p>
    <w:p>
      <w:pPr>
        <w:ind w:left="520" w:right="6720" w:hanging="512"/>
        <w:spacing w:after="0" w:line="377" w:lineRule="auto"/>
        <w:tabs>
          <w:tab w:leader="none" w:pos="371"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California Institute for Regenerative Medicine Award </w:t>
      </w:r>
      <w:r>
        <w:rPr>
          <w:rFonts w:ascii="Times New Roman" w:cs="Times New Roman" w:eastAsia="Times New Roman" w:hAnsi="Times New Roman"/>
          <w:sz w:val="18"/>
          <w:szCs w:val="18"/>
          <w:i w:val="1"/>
          <w:iCs w:val="1"/>
          <w:color w:val="auto"/>
        </w:rPr>
        <w:t>FT819 CIRM Award</w:t>
      </w:r>
    </w:p>
    <w:p>
      <w:pPr>
        <w:spacing w:after="0" w:line="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February 2024, the Company was awarded $7.9 million from the California Institute for Regenerative Medicine (CIRM) to support the conduct of the Company’s Phase 1 study of FT819 in patients with systemic lupus erythematosus and, in April 2024, the Company executed an award agreement with CIRM (the FT819 CIRM Award). Pursuant to the terms of the FT819 CIRM Award, the Company is eligible to receive five disbursements in varying amounts from CIRM, with one disbursement receivable upon the execution of the award and four disbursements receivable based upon the completion of certain development milestones throughout the period of the award, which is estimated to be from April 1, 2024 to March 31, 2028 (the Award Period). Under the FT819 CIRM Award, the Company has certain obligations of co-funding and is required to provide CIRM progress and financial update reports throughout the Award Period.</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Following the conclusion of the Award Period, the Company, in its sole discretion, has the option to treat the FT819 CIRM Award either as a loan or as a grant. If the Company does not elect to treat the FT819 CIRM Award as a loan within 10 years of the award date, the award will be considered a grant and the Company will be obligated to pay CIRM, on a quarterly basis, a low single-digit royalty on commercial sales of FT819 until such aggregate royalty payments equal nine times the total amount awarded to the Company under the FT819 CIRM Award.</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Since the Company may, at its election, repay some or all of the FT819 CIRM Award, the Company accounts for the award as a liability until the time of election. During the year ended December 31, 2024, the Company received two disbursements under the FT819 CIRM Award in the aggregate amount of $5.1 million, which amount is recorded as a liability on the accompanying consolidated balance sheets. As of December 31, 2024, the entire balance is classified as non-current as the Company does not expect any amount to be payable within the next 12 months.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FT516 CIRM Award</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April 2018, the Company executed an award agreement with CIRM pursuant to which CIRM awarded the Company $4.0 million to advance the Company’s FT516 product candidate into a first-in-human clinical trial for the treatment of subjects with advanced solid tumors (the FT516 CIRM Award). Under the FT516 CIRM Award, the Company has certain obligations of co-funding and is required to provide CIRM progress and financial update reports.</w:t>
      </w:r>
    </w:p>
    <w:p>
      <w:pPr>
        <w:spacing w:after="0" w:line="6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Pursuant to the terms of the FT516 CIRM Award, the Company, in its sole discretion, has the option to treat the FT516 CIRM Award either as a loan or as a grant. During the first quarter of 2023, the Company elected to treat the FT516 CIRM Award as a grant. As such, the liability associated with the FT516 CIRM Award was derecognized and such amount was recorded as other income during the year ended December 31, 2023.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invests portions of excess cash in United States treasuries, commercial paper, non-U.S. government securities, municipal securities, and corporate debt securities with maturities ranging from three to thirty-six months from the purchase date. These investments are accounted for as available-for-sale securities and are classified as short-term and long-term investments in the accompanying consolidated balance sheets based on each security’s contractual maturity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19" w:name="page120"/>
    <w:bookmarkEnd w:id="119"/>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investments accounted for as available-for-sale securities as of December 31, 2024 and 2023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51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Classified as current assets: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40,291</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170,169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170,327</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26,907</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272,253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272,503</w:t>
            </w:r>
          </w:p>
        </w:tc>
        <w:tc>
          <w:tcPr>
            <w:tcW w:w="100" w:type="dxa"/>
            <w:vAlign w:val="bottom"/>
            <w:shd w:val="clear" w:color="auto" w:fill="CFF0FC"/>
          </w:tcPr>
          <w:p>
            <w:pPr>
              <w:spacing w:after="0"/>
              <w:rPr>
                <w:sz w:val="21"/>
                <w:szCs w:val="21"/>
                <w:color w:val="auto"/>
              </w:rPr>
            </w:pPr>
          </w:p>
        </w:tc>
      </w:tr>
      <w:tr>
        <w:trPr>
          <w:trHeight w:val="197"/>
        </w:trPr>
        <w:tc>
          <w:tcPr>
            <w:tcW w:w="51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Classified as non-current assets:</w:t>
            </w:r>
          </w:p>
        </w:tc>
        <w:tc>
          <w:tcPr>
            <w:tcW w:w="1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Greater than 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Greater than 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17,912</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27,657</w:t>
            </w:r>
          </w:p>
        </w:tc>
        <w:tc>
          <w:tcPr>
            <w:tcW w:w="100" w:type="dxa"/>
            <w:vAlign w:val="bottom"/>
            <w:shd w:val="clear" w:color="auto" w:fill="CFF0FC"/>
          </w:tcPr>
          <w:p>
            <w:pPr>
              <w:spacing w:after="0"/>
              <w:rPr>
                <w:sz w:val="21"/>
                <w:szCs w:val="21"/>
                <w:color w:val="auto"/>
              </w:rPr>
            </w:pPr>
          </w:p>
        </w:tc>
      </w:tr>
      <w:tr>
        <w:trPr>
          <w:trHeight w:val="197"/>
        </w:trPr>
        <w:tc>
          <w:tcPr>
            <w:tcW w:w="5160" w:type="dxa"/>
            <w:vAlign w:val="bottom"/>
            <w:tcBorders>
              <w:top w:val="single" w:sz="8" w:color="CFF0FC"/>
            </w:tcBorders>
          </w:tcPr>
          <w:p>
            <w:pPr>
              <w:spacing w:after="0"/>
              <w:rPr>
                <w:sz w:val="17"/>
                <w:szCs w:val="17"/>
                <w:color w:val="auto"/>
              </w:rPr>
            </w:pPr>
          </w:p>
        </w:tc>
        <w:tc>
          <w:tcPr>
            <w:tcW w:w="1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Classified as current assets: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35,273</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82,804</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47,107</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or less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137,398</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308,566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308,578</w:t>
            </w:r>
          </w:p>
        </w:tc>
        <w:tc>
          <w:tcPr>
            <w:tcW w:w="100" w:type="dxa"/>
            <w:vAlign w:val="bottom"/>
            <w:shd w:val="clear" w:color="auto" w:fill="CFF0FC"/>
          </w:tcPr>
          <w:p>
            <w:pPr>
              <w:spacing w:after="0"/>
              <w:rPr>
                <w:sz w:val="21"/>
                <w:szCs w:val="21"/>
                <w:color w:val="auto"/>
              </w:rPr>
            </w:pPr>
          </w:p>
        </w:tc>
      </w:tr>
      <w:tr>
        <w:trPr>
          <w:trHeight w:val="197"/>
        </w:trPr>
        <w:tc>
          <w:tcPr>
            <w:tcW w:w="51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Classified as non-current assets:</w:t>
            </w:r>
          </w:p>
        </w:tc>
        <w:tc>
          <w:tcPr>
            <w:tcW w:w="1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Greater than 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-2459355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-2442845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-2459355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-2442845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-2459355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-2442845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-2442845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-1877060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-1859280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-1877060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-1859280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-1877060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-1859280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-1877060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-471170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-453390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-471170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-453390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-471170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-453390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$2.1 million and $0.9 million, respectively, of accrued interest on investments recorded in prepaid expenses and other assets on the consolidated balance sheets.</w:t>
      </w:r>
    </w:p>
    <w:p>
      <w:pPr>
        <w:spacing w:after="0" w:line="5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reviews its investment holdings at the end of each reporting period and evaluates any unrealized losses using the expected credit loss model to determine if the unrealized loss is a result of a credit loss or other factors. The Company also evaluates its investment holdings for impairment using a variety of factors including the Company’s intent to sell the underlying securities prior to maturity and whether it is more likely than not that the Company would be required to sell the securities before the recovery of their amortized basis. During the years ended December 31, 2024 and 2023, the Company did not recognize any impairment or realized gains or losses on sales of investments, and the Company did not record an allowance for, or recognize, any expected credit losses.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tables presents the Company’s financial assets and liabilities measured at fair value on a recurring basis as of December 31, 2024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(in thousands):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8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29,491</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188,239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188,239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26,907</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300,160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79,527</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220,633</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5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price appreciation milestones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560" w:type="dxa"/>
            <w:vAlign w:val="bottom"/>
            <w:shd w:val="clear" w:color="auto" w:fill="CFF0FC"/>
          </w:tcPr>
          <w:p>
            <w:pPr>
              <w:ind w:left="360"/>
              <w:spacing w:after="0" w:line="191" w:lineRule="exact"/>
              <w:rPr>
                <w:sz w:val="20"/>
                <w:szCs w:val="20"/>
                <w:color w:val="auto"/>
              </w:rPr>
            </w:pPr>
            <w:r>
              <w:rPr>
                <w:rFonts w:ascii="Times New Roman" w:cs="Times New Roman" w:eastAsia="Times New Roman" w:hAnsi="Times New Roman"/>
                <w:sz w:val="18"/>
                <w:szCs w:val="18"/>
                <w:color w:val="auto"/>
              </w:rPr>
              <w:t>Total financial liabilities measured at fair value on a</w:t>
            </w:r>
          </w:p>
        </w:tc>
        <w:tc>
          <w:tcPr>
            <w:tcW w:w="200" w:type="dxa"/>
            <w:vAlign w:val="bottom"/>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FF0FC"/>
          </w:tcPr>
          <w:p>
            <w:pPr>
              <w:ind w:left="360"/>
              <w:spacing w:after="0" w:line="194" w:lineRule="exact"/>
              <w:rPr>
                <w:sz w:val="20"/>
                <w:szCs w:val="20"/>
                <w:color w:val="auto"/>
              </w:rPr>
            </w:pPr>
            <w:r>
              <w:rPr>
                <w:rFonts w:ascii="Times New Roman" w:cs="Times New Roman" w:eastAsia="Times New Roman" w:hAnsi="Times New Roman"/>
                <w:sz w:val="18"/>
                <w:szCs w:val="18"/>
                <w:color w:val="auto"/>
              </w:rPr>
              <w:t>recurring basis</w:t>
            </w:r>
          </w:p>
        </w:tc>
        <w:tc>
          <w:tcPr>
            <w:tcW w:w="20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300" w:type="dxa"/>
            <w:vAlign w:val="bottom"/>
            <w:gridSpan w:val="3"/>
            <w:vMerge w:val="continue"/>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10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35,273</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48,087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48,087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137,398</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137,398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309,558</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118,077</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191,481</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5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price appreciation milestones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560" w:type="dxa"/>
            <w:vAlign w:val="bottom"/>
            <w:shd w:val="clear" w:color="auto" w:fill="CFF0FC"/>
          </w:tcPr>
          <w:p>
            <w:pPr>
              <w:ind w:left="360"/>
              <w:spacing w:after="0" w:line="191" w:lineRule="exact"/>
              <w:rPr>
                <w:sz w:val="20"/>
                <w:szCs w:val="20"/>
                <w:color w:val="auto"/>
              </w:rPr>
            </w:pPr>
            <w:r>
              <w:rPr>
                <w:rFonts w:ascii="Times New Roman" w:cs="Times New Roman" w:eastAsia="Times New Roman" w:hAnsi="Times New Roman"/>
                <w:sz w:val="18"/>
                <w:szCs w:val="18"/>
                <w:color w:val="auto"/>
              </w:rPr>
              <w:t>Total financial liabilities measured at fair value on a</w:t>
            </w:r>
          </w:p>
        </w:tc>
        <w:tc>
          <w:tcPr>
            <w:tcW w:w="200" w:type="dxa"/>
            <w:vAlign w:val="bottom"/>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8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restart"/>
            <w:shd w:val="clear" w:color="auto" w:fill="CFF0FC"/>
          </w:tcPr>
          <w:p>
            <w:pPr>
              <w:spacing w:after="0"/>
              <w:rPr>
                <w:sz w:val="16"/>
                <w:szCs w:val="16"/>
                <w:color w:val="auto"/>
              </w:rPr>
            </w:pPr>
          </w:p>
        </w:tc>
        <w:tc>
          <w:tcPr>
            <w:tcW w:w="180" w:type="dxa"/>
            <w:vAlign w:val="bottom"/>
            <w:vMerge w:val="restart"/>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60" w:type="dxa"/>
            <w:vAlign w:val="bottom"/>
            <w:tcBorders>
              <w:bottom w:val="single" w:sz="8" w:color="CFF0FC"/>
            </w:tcBorders>
            <w:shd w:val="clear" w:color="auto" w:fill="CFF0FC"/>
          </w:tcPr>
          <w:p>
            <w:pPr>
              <w:ind w:left="360"/>
              <w:spacing w:after="0" w:line="194" w:lineRule="exact"/>
              <w:rPr>
                <w:sz w:val="20"/>
                <w:szCs w:val="20"/>
                <w:color w:val="auto"/>
              </w:rPr>
            </w:pPr>
            <w:r>
              <w:rPr>
                <w:rFonts w:ascii="Times New Roman" w:cs="Times New Roman" w:eastAsia="Times New Roman" w:hAnsi="Times New Roman"/>
                <w:sz w:val="18"/>
                <w:szCs w:val="18"/>
                <w:color w:val="auto"/>
              </w:rPr>
              <w:t>recurring basis</w:t>
            </w:r>
          </w:p>
        </w:tc>
        <w:tc>
          <w:tcPr>
            <w:tcW w:w="200" w:type="dxa"/>
            <w:vAlign w:val="bottom"/>
            <w:tcBorders>
              <w:bottom w:val="single" w:sz="8" w:color="auto"/>
            </w:tcBorders>
            <w:vMerge w:val="continue"/>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vMerge w:val="continue"/>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vMerge w:val="continue"/>
            <w:shd w:val="clear" w:color="auto" w:fill="CFF0FC"/>
          </w:tcPr>
          <w:p>
            <w:pPr>
              <w:spacing w:after="0"/>
              <w:rPr>
                <w:sz w:val="20"/>
                <w:szCs w:val="20"/>
                <w:color w:val="auto"/>
              </w:rPr>
            </w:pPr>
          </w:p>
        </w:tc>
        <w:tc>
          <w:tcPr>
            <w:tcW w:w="100" w:type="dxa"/>
            <w:vAlign w:val="bottom"/>
            <w:tcBorders>
              <w:bottom w:val="single" w:sz="8" w:color="auto"/>
            </w:tcBorders>
            <w:vMerge w:val="continue"/>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vMerge w:val="continue"/>
            <w:shd w:val="clear" w:color="auto" w:fill="CFF0FC"/>
          </w:tcPr>
          <w:p>
            <w:pPr>
              <w:spacing w:after="0"/>
              <w:rPr>
                <w:sz w:val="20"/>
                <w:szCs w:val="20"/>
                <w:color w:val="auto"/>
              </w:rPr>
            </w:pPr>
          </w:p>
        </w:tc>
        <w:tc>
          <w:tcPr>
            <w:tcW w:w="100" w:type="dxa"/>
            <w:vAlign w:val="bottom"/>
            <w:tcBorders>
              <w:bottom w:val="single" w:sz="8" w:color="auto"/>
            </w:tcBorders>
            <w:vMerge w:val="continue"/>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-2819400</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-2802255</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-2819400</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-2802255</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-2819400</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-2802255</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-2819400</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-2802255</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-2125345</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-2108200</wp:posOffset>
            </wp:positionV>
            <wp:extent cx="514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-2125345</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-2108200</wp:posOffset>
            </wp:positionV>
            <wp:extent cx="514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-2125345</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-2108200</wp:posOffset>
            </wp:positionV>
            <wp:extent cx="514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-2125345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-2108200</wp:posOffset>
            </wp:positionV>
            <wp:extent cx="514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-719455</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-702310</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-719455</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-702310</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-719455</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-702310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-719455</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-702310</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-24765</wp:posOffset>
            </wp:positionV>
            <wp:extent cx="514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514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514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Level 1 assets consisted of money market funds and U.S. Treasury securities measured at fair value based on quoted prices in active markets as provided by the Company’s investment managers.</w:t>
      </w:r>
    </w:p>
    <w:p>
      <w:pPr>
        <w:spacing w:after="0" w:line="54"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Level 2 assets consisted of corporate debt securities, commercial paper, municipal securities, and non-U.S. government securities measured at fair value using standard observable inputs, including reported trades, broker/dealer quotes, and bids and/or offers. The Company validates the quoted market prices provided by its investment managers by comparing the investment managers’ assessment of the fair values of the Company’s investment portfolio balance against the fair values of the Company’s investment portfolio balance obtained from an independent source.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Level 3 assets held by the Company as of December 31, 2024.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liabilities consisted of stock price appreciation milestones associated with the Amended MSKCC License as described in detail in Note 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5" w:right="399" w:bottom="1440" w:gutter="0" w:footer="0" w:header="0"/>
        </w:sectPr>
      </w:pPr>
    </w:p>
    <w:bookmarkStart w:id="121" w:name="page122"/>
    <w:bookmarkEnd w:id="121"/>
    <w:p>
      <w:pPr>
        <w:ind w:left="600"/>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Level 3 stock price appreciation milestones liability (in thousands):</w:t>
      </w:r>
    </w:p>
    <w:p>
      <w:pPr>
        <w:spacing w:after="0" w:line="35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(2,515 )</w:t>
            </w:r>
          </w:p>
        </w:tc>
      </w:tr>
      <w:tr>
        <w:trPr>
          <w:trHeight w:val="210"/>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(819 )</w:t>
            </w:r>
          </w:p>
        </w:tc>
      </w:tr>
      <w:tr>
        <w:trPr>
          <w:trHeight w:val="249"/>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-316230</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260" w:firstLine="584"/>
        <w:spacing w:after="0" w:line="282" w:lineRule="auto"/>
        <w:rPr>
          <w:sz w:val="20"/>
          <w:szCs w:val="20"/>
          <w:color w:val="auto"/>
        </w:rPr>
      </w:pPr>
      <w:r>
        <w:rPr>
          <w:rFonts w:ascii="Times New Roman" w:cs="Times New Roman" w:eastAsia="Times New Roman" w:hAnsi="Times New Roman"/>
          <w:sz w:val="18"/>
          <w:szCs w:val="18"/>
          <w:color w:val="auto"/>
        </w:rPr>
        <w:t>None of the Company’s non-financial assets or liabilities are recorded at fair value on a non-recurring basis. No transfers between levels have occurred during the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improvements—building</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59,038</w:t>
            </w:r>
          </w:p>
        </w:tc>
        <w:tc>
          <w:tcPr>
            <w:tcW w:w="10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Scientific equipment</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35,895</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144,462</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(35,136 )</w:t>
            </w:r>
          </w:p>
        </w:tc>
        <w:tc>
          <w:tcPr>
            <w:tcW w:w="3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(47,626 )</w:t>
            </w:r>
          </w:p>
        </w:tc>
      </w:tr>
      <w:tr>
        <w:trPr>
          <w:trHeight w:val="209"/>
        </w:trPr>
        <w:tc>
          <w:tcPr>
            <w:tcW w:w="53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2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96,836</w:t>
            </w:r>
          </w:p>
        </w:tc>
        <w:tc>
          <w:tcPr>
            <w:tcW w:w="100" w:type="dxa"/>
            <w:vAlign w:val="bottom"/>
            <w:tcBorders>
              <w:top w:val="single" w:sz="8" w:color="CFF0FC"/>
            </w:tcBorders>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-453390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-453390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40" w:firstLine="584"/>
        <w:spacing w:after="0" w:line="266" w:lineRule="auto"/>
        <w:rPr>
          <w:sz w:val="20"/>
          <w:szCs w:val="20"/>
          <w:color w:val="auto"/>
        </w:rPr>
      </w:pPr>
      <w:r>
        <w:rPr>
          <w:rFonts w:ascii="Times New Roman" w:cs="Times New Roman" w:eastAsia="Times New Roman" w:hAnsi="Times New Roman"/>
          <w:sz w:val="18"/>
          <w:szCs w:val="18"/>
          <w:color w:val="auto"/>
        </w:rPr>
        <w:t>The Company recognized an impairment charge of $13.4 million of long-lived asset impairment described in Note 1 above for the year ended December 31, 2024, which was calculated as the difference between the fair value of the assets and its carrying value. The cost basis for these assets was updated to fair value. The fair value was based on a cost approach which utilized Level 3 non-recurring fair value inputs and assumptions.</w:t>
      </w:r>
    </w:p>
    <w:p>
      <w:pPr>
        <w:spacing w:after="0" w:line="176" w:lineRule="exact"/>
        <w:rPr>
          <w:sz w:val="20"/>
          <w:szCs w:val="20"/>
          <w:color w:val="auto"/>
        </w:rPr>
      </w:pPr>
    </w:p>
    <w:p>
      <w:pPr>
        <w:ind w:right="100" w:firstLine="584"/>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$19.0 million and $18.3 million, for the years ended December 31, 2024 and 2023, respectively.</w:t>
      </w:r>
    </w:p>
    <w:p>
      <w:pPr>
        <w:spacing w:after="0" w:line="266" w:lineRule="exact"/>
        <w:rPr>
          <w:sz w:val="20"/>
          <w:szCs w:val="20"/>
          <w:color w:val="auto"/>
        </w:rPr>
      </w:pPr>
    </w:p>
    <w:p>
      <w:pPr>
        <w:ind w:right="9460" w:firstLine="8"/>
        <w:spacing w:after="0" w:line="378" w:lineRule="auto"/>
        <w:tabs>
          <w:tab w:leader="none" w:pos="1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Accrued Expenses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accrued expenses consist of the following (in thousands):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other employee benefits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related costs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8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2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accrued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27,514</w:t>
            </w:r>
          </w:p>
        </w:tc>
        <w:tc>
          <w:tcPr>
            <w:tcW w:w="8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-170815</wp:posOffset>
            </wp:positionV>
            <wp:extent cx="514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for office, laboratory and manufacturing spaces that are classified as operating leases on the consolidated balance sheets. These leases have terms varying from one to approximately sixteen years, with renewal options of up to ten years, as well as early termination options. Extension and termination options are included in the total lease term when the Company is reasonably certain to exercise them. The leases are subject to additional variable charges, including common area</w:t>
      </w:r>
    </w:p>
    <w:p>
      <w:pPr>
        <w:spacing w:after="0" w:line="1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5" w:right="519" w:bottom="1440" w:gutter="0" w:footer="0" w:header="0"/>
        </w:sectPr>
      </w:pPr>
    </w:p>
    <w:bookmarkStart w:id="122" w:name="page123"/>
    <w:bookmarkEnd w:id="122"/>
    <w:p>
      <w:pPr>
        <w:ind w:right="20"/>
        <w:spacing w:after="0" w:line="261" w:lineRule="auto"/>
        <w:rPr>
          <w:sz w:val="20"/>
          <w:szCs w:val="20"/>
          <w:color w:val="auto"/>
        </w:rPr>
      </w:pPr>
      <w:r>
        <w:rPr>
          <w:rFonts w:ascii="Times New Roman" w:cs="Times New Roman" w:eastAsia="Times New Roman" w:hAnsi="Times New Roman"/>
          <w:sz w:val="18"/>
          <w:szCs w:val="18"/>
          <w:color w:val="auto"/>
        </w:rPr>
        <w:t>maintenance, property taxes, property insurance and other variable costs. Given the variable nature of such costs, they are recognized as expense as incurred. Additionally, some of the Company’s leases are subject to certain fixed fees which the Company has determined to be non-lease components. The Company has elected to combine and account for lease and non-lease components as a single-lease component for purposes of determining the total future lease payments.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October 2024, the Company exercised its right of early termination for its Torrey Pines operating lease, which consists of 72,000 square feet of office, laboratory, and Good Manufacturing Practice (GMP) space. In connection with such exercise, the Company paid $2.5 million to its landlord. Termination of the lease, which previously extended through December 31, 2028, will now take effect on October 31, 2025. The Company accounted for this transaction as a modification to the lease agreement, which reduced the ROU asset and corresponding lease liability balances as of December 31, 2024 in connection with such transaction.</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future undiscounted minimum contractual payments under the Company’s operating leases were $133.7 million, which will be paid over a remaining weighted-average lease term of 10.6 years. The weighted-average discount rate for the operating lease liabilities was 8.4%, which was the Company’s incremental borrowing rate at lease commencement, as the discount rates implicit in the leases could not be readily determined.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2024 and 2023 were as follows (in thousands):</w:t>
      </w:r>
    </w:p>
    <w:p>
      <w:pPr>
        <w:spacing w:after="0" w:line="32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3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2"/>
        </w:trPr>
        <w:tc>
          <w:tcPr>
            <w:tcW w:w="62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Straight-line lease expense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80" w:type="dxa"/>
            <w:vAlign w:val="bottom"/>
            <w:shd w:val="clear" w:color="auto" w:fill="CFF0FC"/>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tcPr>
          <w:p>
            <w:pPr>
              <w:spacing w:after="0"/>
              <w:rPr>
                <w:sz w:val="18"/>
                <w:szCs w:val="18"/>
                <w:color w:val="auto"/>
              </w:rPr>
            </w:pPr>
          </w:p>
        </w:tc>
      </w:tr>
      <w:tr>
        <w:trPr>
          <w:trHeight w:val="250"/>
        </w:trPr>
        <w:tc>
          <w:tcPr>
            <w:tcW w:w="6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16,470</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-24765</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undiscounted minimum payments under the Company’s operating leases as of December 31, 2024 are as follows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9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Lease Payments</w:t>
            </w: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28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120" w:type="dxa"/>
            <w:vAlign w:val="bottom"/>
          </w:tcPr>
          <w:p>
            <w:pPr>
              <w:spacing w:after="0"/>
              <w:rPr>
                <w:sz w:val="18"/>
                <w:szCs w:val="18"/>
                <w:color w:val="auto"/>
              </w:rPr>
            </w:pPr>
          </w:p>
        </w:tc>
      </w:tr>
      <w:tr>
        <w:trPr>
          <w:trHeight w:val="216"/>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133,664</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(48,399 )</w:t>
            </w:r>
          </w:p>
        </w:tc>
      </w:tr>
      <w:tr>
        <w:trPr>
          <w:trHeight w:val="210"/>
        </w:trPr>
        <w:tc>
          <w:tcPr>
            <w:tcW w:w="92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lease liability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85,265</w:t>
            </w:r>
          </w:p>
        </w:tc>
        <w:tc>
          <w:tcPr>
            <w:tcW w:w="120" w:type="dxa"/>
            <w:vAlign w:val="bottom"/>
            <w:tcBorders>
              <w:top w:val="single" w:sz="8" w:color="CFF0FC"/>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6" w:lineRule="exact"/>
        <w:rPr>
          <w:sz w:val="20"/>
          <w:szCs w:val="20"/>
          <w:color w:val="auto"/>
        </w:rPr>
      </w:pPr>
    </w:p>
    <w:p>
      <w:pPr>
        <w:ind w:right="20" w:firstLine="554"/>
        <w:spacing w:after="0" w:line="258" w:lineRule="auto"/>
        <w:rPr>
          <w:sz w:val="20"/>
          <w:szCs w:val="20"/>
          <w:color w:val="auto"/>
        </w:rPr>
      </w:pPr>
      <w:r>
        <w:rPr>
          <w:rFonts w:ascii="Times New Roman" w:cs="Times New Roman" w:eastAsia="Times New Roman" w:hAnsi="Times New Roman"/>
          <w:sz w:val="18"/>
          <w:szCs w:val="18"/>
          <w:color w:val="auto"/>
        </w:rPr>
        <w:t>As described in Note 1 above, the Company incurred a $1.3 million impairment charge against its right-of-use asset during the year ended December 31, 2024. The Company applied a discounted cash flow method to estimate the fair value of the right-of-use asset, which represents Level 3 non-recurring fair value measurements. The estimated fair value of the was determined by discounting the estimated rental rates using market participant assumptions. The Company’s estimates and assumptions used to determine the estimated fair value of the asset group is subject to risks, uncertainties, and changes in circumstances that may result in adjustments and material changes to the estimated fair values in future periods.</w:t>
      </w:r>
    </w:p>
    <w:p>
      <w:pPr>
        <w:spacing w:after="0" w:line="287" w:lineRule="exact"/>
        <w:rPr>
          <w:sz w:val="20"/>
          <w:szCs w:val="20"/>
          <w:color w:val="auto"/>
        </w:rPr>
      </w:pPr>
    </w:p>
    <w:p>
      <w:pPr>
        <w:ind w:right="6860" w:firstLine="8"/>
        <w:spacing w:after="0" w:line="377" w:lineRule="auto"/>
        <w:tabs>
          <w:tab w:leader="none" w:pos="1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 and Stockholders’ Equity Convertible Preferred Stock</w:t>
      </w:r>
    </w:p>
    <w:p>
      <w:pPr>
        <w:spacing w:after="0" w:line="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November 2016, the Company completed a private placement of stock in which investors, including investors affiliated with the directors and officers of the Company, purchased convertible preferred stock and common stock of the Company (the November 2016 Placement). The Company issued 2,819,549 shares of Class A Convertible Preferred Stock, $0.001 par value per share (the Class A Preferred), at $13.30 per share, each of which is convertible into five shares of common stock upon certain conditions defined in the Certificate of Designation of Preferences, Rights and Limitations of the Class A Preferred filed with the Delaware Secretary of State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23" w:name="page124"/>
    <w:bookmarkEnd w:id="123"/>
    <w:p>
      <w:pPr>
        <w:spacing w:after="0" w:line="252" w:lineRule="auto"/>
        <w:rPr>
          <w:sz w:val="20"/>
          <w:szCs w:val="20"/>
          <w:color w:val="auto"/>
        </w:rPr>
      </w:pPr>
      <w:r>
        <w:rPr>
          <w:rFonts w:ascii="Times New Roman" w:cs="Times New Roman" w:eastAsia="Times New Roman" w:hAnsi="Times New Roman"/>
          <w:sz w:val="18"/>
          <w:szCs w:val="18"/>
          <w:color w:val="auto"/>
        </w:rPr>
        <w:t>on November 22, 2016 (the CoD). The Class A Preferred were purchased exclusively by entities affiliated with Redmile Group, LLC (collectively, Redmile). The terms of the CoD prohibited Redmile from converting the Class A Preferred into shares of the Company’s common stock if, as a result of conversion, Redmile, together with its affiliates, would own more than 9.99% of the Company’s common stock then issued and outstanding (the Redmile Percentage Limitation), which percentage could change at Redmile’s election upon 61 days’ notice to the Company to (i) any other number less than or equal to 19.99% or (ii) subject to approval of the Company’s stockholders to the extent required in accordance with the NASDAQ Global Market rules, any number in excess of 19.99%. On May 2, 2017, the Company’s stockholders approved the issuance of up to an aggregate of 14,097,745 shares of common stock upon the conversion of the outstanding shares of Class A Preferred. As a result, Redmile has the right to increase the Redmile Percentage Limitation to any percentage in excess of 19.99% at its election. The Company also issued 7,236,837 shares of common stock at $2.66 per share as part of the November 2016 Placement. In April 2023, the Company filed with the office of the Secretary of State of the State of Delaware a Certificate of Amendment to Certificate of Designation of Preferences, Rights and Limitations of Class A Convertible Preferred Stock which amends the definition of Beneficial Ownership Limitation to be 14.99% of the number of shares of the Company’s common stock outstanding immediately after giving effect to the issuance of shares of common stock pursuant to a Notice of Conversion. In April 2023, 33,441 shares of Class A Preferred were converted into 167,205 shares of the Company’s common stock. In December 2024, 6,022 shares of the Class A Preferred were converted into 30,110 shares of the Company’s common stock.</w:t>
      </w:r>
    </w:p>
    <w:p>
      <w:pPr>
        <w:spacing w:after="0" w:line="30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Class A Preferred are non-voting shares and are convertible into five shares of the Company’s common stock at a conversion price of $2.66 per share, which was the fair value of the Company’s common stock on the date of issuance. Holders of the Class A Preferred have the same dividend rights as holders of the Company’s common stock. Additionally, the liquidation preferences of the Class A Preferred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 holders of the Company’s common stock and holders of the Class A Preferred, pro rata based on the number of shares held by each such holder (treated for this purpose as if the Class A Preferred had been converted to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and Incentive Plans and Inducement Equity Plan</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2022 Stock Option and Incentive Plan</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June 9, 2022, the Company adopted the 2022 Stock Option and Incentive Plan (the 2022 Plan). The 2022 Plan initially authorized 9.5 million shares, and in June 2024, stockholders approved an additional 8,000,000 shares, of common stock for issuance and allows for the grant of stock options, stock appreciation rights, restricted stock awards, performance-based awards, and other awards to individuals who are then employees, officers, directors or consultants of the Company. The shares of common stock underlying any awards from the 2022 Plan and a previously existing equity plan from 2013 or 2007 that are forfeited, cancelled, held back upon exercise or settlement of an award to satisfy the exercise price or tax withholding, reacquired by us prior to vesting, satisfied without any issuance of common stock, expire or are otherwise terminated (other than by exercise) are added back to the shares of common stock available for issuance under the 2022 Plan.</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Recipients of stock options under the 2022 Plan shall be eligible to purchase shares of the Company’s common stock at an exercise price equal to no less than the estimated fair value of such stock on the date of grant. Under the 2022 Plan, stock options generally vest 25% on the first anniversary of the original vesting date, with the balance vesting monthly over the remaining three years, or vest monthly over four years, unless they contain specific performance and/or market-based vesting provisions. The maximum term of stock options granted under the 2022 Plan is ten years. Under the 2022 Plan, restricted stock units generally vest annually over four years. Performance-based stock units/awards vest upon the achievement of certain pre-defined company-specific performance-based clinical achievement criteria.</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Inducement Plan</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May 10, 2016, the Company’s board of directors approved the Fate Therapeutics, Inc. Inducement Equity Plan (the Inducement Plan), the purpose of which is to enable the Company to grant equity awards to induce highly-qualified prospective officers and employees who are not employed by the Company to accept employment with the Company. Under the Inducement Plan, the Company may grant non-qualified stock options and restricted stock units. A total of 500,000 shares of common stock were initially reserved for issuance under the Inducement Plan. In January 2021, March 2020, and January 2019, an additional 300,000 shares, 470,822 shares, and 200,000 shares, respectively, of common stock were reserved for issuance under the Inducement Plan. The shares of common stock underlying any awards from the Inducement Plan that are forfeited, cancelled, held back upon exercise or settlement of an award to satisfy the exercise price or tax withholding, reacquired by us prior to vesting, satisfied without any issuance of common stock, expire or are otherwise terminated (other than by exercise) under the Inducement Plan will be added back to the shares of common stock available for issuance under the Inducement Plan.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2021, in conjunction with a public offering, the Company issued Pre-Funded Warrants, in lieu of common stock to certain investors, to purchase 257,310 shares of the Company’s common stock (the 2021 Pre-Funded Warrants). The purchase price for the 2021 Pre-Funded Warrants was $85.499 per pre-funded warrant, which equals the per share public offering price for the shares of common stock less the $0.001 exercise price for each such pre-funded warrant. Given that the 2021 Pre-Funded Warrants are indexed to the Company’s own shares of common stock (and otherwise meet the requirements to be classified in equity), the Company recorded the consideration received from the issuance of the warrants as additional paid-in capital on the Company’s consolidated balance sheets.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March 2024, in conjunction with a public offering, the Company issued in a private placement, in lieu of common stock to certain investors, pre-funded warrants to purchase 3,636,364 shares of the Company’s common stock (2024 Pre-Funded Warrants, and collectively with the 2021 Pre-Funded Warrants, the Pre-Funded Warrants). The purchase price for the 2024 Pre-Funded Warrants was $5.499 per pre-funded warrant, which equals the per share public offering price for the shares of common stock issued in the March 2024 public offering, less the $0.001 exercise price for each such pre-funded warrant. Given that the 2024 Pre-Funded Warrants are indexed to the Company’s own shares of common stock (and otherwise meet the requirements to be classified in equity), the Company recorded the consideration received from the issuance of the warrants as additional paid-in capital on the Company’s unaudited condensed consolidated balance sheets.</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 date of issuance. A holder of Pre-Funded Warrants may not exercise the Pre-Funded Warrant if the holder, together with its affiliates, would beneficially own more than 9.99% of the number of shares of the Company’s common stock outstanding immediately after giving effect to such exercise. A holder of Pre-Funded Warrants may increase or decrease this percentage not in excess of 19.99% by providing at least 61 days’ prior notice to the Company.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there were 3,893,674 Pre-Funded Warrants outstanding.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Restricted Stock Unit Awards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Stock Options. </w:t>
      </w:r>
      <w:r>
        <w:rPr>
          <w:rFonts w:ascii="Times New Roman" w:cs="Times New Roman" w:eastAsia="Times New Roman" w:hAnsi="Times New Roman"/>
          <w:sz w:val="17"/>
          <w:szCs w:val="17"/>
          <w:color w:val="auto"/>
        </w:rPr>
        <w:t>The following table summarizes stock option activity and related information under all equity plans for the year ended December 31,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2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0" w:type="dxa"/>
            <w:vAlign w:val="bottom"/>
          </w:tcPr>
          <w:p>
            <w:pPr>
              <w:spacing w:after="0"/>
              <w:rPr>
                <w:sz w:val="1"/>
                <w:szCs w:val="1"/>
                <w:color w:val="auto"/>
              </w:rPr>
            </w:pPr>
          </w:p>
        </w:tc>
      </w:tr>
      <w:tr>
        <w:trPr>
          <w:trHeight w:val="142"/>
        </w:trPr>
        <w:tc>
          <w:tcPr>
            <w:tcW w:w="5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2023</w:t>
            </w: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9,850,841</w:t>
            </w:r>
          </w:p>
        </w:tc>
        <w:tc>
          <w:tcPr>
            <w:tcW w:w="2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13.71</w:t>
            </w:r>
          </w:p>
        </w:tc>
        <w:tc>
          <w:tcPr>
            <w:tcW w:w="180" w:type="dxa"/>
            <w:vAlign w:val="bottom"/>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4,210,625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6.46</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Exercised</w:t>
            </w:r>
          </w:p>
        </w:tc>
        <w:tc>
          <w:tcPr>
            <w:tcW w:w="12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(45,438 )</w:t>
            </w: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Cancelled</w:t>
            </w:r>
          </w:p>
        </w:tc>
        <w:tc>
          <w:tcPr>
            <w:tcW w:w="1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(3,293,354 )</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13.40</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1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2024</w:t>
            </w: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10,722,674</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10.99</w:t>
            </w:r>
          </w:p>
        </w:tc>
        <w:tc>
          <w:tcPr>
            <w:tcW w:w="18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5.83</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ind w:left="740"/>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Options vested and expected to vest at December 31, 2024</w:t>
            </w: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10,722,674</w:t>
            </w:r>
          </w:p>
        </w:tc>
        <w:tc>
          <w:tcPr>
            <w:tcW w:w="200" w:type="dxa"/>
            <w:vAlign w:val="bottom"/>
          </w:tcPr>
          <w:p>
            <w:pPr>
              <w:spacing w:after="0"/>
              <w:rPr>
                <w:sz w:val="11"/>
                <w:szCs w:val="11"/>
                <w:color w:val="auto"/>
              </w:rPr>
            </w:pPr>
          </w:p>
        </w:tc>
        <w:tc>
          <w:tcPr>
            <w:tcW w:w="16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10.99</w:t>
            </w:r>
          </w:p>
        </w:tc>
        <w:tc>
          <w:tcPr>
            <w:tcW w:w="180" w:type="dxa"/>
            <w:vAlign w:val="bottom"/>
          </w:tcPr>
          <w:p>
            <w:pPr>
              <w:spacing w:after="0"/>
              <w:rPr>
                <w:sz w:val="11"/>
                <w:szCs w:val="11"/>
                <w:color w:val="auto"/>
              </w:rPr>
            </w:pP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5.83</w:t>
            </w:r>
          </w:p>
        </w:tc>
        <w:tc>
          <w:tcPr>
            <w:tcW w:w="20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ind w:left="740"/>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Options exercisable at December 31, 2024</w:t>
            </w:r>
          </w:p>
        </w:tc>
        <w:tc>
          <w:tcPr>
            <w:tcW w:w="10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7,328,404</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12.91</w:t>
            </w:r>
          </w:p>
        </w:tc>
        <w:tc>
          <w:tcPr>
            <w:tcW w:w="18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4.91</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FF0FC"/>
          </w:tcPr>
          <w:p>
            <w:pPr>
              <w:ind w:left="740"/>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-264795</wp:posOffset>
            </wp:positionV>
            <wp:extent cx="596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-247650</wp:posOffset>
            </wp:positionV>
            <wp:extent cx="596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-264795</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-247650</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-264795</wp:posOffset>
            </wp:positionV>
            <wp:extent cx="596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-247650</wp:posOffset>
            </wp:positionV>
            <wp:extent cx="596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-264795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596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596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03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596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96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weighted average grant date fair value of stock options granted per share was equal to $4.89 and $4.83, respectively.</w:t>
      </w:r>
    </w:p>
    <w:p>
      <w:pPr>
        <w:spacing w:after="0" w:line="5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unrecognized compensation cost related to outstanding options was $15.4 million and $23.0 million, respectively, which was expected to be recognized as expense over approximately 1.6 years and 1.9 years, respectively.</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exercise price was exceeded by the price of the Company’s common stock on the date of exercise, of stock options exercised during the year ended December 31, 2023 was $0.3 million. As of December 31, 2024, all outstanding options had an exercise price above the Company's common stock price and therefore no intrinsic value. Total cash received upon the exercise of stock options was $0.1 million for the year ended December 31, 2024.</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7" w:right="399" w:bottom="1440" w:gutter="0" w:footer="0" w:header="0"/>
        </w:sectPr>
      </w:pPr>
    </w:p>
    <w:bookmarkStart w:id="125" w:name="page126"/>
    <w:bookmarkEnd w:id="125"/>
    <w:p>
      <w:pPr>
        <w:ind w:right="3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following table summarizes restricted stock unit activity and related information under all equity plans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9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Per</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20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5"/>
                <w:szCs w:val="15"/>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0" w:type="dxa"/>
            <w:vAlign w:val="bottom"/>
          </w:tcPr>
          <w:p>
            <w:pPr>
              <w:spacing w:after="0"/>
              <w:rPr>
                <w:sz w:val="1"/>
                <w:szCs w:val="1"/>
                <w:color w:val="auto"/>
              </w:rPr>
            </w:pPr>
          </w:p>
        </w:tc>
      </w:tr>
      <w:tr>
        <w:trPr>
          <w:trHeight w:val="142"/>
        </w:trPr>
        <w:tc>
          <w:tcPr>
            <w:tcW w:w="5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2023</w:t>
            </w: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3,065,087</w:t>
            </w:r>
          </w:p>
        </w:tc>
        <w:tc>
          <w:tcPr>
            <w:tcW w:w="2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37.96</w:t>
            </w:r>
          </w:p>
        </w:tc>
        <w:tc>
          <w:tcPr>
            <w:tcW w:w="180" w:type="dxa"/>
            <w:vAlign w:val="bottom"/>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4,451,874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12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(680,201 )</w:t>
            </w: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33.68</w:t>
            </w: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Cancelled</w:t>
            </w:r>
          </w:p>
        </w:tc>
        <w:tc>
          <w:tcPr>
            <w:tcW w:w="1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(622,696 )</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35.78</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1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2024</w:t>
            </w: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6,214,064</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15.50</w:t>
            </w:r>
          </w:p>
        </w:tc>
        <w:tc>
          <w:tcPr>
            <w:tcW w:w="18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2.01</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10,253</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Restricted stock units expected to vest at December 31, 2024</w:t>
            </w: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5,151,457</w:t>
            </w:r>
          </w:p>
        </w:tc>
        <w:tc>
          <w:tcPr>
            <w:tcW w:w="20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9.78</w:t>
            </w:r>
          </w:p>
        </w:tc>
        <w:tc>
          <w:tcPr>
            <w:tcW w:w="180" w:type="dxa"/>
            <w:vAlign w:val="bottom"/>
          </w:tcPr>
          <w:p>
            <w:pPr>
              <w:spacing w:after="0"/>
              <w:rPr>
                <w:sz w:val="11"/>
                <w:szCs w:val="11"/>
                <w:color w:val="auto"/>
              </w:rPr>
            </w:pP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1.92</w:t>
            </w:r>
          </w:p>
        </w:tc>
        <w:tc>
          <w:tcPr>
            <w:tcW w:w="20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-144780</wp:posOffset>
            </wp:positionV>
            <wp:extent cx="596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-128270</wp:posOffset>
            </wp:positionV>
            <wp:extent cx="596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-144780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-128270</wp:posOffset>
            </wp:positionV>
            <wp:extent cx="603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-128270</wp:posOffset>
            </wp:positionV>
            <wp:extent cx="596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-144780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-128270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unrecognized compensation cost related to outstanding restricted stock units (excluding those with unachieved performance-based conditions) was $31.4 million and $38.3 million, respectively, which was expected to be recognized as expense over approximately 1.7 years and 2.0 years, respectively.</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1,997,377 performance-based restricted stock units (PRSUs) were granted, none of which have vested. During the year ended December 31, 2024, the Company granted 300,000 performance-based restricted stock units with a total grant date fair value of approximately $1.6 million, none of which have vested. There were 1,062,607 and 1,020,617 PRSUs outstanding at December 31, 2024 and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allocation of stock-based compensation for all stock awards is as follows (in thousands):</w:t>
      </w:r>
    </w:p>
    <w:p>
      <w:pPr>
        <w:spacing w:after="0" w:line="21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2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2"/>
        </w:trPr>
        <w:tc>
          <w:tcPr>
            <w:tcW w:w="6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22,520</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20,849</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22,610</w:t>
            </w:r>
          </w:p>
        </w:tc>
        <w:tc>
          <w:tcPr>
            <w:tcW w:w="80" w:type="dxa"/>
            <w:vAlign w:val="bottom"/>
          </w:tcPr>
          <w:p>
            <w:pPr>
              <w:spacing w:after="0"/>
              <w:rPr>
                <w:sz w:val="18"/>
                <w:szCs w:val="18"/>
                <w:color w:val="auto"/>
              </w:rPr>
            </w:pPr>
          </w:p>
        </w:tc>
      </w:tr>
      <w:tr>
        <w:trPr>
          <w:trHeight w:val="250"/>
        </w:trPr>
        <w:tc>
          <w:tcPr>
            <w:tcW w:w="6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41,496</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-24765</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5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Option Grants Valuation. </w:t>
      </w:r>
      <w:r>
        <w:rPr>
          <w:rFonts w:ascii="Times New Roman" w:cs="Times New Roman" w:eastAsia="Times New Roman" w:hAnsi="Times New Roman"/>
          <w:sz w:val="18"/>
          <w:szCs w:val="18"/>
          <w:color w:val="auto"/>
        </w:rPr>
        <w:t>The weighted-average assumptions used in the Black-Scholes option pricing model to determine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employee and nonemployee stock option grants were as follows:</w:t>
      </w:r>
    </w:p>
    <w:p>
      <w:pPr>
        <w:spacing w:after="0" w:line="154"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1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2"/>
        </w:trPr>
        <w:tc>
          <w:tcPr>
            <w:tcW w:w="60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10"/>
        </w:trPr>
        <w:tc>
          <w:tcPr>
            <w:tcW w:w="6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3.8 %</w:t>
            </w: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87.1 %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89.3 %</w:t>
            </w:r>
          </w:p>
        </w:tc>
      </w:tr>
      <w:tr>
        <w:trPr>
          <w:trHeight w:val="216"/>
        </w:trPr>
        <w:tc>
          <w:tcPr>
            <w:tcW w:w="6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FF0FC"/>
          </w:tcPr>
          <w:p>
            <w:pPr>
              <w:spacing w:after="0"/>
              <w:rPr>
                <w:sz w:val="18"/>
                <w:szCs w:val="18"/>
                <w:color w:val="auto"/>
              </w:rPr>
            </w:pPr>
          </w:p>
        </w:tc>
      </w:tr>
      <w:tr>
        <w:trPr>
          <w:trHeight w:val="23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218"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Company bases the risk-free interest rate assumption on observed interest rates appropriate for the expected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 grants.</w:t>
      </w:r>
    </w:p>
    <w:p>
      <w:pPr>
        <w:spacing w:after="0" w:line="50"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bases the expected dividend yield assumption on the fact that it has never paid cash dividends and has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intention to pay cash dividends.</w:t>
      </w:r>
    </w:p>
    <w:p>
      <w:pPr>
        <w:spacing w:after="0" w:line="50"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Company based the expected volatility on the historical volatility of its common stock over the most recent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commensurate with the estimated expected term of the Company’s stock options, as the Company determined there was sufficient operating history and company-specific historical volatility to estimate the expected volatility.</w:t>
      </w:r>
    </w:p>
    <w:p>
      <w:pPr>
        <w:spacing w:after="0" w:line="1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3" w:right="499" w:bottom="1440" w:gutter="0" w:footer="0" w:header="0"/>
        </w:sectPr>
      </w:pPr>
    </w:p>
    <w:bookmarkStart w:id="126" w:name="page127"/>
    <w:bookmarkEnd w:id="126"/>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of time that options are expected to be outstanding. The Company estimated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using historical experience and anticipated future exercise behavior.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Reserved for Future Issuance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is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86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40" w:type="dxa"/>
            <w:vAlign w:val="bottom"/>
          </w:tcPr>
          <w:p>
            <w:pPr>
              <w:spacing w:after="0"/>
              <w:rPr>
                <w:sz w:val="12"/>
                <w:szCs w:val="12"/>
                <w:color w:val="auto"/>
              </w:rPr>
            </w:pPr>
          </w:p>
        </w:tc>
        <w:tc>
          <w:tcPr>
            <w:tcW w:w="128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 (if converted)</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13,775,430</w:t>
            </w:r>
          </w:p>
        </w:tc>
        <w:tc>
          <w:tcPr>
            <w:tcW w:w="100" w:type="dxa"/>
            <w:vAlign w:val="bottom"/>
            <w:shd w:val="clear" w:color="auto" w:fill="CCECFF"/>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13,805,540</w:t>
            </w:r>
          </w:p>
        </w:tc>
        <w:tc>
          <w:tcPr>
            <w:tcW w:w="80" w:type="dxa"/>
            <w:vAlign w:val="bottom"/>
            <w:shd w:val="clear" w:color="auto" w:fill="CCEC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10,722,674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9,850,841</w:t>
            </w:r>
          </w:p>
        </w:tc>
        <w:tc>
          <w:tcPr>
            <w:tcW w:w="8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6,214,064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3,065,087</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Awards available under the 2022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11,656,109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8,633,496</w:t>
            </w:r>
          </w:p>
        </w:tc>
        <w:tc>
          <w:tcPr>
            <w:tcW w:w="8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available under the Inducement Plan</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920,688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689,750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43,288,965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36,044,714</w:t>
            </w:r>
          </w:p>
        </w:tc>
        <w:tc>
          <w:tcPr>
            <w:tcW w:w="8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Company’s expected federal income tax provision (benefit) to the actual income tax provision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11"/>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9"/>
        </w:trPr>
        <w:tc>
          <w:tcPr>
            <w:tcW w:w="1140" w:type="dxa"/>
            <w:vAlign w:val="bottom"/>
          </w:tcPr>
          <w:p>
            <w:pPr>
              <w:spacing w:after="0"/>
              <w:rPr>
                <w:sz w:val="18"/>
                <w:szCs w:val="18"/>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computed at federal statutory rate</w:t>
            </w:r>
          </w:p>
        </w:tc>
        <w:tc>
          <w:tcPr>
            <w:tcW w:w="2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(39,115 )</w:t>
            </w:r>
          </w:p>
        </w:tc>
        <w:tc>
          <w:tcPr>
            <w:tcW w:w="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(33,794 )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 net of federal tax benefit</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(8,429 )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(4,851 )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(2,305 )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tax credits</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(7,672 )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(5,773 )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1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(135 )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38,122</w:t>
            </w: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27,715</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24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700" w:type="dxa"/>
            <w:vAlign w:val="bottom"/>
            <w:gridSpan w:val="2"/>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53"/>
        </w:trPr>
        <w:tc>
          <w:tcPr>
            <w:tcW w:w="8260" w:type="dxa"/>
            <w:vAlign w:val="bottom"/>
            <w:gridSpan w:val="8"/>
          </w:tcPr>
          <w:p>
            <w:pPr>
              <w:jc w:val="right"/>
              <w:ind w:right="24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summarized as follows (in thousands):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4"/>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R&amp;D expense</w:t>
            </w:r>
          </w:p>
        </w:tc>
        <w:tc>
          <w:tcPr>
            <w:tcW w:w="2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127,559</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134,209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1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147,019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112,810</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tax credits</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1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342,630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(5,639 )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(9,796 )</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(13,029 )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(18,668 )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of deferred tax assets and liabilities</w:t>
            </w:r>
          </w:p>
        </w:tc>
        <w:tc>
          <w:tcPr>
            <w:tcW w:w="1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362,084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323,962</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(362,084 )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(323,962 )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9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6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gridSpan w:val="2"/>
          </w:tcPr>
          <w:p>
            <w:pPr>
              <w:spacing w:after="0"/>
              <w:rPr>
                <w:sz w:val="21"/>
                <w:szCs w:val="21"/>
                <w:color w:val="auto"/>
              </w:rPr>
            </w:pPr>
          </w:p>
        </w:tc>
        <w:tc>
          <w:tcPr>
            <w:tcW w:w="1120" w:type="dxa"/>
            <w:vAlign w:val="bottom"/>
          </w:tcPr>
          <w:p>
            <w:pPr>
              <w:spacing w:after="0"/>
              <w:rPr>
                <w:sz w:val="21"/>
                <w:szCs w:val="21"/>
                <w:color w:val="auto"/>
              </w:rPr>
            </w:pPr>
          </w:p>
        </w:tc>
      </w:tr>
      <w:tr>
        <w:trPr>
          <w:trHeight w:val="723"/>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98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-4182745</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-4182745</wp:posOffset>
            </wp:positionV>
            <wp:extent cx="596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-2133600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-2133600</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-1576705</wp:posOffset>
            </wp:positionV>
            <wp:extent cx="603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-1576705</wp:posOffset>
            </wp:positionV>
            <wp:extent cx="603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-1285240</wp:posOffset>
            </wp:positionV>
            <wp:extent cx="603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-1285240</wp:posOffset>
            </wp:positionV>
            <wp:extent cx="603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-993775</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-976630</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-993775</wp:posOffset>
            </wp:positionV>
            <wp:extent cx="6032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-976630</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27" w:name="page128"/>
    <w:bookmarkEnd w:id="127"/>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 valuation allowance of $362.1 million and $324.0 million at December 31, 2024 and 2023, respectively, has been established to offset the deferred tax assets, as realization of such assets is uncertain.</w:t>
      </w:r>
    </w:p>
    <w:p>
      <w:pPr>
        <w:spacing w:after="0" w:line="54"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2024, the Company had federal and state net operating loss (NOL) carryforwards of $689.2 million and $644.2 million, respectively, which may be available to offset future taxable income. The federal and California NOL carryforwards begin to expire in 2027 and 2028, respectively, unless previously utilized. At December 31, 2024, the Company had federal and California research and development (R&amp;D) credit carryforwards of $45.6 million and $37.8 million, respectively. The federal R&amp;D tax credit carryforwards will begin to expire in 2035 unless previously utilized. The California R&amp;D credit carryforwards will carry forward indefinitely.</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substantial changes in the Company’s ownership may limit the amount of net operating loss and research and development credit carryforwards that could be used annually in the future to offset taxable income. The tax benefits related to future utilization of federal and state net operating loss carryforwards, credit carryforwards, and other deferred tax assets may be limited or lost if cumulative changes in ownership exceeds 50% within any three-year period. The Company completed a study to assess whether an ownership change, as defined by Section 382 of the Code, had occurred from the Company’s formation through December 31, 2015. Based upon this study, the Company determined that several ownership changes had occurred. Accordingly, the Company reduced its deferred tax assets related to the federal NOL carryforwards and the federal R&amp;D credit carryforwards that are anticipated to expire unused as a result of these ownership changes. These tax attributes were excluded from deferred tax assets with a corresponding reduction of the valuation allowance with no net effect on income tax expense or the effective tax rate. The Company updated the study December 31, 2024 and concluded there were no ownership changes during 2024. Future ownership changes may further limit the Company’s ability to utilize its remaining tax attributes.</w:t>
      </w:r>
    </w:p>
    <w:p>
      <w:pPr>
        <w:spacing w:after="0" w:line="8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various state jurisdictions, and the Netherlands with varying statutes of limitations. The Company currently has no years under examination by any jurisdiction; however, the Company is subject to income tax examination by federal and state tax authorities for years beginning in 2021 and 2020, respectively. However, to the extent allowed by law, the taxing authorities may have the right to examine prior periods where NOLs and tax credits were generated and carried forward, and make adjustments up to the amount of the carryforwards.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the Company’s unrecognized tax benefits is summarized as follows (in thousands):</w:t>
      </w:r>
    </w:p>
    <w:p>
      <w:pPr>
        <w:spacing w:after="0" w:line="300"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3"/>
        </w:trPr>
        <w:tc>
          <w:tcPr>
            <w:tcW w:w="4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9"/>
                <w:szCs w:val="19"/>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unrecognized tax benefits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59,680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52,767</w:t>
            </w:r>
          </w:p>
        </w:tc>
        <w:tc>
          <w:tcPr>
            <w:tcW w:w="2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2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Increase related to prior year tax positions</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(207 )</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(2,901 )</w:t>
            </w:r>
          </w:p>
        </w:tc>
      </w:tr>
      <w:tr>
        <w:trPr>
          <w:trHeight w:val="250"/>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unrecognized tax benefits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70,505</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59,680</w:t>
            </w:r>
          </w:p>
        </w:tc>
        <w:tc>
          <w:tcPr>
            <w:tcW w:w="2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-24765</wp:posOffset>
            </wp:positionV>
            <wp:extent cx="596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596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does not anticipate that the amount of unrecognized tax benefits as of December 31, 2024 will significantly change within the next twelve months. Due to the valuation allowance recorded against the Company’s deferred tax assets, none of the total unrecognized tax benefits as of December 31, 2024 would reduce the effective tax rate if recognized. The Company recognizes interest and penalties related to unrecognized tax benefits within income tax expense. The Company has not recognized interest or penalties related to income tax matters in its consolidated statements of operations and comprehensive loss since inception.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Company has one reportable segment relating to its operations. The segment derives its current revenues from research and development collaborations.</w:t>
      </w:r>
    </w:p>
    <w:p>
      <w:pPr>
        <w:spacing w:after="0" w:line="94"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(the CODM), its Chief Executive Officer, manages the Company’s operations on an integrated basis for the purposes of allocating resources. When evaluating the Company’s financial performance, the CODM reviews total revenues, total expenses and expenses by certain categories and makes decisions using this information.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is a summary of the segment profit or loss, including significant segment expenses (in thousands):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7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9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1240" w:type="dxa"/>
            <w:vAlign w:val="bottom"/>
            <w:gridSpan w:val="3"/>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Personnel costs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63,454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Clinical programs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Research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Facilities costs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26,005</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segment expenses (1)</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113,065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105,528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5"/>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223,907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254,044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291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200" w:right="2560"/>
        <w:spacing w:after="0" w:line="258" w:lineRule="auto"/>
        <w:rPr>
          <w:sz w:val="20"/>
          <w:szCs w:val="20"/>
          <w:color w:val="auto"/>
        </w:rPr>
      </w:pPr>
      <w:r>
        <w:rPr>
          <w:rFonts w:ascii="Times New Roman" w:cs="Times New Roman" w:eastAsia="Times New Roman" w:hAnsi="Times New Roman"/>
          <w:sz w:val="18"/>
          <w:szCs w:val="18"/>
          <w:color w:val="auto"/>
        </w:rPr>
        <w:t>Change in fair value of stock price appreciation milestones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6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color w:val="auto"/>
        </w:rPr>
        <w:t>Total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(210,276 )</w:t>
            </w:r>
          </w:p>
        </w:tc>
        <w:tc>
          <w:tcPr>
            <w:tcW w:w="5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(190,511 )</w:t>
            </w:r>
          </w:p>
        </w:tc>
        <w:tc>
          <w:tcPr>
            <w:tcW w:w="0" w:type="dxa"/>
            <w:vAlign w:val="bottom"/>
          </w:tcPr>
          <w:p>
            <w:pPr>
              <w:spacing w:after="0"/>
              <w:rPr>
                <w:sz w:val="1"/>
                <w:szCs w:val="1"/>
                <w:color w:val="auto"/>
              </w:rPr>
            </w:pPr>
          </w:p>
        </w:tc>
      </w:tr>
      <w:tr>
        <w:trPr>
          <w:trHeight w:val="394"/>
        </w:trPr>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24,014</w:t>
            </w:r>
          </w:p>
        </w:tc>
        <w:tc>
          <w:tcPr>
            <w:tcW w:w="2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29,583</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(186,262</w:t>
            </w:r>
          </w:p>
        </w:tc>
        <w:tc>
          <w:tcPr>
            <w:tcW w:w="280" w:type="dxa"/>
            <w:vAlign w:val="bottom"/>
            <w:vMerge w:val="continue"/>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000" w:space="720"/>
            <w:col w:w="3520"/>
          </w:cols>
          <w:pgMar w:left="320" w:top="118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 Other segment expenses include stock compensation expense, depreciation, legal fees, general &amp; administrative expenses, and corporate expenses.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Benefits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Effective January 1, 2009, the Company adopted a defined contribution 401(k) plan for employees who are at least 21 years of age. Employees are eligible to participate in the plan beginning on the first day of the calendar quarter following date of hire. Under the terms of the plan, employees may make voluntary contributions as a percent of compensation. The Company makes discretionary contributions to the 401(k) Plan equal to 100 percent of each employee’s pretax contributions up to 20 percent of the IRS Standard Limit. The Company’s total contributions to the 401(k) Plan were $0.7 million and $1.9 million for the years ended December 31, 2024 and 2023, respectively.</w:t>
      </w:r>
    </w:p>
    <w:p>
      <w:pPr>
        <w:spacing w:after="0" w:line="287" w:lineRule="exact"/>
        <w:rPr>
          <w:sz w:val="20"/>
          <w:szCs w:val="20"/>
          <w:color w:val="auto"/>
        </w:rPr>
      </w:pPr>
    </w:p>
    <w:p>
      <w:pPr>
        <w:ind w:right="8420" w:firstLine="8"/>
        <w:spacing w:after="0" w:line="378" w:lineRule="auto"/>
        <w:tabs>
          <w:tab w:leader="none" w:pos="27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License Agreements</w:t>
      </w: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has entered into exclusive license agreements with certain academic institutions and universities pursuant to which the Company acquired certain intellectual property. Pursuant to each agreement, as consideration for an exclusive license to the intellectual property, the Company paid a license fee, reimbursed the institution for historical patent costs and, in certain instances, issued the institution shares of restricted common stock. Additionally, under each agreement, the institution is generally eligible to receive future consideration including, but not limited to, annual maintenance fees, royalties, milestone payments and sublicensing fees. Each of the license agreements is generally cancelable by the Company, given appropriate prior written notice. Minimum annual payments to maintain these cancelable licenses total an aggregate of $0.4 million. See Note 2 for additional information on certain licenses.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During the reporting period, the Company pursued claims in two lawsuits that were filed in 2022 against Shoreline Biosciences, Inc. (Shoreline) and certain of its founders and officers (collectively, the Shoreline litigations). The first suit, filed on May 13, 2022, was pending in San Diego Superior Court against Shoreline and four of its founders, Drs. Dan S. Kaufman (Kaufman), Kleanthis G. Xanthopoulos, and Messrs. William Sandborn and Steven Holtzman. The Company's claims included actions for breach of contract, breach of implied covenant of good faith and fair dealing, fraud and deceit, tortious interference, restitution and unfair competition. On August 9, 2024, the court denied the defendants’ motions for summary judgment preserving for trial all of the Company’s claims against the defendants, with the exception of defendants’ motions with respect to certain theories under the Company’s tortious interference claim (which claim by Fate was otherwise preserved for trial). On September 19, 2024, the court denied defendants’ motion for reconsideration of its summary judgment ruling. Trial began on October 21, 2024, with a jury selected on October 24, 2024. On October 28, 2024, the parties entered a settlement agreement resolving the litigation on terms agreeable to all parties, pursuant to which the Company filed a request for dismissal with prejudice of all claims on October 31, 2024.</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type w:val="continuous"/>
        </w:sectPr>
      </w:pPr>
    </w:p>
    <w:bookmarkStart w:id="129" w:name="page130"/>
    <w:bookmarkEnd w:id="129"/>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second of the Shoreline litigations, also filed on May 13, 2022, the Company and Whitehead Institute for Biomedical Research (Whitehead) filed a lawsuit in the U.S. District Court for the Southern District of California against Shoreline and Kaufman seeking monetary damages for the defendants’ infringement of U.S. Patent Nos. 8,071,369, 8,932,856, 8,951,797, 8,940,536, 9,169,490, 10,457,917, and 10,017,744. On June 7, 2023, the Company and Whitehead filed a motion to dismiss our patent infringement claims against Kaufman in his personal capacity; that motion was granted on June 9, 2023. On August 30, 2023, the court granted Shoreline’s motion for summary judgment and denied the Company’s motion for partial summary judgment as moot. Judgment in favor of Shoreline was entered on August 31, 2023. On September 27, 2023, the Company and Whitehead filed a Notice of Appeal with the Court of Appeals for the Federal Circuit challenging the trial court’s claim construction and grant of summary judgment in favor of the defendants; the defendants cross-appealed challenging the district court’s earlier denial of a motion to dismiss and partial motion for summary judgment on other grounds. The Federal Circuit docketed the case on October 5, 2023, and briefing was completed on June 26, 2024. On October 28, 2024, the parties entered a settlement agreement resolving the litigation on terms agreeable to all parties, pursuant to which the parties filed a joint notice of dismissal of the appeal and cross-appeal on October 31, 2024.</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a purported stockholder of the Company filed a securities class action lawsuit against the Company and certain of its officers captioned Hadian v. Fate Therapeutics, Inc. et al. in the U.S. District Court for the Southern District of California (the Securities Action). On May 4, 2023, the court appointed a different purported stockholder of the Company to serve as lead plaintiff in the Securities Action. On July 24, 2023, the lead plaintiff filed an amended complaint. The amended complaint alleged that the Company violated the federal securities laws by making allegedly false and/or misleading statements and/or omissions in its public disclosures dating back to August 2020 relating to the Company’s collaboration agreement with Janssen Biotech, Inc. (the Janssen Agreement), potential product candidates subject to the Janssen Agreement, and the termination of the Janssen Agreement. On September 22, 2023, the Company filed a motion to dismiss the amended complaint. On September 19, 2024, the court granted the Company’s motion to dismiss the amended complaint, with leave for plaintiff to file a second amended complaint. On October 18, 2024, the lead plaintiff filed a second amended complaint alleging substantially similar facts and claims as in the prior amended complaint. The Company filed a motion to dismiss the second amended complaint on November 18, 2024, and briefing on the motion was completed on January 21, 2025. The Company intends to continue to vigorously defend against this action.</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June 2, 2023, a derivative complaint, captioned Guarino v. Wolchko, et al., was filed by a purported stockholder of the Company in the U.S. District Court for the Southern District of California (the Guarino Action). On June 12, 2024, an additional derivative complaint, captioned Horrobin v. Wolchko, et al., was filed by a purported stockholder of the Company in the same district (the Horrobin Action). On December 3, 2024, the court entered an order consolidating the Guarino Action and the Horrobin Action under the caption In re Fate Therapeutics, Inc. Derivative Litigation (the Derivative Action) and staying the Derivative Action pending the court’s decision on our motion to dismiss the second amended complaint in the Securities Action. The court’s ruling on the motion is pending. The Derivative Action names members of the Company’s board of directors and certain officers as defendants. The Company is also named as a nominal defendant. The plaintiffs in the Derivative Actions assert derivative claims arising out of substantially the same alleged facts and circumstances as the Securities Action. The Guarino complaint asserts claims for breach of fiduciary duty, unjust enrichment, abuse of control, gross mismanagement, waste of corporate assets, and violation of federal securities laws. The Horrobin complaint asserts substantially similar claims in addition to a claim of breach of fiduciary duty for insider trading. The Company intends to vigorously defend against the Derivative Action.</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the Company may be subject to various other legal proceedings and claims that arise in the ordinary course of business activities.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California Institute for Regenerative Medicine Award</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On January 30, 2025, the Company received approval from CIRM for funding of a $4.0 million grant to support the conduct of pre-clinical and IND-enabling activities for FT836.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with Chief Executive Officer</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March 3, 2025, the Company entered into an Employment Agreement (the “Employment Agreement”) with Bahram Valamehr (“Valamehr”). Pursuant to the Employment Agreement, Dr. Valamehr will have the customary powers and responsibilities of a chief executive officer of a corporation of the size and type of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We are responsible for maintaining disclosure controls and procedures, as defined in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13a-15(e) and 15d-15(e) under the Exchange Act. Disclosure controls and procedures are controls and other procedures designed to ensure that the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the individual serving as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and management necessarily applies its judgment in evaluating the cost-benefit relationship of possible controls and procedures.</w:t>
      </w:r>
    </w:p>
    <w:p>
      <w:pPr>
        <w:spacing w:after="0" w:line="84"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Based on our management’s evaluation (with the participation of the individual who serves as our principal executive officer and principal financial officer) of our disclosure controls and procedures as required by Rules 13a-15 and 15d-15 under the Exchange Act, the individual serving as our principal executive officer and principal financial officer has concluded that our disclosure controls and procedures were effective at the reasonable assurance level as of December 31, 2024, the end of the period covered by this report.</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Management’s Report on Internal Control Over Financial Reporting. </w:t>
      </w:r>
      <w:r>
        <w:rPr>
          <w:rFonts w:ascii="Times New Roman" w:cs="Times New Roman" w:eastAsia="Times New Roman" w:hAnsi="Times New Roman"/>
          <w:sz w:val="18"/>
          <w:szCs w:val="18"/>
          <w:color w:val="auto"/>
        </w:rPr>
        <w:t>The Company’s management is responsible for establishing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maintaining adequate internal control over financial reporting (as defined in Rules 13a-15(f) and 15d-15(f) of the Exchange Act). Internal control over financial reporting is a process designed under the supervision and with the participation of our management, including the individual serving as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 Management conducted an assessment of the effectiveness of the Company’s internal control over financial reporting based on the criteria set forth by the Committee of Sponsoring Organizations of the Treadway Commission in Internal Control—Integrated Framework (2013 Framework). Based on this assessment, our management concluded that, as of December 31, 2024, our internal control over financial reporting was effective based on those criteria.</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on internal control over financial reporting issued by our independent registered public accounting firm. Our auditors will not be required to opine on the effectiveness of our internal control over financial reporting pursuant to Section 404(b) of the Sarbanes-Oxley Act of 2002 as the Company is classified as a smaller reporting company.</w:t>
      </w:r>
    </w:p>
    <w:p>
      <w:pPr>
        <w:spacing w:after="0" w:line="64"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our internal control over financial reporting during the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2024 that have materially affected, or are reasonably likely to materially affect, our internal control over financial reporting.</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8-K Events.</w:t>
      </w:r>
    </w:p>
    <w:p>
      <w:pPr>
        <w:spacing w:after="0" w:line="117" w:lineRule="exact"/>
        <w:rPr>
          <w:sz w:val="20"/>
          <w:szCs w:val="20"/>
          <w:color w:val="auto"/>
        </w:rPr>
      </w:pPr>
    </w:p>
    <w:p>
      <w:pPr>
        <w:ind w:left="340" w:firstLine="419"/>
        <w:spacing w:after="0" w:line="253" w:lineRule="auto"/>
        <w:rPr>
          <w:sz w:val="20"/>
          <w:szCs w:val="20"/>
          <w:color w:val="auto"/>
        </w:rPr>
      </w:pPr>
      <w:r>
        <w:rPr>
          <w:rFonts w:ascii="Times New Roman" w:cs="Times New Roman" w:eastAsia="Times New Roman" w:hAnsi="Times New Roman"/>
          <w:sz w:val="18"/>
          <w:szCs w:val="18"/>
          <w:color w:val="auto"/>
        </w:rPr>
        <w:t>On March 3, 2025, the Company entered into an employment agreement with Bahram Valamehr, Ph.D., pursuant to which Dr. Valamehr serves as the Company’s President and Chief Executive Officer (the “Employment Agreement”). The Employment Agreement sets forth Dr. Valamehr’s then-current annual base salary, an option grant and his eligibility to participate in our incentive bonus and benefit plans generally. Pursuant to the Employment Agreement, Dr. Valamehr is eligible to receive an annual incentive compensation at a target percentage of 60% his annual base salary, as determined by the Board of Directors or the Compensation Committee from time to time. Dr. Valamehr’s employment is at-will. In the event that Dr. Valamehr’s employment is terminated by the Company without “Cause” (other than due to death or disability) or by Dr. Valamehr for “Good Reason” (as such terms are defined in the Employment Agreement), in each case outside of the “Sale Event Period” (as defined below), subject to his execution of a nonrevocable separation agreement and release, Dr. Valamehr will be entitled to (i) a lump sum cash payment equal to the sum of (A) twelve (12) months of Dr. Valamehr’s then-current base salary and (B) his annual target incentive compensation for the year of termination, and (ii) payment of the premiums for Dr. Valamehr’s and his family’s participation in the Company’s group health care plans, subject to Dr. Valamehr’s copayment amount, for up to twelve (12) months after such termination.</w:t>
      </w:r>
    </w:p>
    <w:p>
      <w:pPr>
        <w:spacing w:after="0" w:line="84" w:lineRule="exact"/>
        <w:rPr>
          <w:sz w:val="20"/>
          <w:szCs w:val="20"/>
          <w:color w:val="auto"/>
        </w:rPr>
      </w:pPr>
    </w:p>
    <w:p>
      <w:pPr>
        <w:ind w:left="340" w:right="60" w:firstLine="419"/>
        <w:spacing w:after="0" w:line="261" w:lineRule="auto"/>
        <w:rPr>
          <w:sz w:val="20"/>
          <w:szCs w:val="20"/>
          <w:color w:val="auto"/>
        </w:rPr>
      </w:pPr>
      <w:r>
        <w:rPr>
          <w:rFonts w:ascii="Times New Roman" w:cs="Times New Roman" w:eastAsia="Times New Roman" w:hAnsi="Times New Roman"/>
          <w:sz w:val="18"/>
          <w:szCs w:val="18"/>
          <w:color w:val="auto"/>
        </w:rPr>
        <w:t>Pursuant to the Employment Agreement, in the event that Dr. Valamehr’s employment is terminated by the Company without Cause (other than due to death or disability) or by Dr. Valamehr for Good Reason, in each case within the period beginning three months prior to and ending eighteen</w:t>
      </w:r>
    </w:p>
    <w:p>
      <w:pPr>
        <w:ind w:left="340" w:hanging="1"/>
        <w:spacing w:after="0" w:line="251"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a “Sale Event” (as defined in the 2022 Plan) (the “Sale Event Period”), subject to his execution of a nonrevocable separation agreement and release, Dr. Valamehr is entitled to (i) a lump sum cash payment equal to the sum of (A) eighteen (18) months of Dr. Valamehr’s then-current base salary (or base salary in effect immediately prior to the Sale Event, if higher) and (B) one and a half (1.5) times his annual target incentive compensation for the year of termination; (ii) full acceleration of vesting of all outstanding equity awards; provided, however, that for any equity awards that include a performance-based vesting condition, no acceleration of vesting will be provided unless the applicable performance-based vesting condition has been satisfied as of the date of Dr. Valamehr’s termination, provided further that, in determining whether achievement of a specified stock price has been satisfied, such price is satisfied to the extent that the consideration payable per share of common stock of the Company upon a Sale Event exceeds such stock price; and (iii) payment of the premiums for Dr. Valamehr’s and his family’s participation in the Company’s group health care plans, subject to Dr. Valamehr’s copayment amount, up to eighteen (18) months after such termination.</w:t>
      </w:r>
    </w:p>
    <w:p>
      <w:pPr>
        <w:spacing w:after="0" w:line="85" w:lineRule="exact"/>
        <w:rPr>
          <w:sz w:val="20"/>
          <w:szCs w:val="20"/>
          <w:color w:val="auto"/>
        </w:rPr>
      </w:pPr>
    </w:p>
    <w:p>
      <w:pPr>
        <w:ind w:left="340" w:right="80" w:firstLine="419"/>
        <w:spacing w:after="0" w:line="258" w:lineRule="auto"/>
        <w:rPr>
          <w:sz w:val="20"/>
          <w:szCs w:val="20"/>
          <w:color w:val="auto"/>
        </w:rPr>
      </w:pPr>
      <w:r>
        <w:rPr>
          <w:rFonts w:ascii="Times New Roman" w:cs="Times New Roman" w:eastAsia="Times New Roman" w:hAnsi="Times New Roman"/>
          <w:sz w:val="18"/>
          <w:szCs w:val="18"/>
          <w:color w:val="auto"/>
        </w:rPr>
        <w:t>The payments and benefits provided to Dr. Valamehr under the Employment Agreements in connection with a change of control may not be eligible for federal income tax deduction for the Company pursuant to Section 280G of the Code. These payments and benefits may also be subject to an excise tax under Section 4999 of the Code. If the payments or benefits payable to Dr. Valamehr in connection with a change of control would be subject to the excise tax imposed under Section 4999 of the Code, then those payments or benefits will be reduced if such reduction would result in a higher net after-tax benefit to him.</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 Rule 10b5-1 Trading Plans</w:t>
      </w:r>
    </w:p>
    <w:p>
      <w:pPr>
        <w:spacing w:after="0" w:line="117" w:lineRule="exact"/>
        <w:rPr>
          <w:sz w:val="20"/>
          <w:szCs w:val="20"/>
          <w:color w:val="auto"/>
        </w:rPr>
      </w:pPr>
    </w:p>
    <w:p>
      <w:pPr>
        <w:ind w:left="340" w:right="18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none of the Company’s directors or officers adopted, materially modified, or terminated any contract, instruction, or written plan for the purchase or sale of Company securities that was intended to satisfy the affirmative defense conditions of Rule 10b5-1(c) under the Exchange Act or any non-Rule 10b5-1 trading arrangement.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132" w:name="page133"/>
    <w:bookmarkEnd w:id="1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contained in our definitive proxy statement (the Proxy Statement), to be filed with the SEC in connection with the Annual Meeting of Stockholders within 120 days after the conclusion of our fiscal year ended December 31, 2024 and is incorporated in this Annual Report on Form 10-K by reference.</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Corporate Governance section of our website, which is located at www.fatetherapeutics.com. If we make any substantive amendments to, or grant any waivers from, the code of business conduct and ethics for our principal executive officer, principal financial officer, principal accounting officer, controller or persons performing similar functions, or any officer or director, we will disclose the nature of such amendment or waiver on our website or in a current report on Form 8-K.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Proxy Statement and is incorporated in this Annual Report on Form 10-K by reference, except as to information disclosed in the Proxy Statement pursuant to Item 402(v) of Regulation S-K relating to pay versus performance.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contained in the Proxy Statement and is incorporated in this Annual Report on Form 10-K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Party Transactions, and Director Independence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contained in the Proxy Statement and is incorporated in this Annual Report on Form 10-K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independent public accounting firm is Ernst &amp; Young, LLP, San Diego, CA, PCAOB Auditor ID 42.</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contained in the Proxy Statement and is incorporated in this Annual Report on Form 10-K by reference.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133" w:name="page134"/>
    <w:bookmarkEnd w:id="133"/>
    <w:tbl>
      <w:tblPr>
        <w:tblLayout w:type="fixed"/>
        <w:tblInd w:w="1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98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03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gridSpan w:val="7"/>
          </w:tcPr>
          <w:p>
            <w:pPr>
              <w:ind w:left="140"/>
              <w:spacing w:after="0"/>
              <w:rPr>
                <w:sz w:val="20"/>
                <w:szCs w:val="20"/>
                <w:color w:val="auto"/>
              </w:rPr>
            </w:pPr>
            <w:r>
              <w:rPr>
                <w:rFonts w:ascii="Times New Roman" w:cs="Times New Roman" w:eastAsia="Times New Roman" w:hAnsi="Times New Roman"/>
                <w:sz w:val="18"/>
                <w:szCs w:val="18"/>
                <w:i w:val="1"/>
                <w:iCs w:val="1"/>
                <w:color w:val="auto"/>
              </w:rPr>
              <w:t>Index list to 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52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5160" w:type="dxa"/>
            <w:vAlign w:val="bottom"/>
            <w:gridSpan w:val="2"/>
            <w:vMerge w:val="restart"/>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520" w:type="dxa"/>
            <w:vAlign w:val="bottom"/>
            <w:tcBorders>
              <w:bottom w:val="single" w:sz="8" w:color="0000FF"/>
            </w:tcBorders>
            <w:gridSpan w:val="7"/>
            <w:vMerge w:val="continue"/>
          </w:tcPr>
          <w:p>
            <w:pPr>
              <w:spacing w:after="0"/>
              <w:rPr>
                <w:sz w:val="14"/>
                <w:szCs w:val="14"/>
                <w:color w:val="auto"/>
              </w:rPr>
            </w:pPr>
          </w:p>
        </w:tc>
        <w:tc>
          <w:tcPr>
            <w:tcW w:w="5160" w:type="dxa"/>
            <w:vAlign w:val="bottom"/>
            <w:gridSpan w:val="2"/>
            <w:vMerge w:val="continue"/>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068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212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98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Convertible Preferred Stock and Stockholders’ Equity</w:t>
            </w:r>
          </w:p>
        </w:tc>
        <w:tc>
          <w:tcPr>
            <w:tcW w:w="47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78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068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other schedules are omitted because they are not required or the required information is included in the financial statements or notes thereto.</w:t>
      </w:r>
    </w:p>
    <w:p>
      <w:pPr>
        <w:spacing w:after="0" w:line="115"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8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80" w:type="dxa"/>
            <w:vAlign w:val="bottom"/>
            <w:gridSpan w:val="17"/>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Amended and Restated Certificate of Incorporation of the Registrant</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333-190608</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3.2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29, 2013</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Certificate of Amendment to Amended and Restated Certificate of Incorporation of</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7, 2021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25"/>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the Registrant, as currently in effect</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Certificate of Designation of Preferences, Rights and Limitations of Class A</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29, 2016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25"/>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Convertible Preferred Stock</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Amended and Restated Bylaws of the Registrant, as currently in effect</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w w:val="97"/>
              </w:rPr>
              <w:t>3.3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Certificate of Amendment to Certificate of Designation of Preferences, Rights and</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19, 2023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25"/>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Limitation of Class A Convertible Preferred Stock of the Registrant</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Certificate of Amendment to Amended and Restated Certificate of Incorporation of</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10, 2024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25"/>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the Registrant, as currently in effect</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Specimen Common Stock Certificate</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333-190608</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4.1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29, 2013</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Form of Pre-Funded Warrant</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4.1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8, 2021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EE"/>
            </w:tcBorders>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Form of Pre-Funded Warrant</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w w:val="97"/>
              </w:rPr>
              <w:t>4.1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21, 2024</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Description of Securities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w w:val="97"/>
              </w:rPr>
              <w:t>4.3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8, 2023</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Amended and Restated 2013 Stock Option and Incentive Plan and forms of</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w w:val="95"/>
              </w:rPr>
              <w:t>10.2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25"/>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agreements thereunder</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Form of Unrestricted Stock Award Agreement under the 2013 Stock Option and</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10.2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7, 2015</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7"/>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25"/>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Incentive Plan</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Amended and Restated Employment Agreement by and between the Registrant and</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w w:val="95"/>
              </w:rPr>
              <w:t>10.5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5, 2018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gridSpan w:val="8"/>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25"/>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Scott Wolchko, dated January 14, 2018</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EE"/>
            </w:tcBorders>
            <w:gridSpan w:val="8"/>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Amended and Restated Senior Executive Incentive Bonus Plan</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10.1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7, 2015</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right w:val="single" w:sz="8" w:color="0000FF"/>
            </w:tcBorders>
            <w:gridSpan w:val="9"/>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61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Amended and Restated Non-Employee Director Compensation Policy</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right w:val="single" w:sz="8" w:color="0000FF"/>
            </w:tcBorders>
            <w:gridSpan w:val="9"/>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Fate Therapeutics, Inc. Amended and Restated Inducement Equity Plan</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w w:val="95"/>
              </w:rPr>
              <w:t>10.8</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right w:val="single" w:sz="8" w:color="0000FF"/>
            </w:tcBorders>
            <w:gridSpan w:val="9"/>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Forms of Stock Option Agreement under the Registrant's Inducement Equity Plan</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w w:val="95"/>
              </w:rPr>
              <w:t>10.9</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right w:val="single" w:sz="8" w:color="0000FF"/>
            </w:tcBorders>
            <w:gridSpan w:val="9"/>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6140" w:type="dxa"/>
            <w:vAlign w:val="bottom"/>
            <w:gridSpan w:val="25"/>
          </w:tcPr>
          <w:p>
            <w:pPr>
              <w:spacing w:after="0"/>
              <w:rPr>
                <w:rFonts w:ascii="Times New Roman" w:cs="Times New Roman" w:eastAsia="Times New Roman" w:hAnsi="Times New Roman"/>
                <w:sz w:val="18"/>
                <w:szCs w:val="18"/>
                <w:color w:val="0000FF"/>
                <w:w w:val="99"/>
              </w:rPr>
            </w:pPr>
            <w:hyperlink r:id="rId366">
              <w:r>
                <w:rPr>
                  <w:rFonts w:ascii="Times New Roman" w:cs="Times New Roman" w:eastAsia="Times New Roman" w:hAnsi="Times New Roman"/>
                  <w:sz w:val="18"/>
                  <w:szCs w:val="18"/>
                  <w:color w:val="0000FF"/>
                  <w:w w:val="99"/>
                </w:rPr>
                <w:t>Forms of Restricted Stock Unit Award Agreement under the Registrant's Inducement</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252525"/>
              </w:rPr>
              <w:t>10.10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right w:val="single" w:sz="8" w:color="0000FF"/>
            </w:tcBorders>
            <w:gridSpan w:val="9"/>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25"/>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Equity Plan</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2500" w:type="dxa"/>
            <w:vAlign w:val="bottom"/>
            <w:gridSpan w:val="9"/>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Lease Agreement by and between the Registrant and ARE-3535/3565 General</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333-190608</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10.14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340" w:type="dxa"/>
            <w:vAlign w:val="bottom"/>
            <w:tcBorders>
              <w:right w:val="single" w:sz="8" w:color="0000FF"/>
            </w:tcBorders>
            <w:gridSpan w:val="10"/>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25"/>
          </w:tcPr>
          <w:p>
            <w:pPr>
              <w:spacing w:after="0" w:line="19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Atomics Court, LLC, dated December 3, 2009</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340" w:type="dxa"/>
            <w:vAlign w:val="bottom"/>
            <w:tcBorders>
              <w:right w:val="single" w:sz="8" w:color="0000EE"/>
            </w:tcBorders>
            <w:gridSpan w:val="10"/>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6140" w:type="dxa"/>
            <w:vAlign w:val="bottom"/>
            <w:gridSpan w:val="25"/>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First Amendment to Lease Agreement by and between the Registrant and ARE-</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333-190608</w:t>
            </w: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10.15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13, 2013</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580" w:type="dxa"/>
            <w:vAlign w:val="bottom"/>
            <w:gridSpan w:val="12"/>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25"/>
          </w:tcPr>
          <w:p>
            <w:pPr>
              <w:spacing w:after="0" w:line="19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3535/3565 General Atomics Court, LLC, dated October 1, 2011</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180" w:type="dxa"/>
            <w:vAlign w:val="bottom"/>
          </w:tcPr>
          <w:p>
            <w:pPr>
              <w:spacing w:after="0"/>
              <w:rPr>
                <w:sz w:val="24"/>
                <w:szCs w:val="24"/>
                <w:color w:val="auto"/>
              </w:rPr>
            </w:pPr>
          </w:p>
        </w:tc>
        <w:tc>
          <w:tcPr>
            <w:tcW w:w="4580" w:type="dxa"/>
            <w:vAlign w:val="bottom"/>
            <w:tcBorders>
              <w:top w:val="single" w:sz="8" w:color="0000FF"/>
            </w:tcBorders>
            <w:gridSpan w:val="1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6140" w:type="dxa"/>
            <w:vAlign w:val="bottom"/>
            <w:gridSpan w:val="14"/>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Second Amendment to Lease Agreement by and between the Registrant and ARE-</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333-190608</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2013</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4"/>
          </w:tcPr>
          <w:p>
            <w:pPr>
              <w:spacing w:after="0" w:line="19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3535/3565 General Atomics Court, dated September 26, 2013</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6140" w:type="dxa"/>
            <w:vAlign w:val="bottom"/>
            <w:gridSpan w:val="14"/>
          </w:tcPr>
          <w:p>
            <w:pPr>
              <w:spacing w:after="0"/>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Third Amendment to Lease Agreement by and between the Registrant and ARE-</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10.15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 2016</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4"/>
          </w:tcPr>
          <w:p>
            <w:pPr>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3535/3565 General Atomics Court, dated September 2, 2014</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6140" w:type="dxa"/>
            <w:vAlign w:val="bottom"/>
            <w:gridSpan w:val="14"/>
          </w:tcPr>
          <w:p>
            <w:pPr>
              <w:spacing w:after="0"/>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Fourth Amendment to Lease Agreement by and between the Registrant and ARE-</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10.16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 2016</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4"/>
          </w:tcPr>
          <w:p>
            <w:pPr>
              <w:spacing w:after="0" w:line="19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3535/3565 General Atomics Court, dated March 2, 2015</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6140" w:type="dxa"/>
            <w:vAlign w:val="bottom"/>
            <w:gridSpan w:val="14"/>
          </w:tcPr>
          <w:p>
            <w:pPr>
              <w:spacing w:after="0"/>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Fifth Amendment to Lease Agreement by and between the Registrant and ARE-</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8, 2016</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4"/>
          </w:tcPr>
          <w:p>
            <w:pPr>
              <w:spacing w:after="0" w:line="196"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3535/3565 General Atomics Court, dated June 1, 2016</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6140" w:type="dxa"/>
            <w:vAlign w:val="bottom"/>
            <w:gridSpan w:val="14"/>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Whitehead Institute for Biomedical Research Exclusive Patent License Agreement</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10.19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r>
      <w:tr>
        <w:trPr>
          <w:trHeight w:val="20"/>
        </w:trPr>
        <w:tc>
          <w:tcPr>
            <w:tcW w:w="1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4"/>
          </w:tcPr>
          <w:p>
            <w:pPr>
              <w:spacing w:after="0" w:line="19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between the Registrant and the Whitehead Institute for Biomedical Research, dated</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4"/>
          </w:tcPr>
          <w:p>
            <w:pPr>
              <w:spacing w:after="0" w:line="19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as of February 24, 2009</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6140" w:type="dxa"/>
            <w:vAlign w:val="bottom"/>
            <w:gridSpan w:val="14"/>
          </w:tcPr>
          <w:p>
            <w:pPr>
              <w:spacing w:after="0"/>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License Agreement between the Registrant and The Scripps Research Institute, dated</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10.20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r>
      <w:tr>
        <w:trPr>
          <w:trHeight w:val="20"/>
        </w:trPr>
        <w:tc>
          <w:tcPr>
            <w:tcW w:w="1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4"/>
          </w:tcPr>
          <w:p>
            <w:pPr>
              <w:spacing w:after="0" w:line="196"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as of July 13, 2009</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6140" w:type="dxa"/>
            <w:vAlign w:val="bottom"/>
            <w:gridSpan w:val="14"/>
          </w:tcPr>
          <w:p>
            <w:pPr>
              <w:spacing w:after="0"/>
              <w:rPr>
                <w:rFonts w:ascii="Times New Roman" w:cs="Times New Roman" w:eastAsia="Times New Roman" w:hAnsi="Times New Roman"/>
                <w:sz w:val="18"/>
                <w:szCs w:val="18"/>
                <w:color w:val="0000FF"/>
                <w:w w:val="99"/>
              </w:rPr>
            </w:pPr>
            <w:hyperlink r:id="rId377">
              <w:r>
                <w:rPr>
                  <w:rFonts w:ascii="Times New Roman" w:cs="Times New Roman" w:eastAsia="Times New Roman" w:hAnsi="Times New Roman"/>
                  <w:sz w:val="18"/>
                  <w:szCs w:val="18"/>
                  <w:color w:val="0000FF"/>
                  <w:w w:val="99"/>
                </w:rPr>
                <w:t>License Agreement between the Registrant and The Scripps Research Institute, dated</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10.21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r>
      <w:tr>
        <w:trPr>
          <w:trHeight w:val="20"/>
        </w:trPr>
        <w:tc>
          <w:tcPr>
            <w:tcW w:w="1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4"/>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as of May 25, 2010</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6140" w:type="dxa"/>
            <w:vAlign w:val="bottom"/>
            <w:gridSpan w:val="14"/>
          </w:tcPr>
          <w:p>
            <w:pPr>
              <w:spacing w:after="0"/>
              <w:rPr>
                <w:rFonts w:ascii="Times New Roman" w:cs="Times New Roman" w:eastAsia="Times New Roman" w:hAnsi="Times New Roman"/>
                <w:sz w:val="18"/>
                <w:szCs w:val="18"/>
                <w:color w:val="0000FF"/>
                <w:w w:val="99"/>
              </w:rPr>
            </w:pPr>
            <w:hyperlink r:id="rId378">
              <w:r>
                <w:rPr>
                  <w:rFonts w:ascii="Times New Roman" w:cs="Times New Roman" w:eastAsia="Times New Roman" w:hAnsi="Times New Roman"/>
                  <w:sz w:val="18"/>
                  <w:szCs w:val="18"/>
                  <w:color w:val="0000FF"/>
                  <w:w w:val="99"/>
                </w:rPr>
                <w:t>License Agreement between the Registrant and The Scripps Research Institute, dated</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10.22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r>
      <w:tr>
        <w:trPr>
          <w:trHeight w:val="20"/>
        </w:trPr>
        <w:tc>
          <w:tcPr>
            <w:tcW w:w="1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4"/>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as of August 24, 2010</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6140" w:type="dxa"/>
            <w:vAlign w:val="bottom"/>
            <w:gridSpan w:val="14"/>
          </w:tcPr>
          <w:p>
            <w:pPr>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Severance and Change in Control Policy</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10.32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5, 2018</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80" w:type="dxa"/>
            <w:vAlign w:val="bottom"/>
            <w:tcBorders>
              <w:right w:val="single" w:sz="8" w:color="0000EE"/>
            </w:tcBorders>
            <w:gridSpan w:val="4"/>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6140" w:type="dxa"/>
            <w:vAlign w:val="bottom"/>
            <w:gridSpan w:val="14"/>
          </w:tcPr>
          <w:p>
            <w:pPr>
              <w:spacing w:after="0"/>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Offer Letter by and between the Registrant and Cindy R. Tahl, dated October 23,</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5, 2019</w:t>
            </w:r>
          </w:p>
        </w:tc>
      </w:tr>
      <w:tr>
        <w:trPr>
          <w:trHeight w:val="20"/>
        </w:trPr>
        <w:tc>
          <w:tcPr>
            <w:tcW w:w="1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360" w:type="dxa"/>
            <w:vAlign w:val="bottom"/>
            <w:gridSpan w:val="2"/>
          </w:tcPr>
          <w:p>
            <w:pPr>
              <w:spacing w:after="0" w:line="19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2009</w:t>
              </w:r>
            </w:hyperlink>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53"/>
        </w:trPr>
        <w:tc>
          <w:tcPr>
            <w:tcW w:w="11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400" w:type="dxa"/>
            <w:vAlign w:val="bottom"/>
            <w:gridSpan w:val="9"/>
          </w:tcPr>
          <w:p>
            <w:pPr>
              <w:jc w:val="right"/>
              <w:ind w:right="116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63"/>
        </w:trPr>
        <w:tc>
          <w:tcPr>
            <w:tcW w:w="1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6060" w:type="dxa"/>
            <w:vAlign w:val="bottom"/>
            <w:gridSpan w:val="23"/>
          </w:tcPr>
          <w:p>
            <w:pPr>
              <w:spacing w:after="0"/>
              <w:rPr>
                <w:rFonts w:ascii="Times New Roman" w:cs="Times New Roman" w:eastAsia="Times New Roman" w:hAnsi="Times New Roman"/>
                <w:sz w:val="18"/>
                <w:szCs w:val="18"/>
                <w:color w:val="0000FF"/>
                <w:w w:val="99"/>
              </w:rPr>
            </w:pPr>
            <w:hyperlink r:id="rId383">
              <w:r>
                <w:rPr>
                  <w:rFonts w:ascii="Times New Roman" w:cs="Times New Roman" w:eastAsia="Times New Roman" w:hAnsi="Times New Roman"/>
                  <w:sz w:val="18"/>
                  <w:szCs w:val="18"/>
                  <w:color w:val="0000FF"/>
                  <w:w w:val="99"/>
                </w:rPr>
                <w:t>Sixth Amendment to the Lease Agreement by and between the Registrant and ARE-</w:t>
              </w:r>
            </w:hyperlink>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6, 2018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3535/3565 General Atomics Court, dated May 31, 2018</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6060" w:type="dxa"/>
            <w:vAlign w:val="bottom"/>
            <w:gridSpan w:val="23"/>
          </w:tcPr>
          <w:p>
            <w:pPr>
              <w:spacing w:after="0"/>
              <w:rPr>
                <w:rFonts w:ascii="Times New Roman" w:cs="Times New Roman" w:eastAsia="Times New Roman" w:hAnsi="Times New Roman"/>
                <w:sz w:val="18"/>
                <w:szCs w:val="18"/>
                <w:color w:val="0000FF"/>
                <w:w w:val="98"/>
              </w:rPr>
            </w:pPr>
            <w:hyperlink r:id="rId384">
              <w:r>
                <w:rPr>
                  <w:rFonts w:ascii="Times New Roman" w:cs="Times New Roman" w:eastAsia="Times New Roman" w:hAnsi="Times New Roman"/>
                  <w:sz w:val="18"/>
                  <w:szCs w:val="18"/>
                  <w:color w:val="0000FF"/>
                  <w:w w:val="98"/>
                </w:rPr>
                <w:t>Amended and Restated Exclusive License Agreement by and between the Registrant</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6, 2018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and Memorial Sloan Kettering Cancer Center, dated May 15, 2018</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6060" w:type="dxa"/>
            <w:vAlign w:val="bottom"/>
            <w:gridSpan w:val="23"/>
          </w:tcPr>
          <w:p>
            <w:pPr>
              <w:spacing w:after="0"/>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Exclusive License Agreement by and between the Registrant and The David</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 2018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Gladstone Institutes, dated September 11, 2018</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6060" w:type="dxa"/>
            <w:vAlign w:val="bottom"/>
            <w:gridSpan w:val="23"/>
          </w:tcPr>
          <w:p>
            <w:pPr>
              <w:spacing w:after="0"/>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Collaboration and Option Agreement by and between the Registrant and Ono</w:t>
              </w:r>
            </w:hyperlink>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52525"/>
                <w:w w:val="99"/>
              </w:rPr>
              <w:t>10-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8, 2019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Pharmaceutical Co., Ltd., dated September 14, 2018</w:t>
              </w:r>
            </w:hyperlink>
          </w:p>
        </w:tc>
        <w:tc>
          <w:tcPr>
            <w:tcW w:w="8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252525"/>
                <w:w w:val="96"/>
              </w:rPr>
              <w:t>Q/A</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w:t>
            </w:r>
          </w:p>
        </w:tc>
        <w:tc>
          <w:tcPr>
            <w:tcW w:w="6060" w:type="dxa"/>
            <w:vAlign w:val="bottom"/>
            <w:gridSpan w:val="23"/>
          </w:tcPr>
          <w:p>
            <w:pPr>
              <w:spacing w:after="0"/>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Offer Letter by and between the Registrant and Bahram Valamehr, dated November</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10.38</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5, 2019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20" w:type="dxa"/>
            <w:vAlign w:val="bottom"/>
            <w:gridSpan w:val="2"/>
          </w:tcPr>
          <w:p>
            <w:pPr>
              <w:spacing w:after="0" w:line="196" w:lineRule="exact"/>
              <w:rPr>
                <w:rFonts w:ascii="Times New Roman" w:cs="Times New Roman" w:eastAsia="Times New Roman" w:hAnsi="Times New Roman"/>
                <w:sz w:val="18"/>
                <w:szCs w:val="18"/>
                <w:color w:val="0000FF"/>
                <w:w w:val="91"/>
              </w:rPr>
            </w:pPr>
            <w:hyperlink r:id="rId387">
              <w:r>
                <w:rPr>
                  <w:rFonts w:ascii="Times New Roman" w:cs="Times New Roman" w:eastAsia="Times New Roman" w:hAnsi="Times New Roman"/>
                  <w:sz w:val="18"/>
                  <w:szCs w:val="18"/>
                  <w:color w:val="0000FF"/>
                  <w:w w:val="91"/>
                </w:rPr>
                <w:t>23, 2009</w:t>
              </w:r>
            </w:hyperlink>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6060" w:type="dxa"/>
            <w:vAlign w:val="bottom"/>
            <w:gridSpan w:val="23"/>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Lease Agreement by and between the Registrant and Scripps Summit Investments</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 2020</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LLC, dated January 7, 2020</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10.27†</w:t>
            </w:r>
          </w:p>
        </w:tc>
        <w:tc>
          <w:tcPr>
            <w:tcW w:w="6060" w:type="dxa"/>
            <w:vAlign w:val="bottom"/>
            <w:gridSpan w:val="23"/>
          </w:tcPr>
          <w:p>
            <w:pPr>
              <w:spacing w:after="0"/>
              <w:rPr>
                <w:rFonts w:ascii="Times New Roman" w:cs="Times New Roman" w:eastAsia="Times New Roman" w:hAnsi="Times New Roman"/>
                <w:sz w:val="18"/>
                <w:szCs w:val="18"/>
                <w:color w:val="0000FF"/>
                <w:w w:val="99"/>
              </w:rPr>
            </w:pPr>
            <w:hyperlink r:id="rId389">
              <w:r>
                <w:rPr>
                  <w:rFonts w:ascii="Times New Roman" w:cs="Times New Roman" w:eastAsia="Times New Roman" w:hAnsi="Times New Roman"/>
                  <w:sz w:val="18"/>
                  <w:szCs w:val="18"/>
                  <w:color w:val="0000FF"/>
                  <w:w w:val="99"/>
                </w:rPr>
                <w:t>Letter Agreement, dated December 4, 2020, by and between the Registrant and Ono</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10.39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Pharmaceutical Co., Ltd.</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w:t>
            </w:r>
          </w:p>
        </w:tc>
        <w:tc>
          <w:tcPr>
            <w:tcW w:w="6060" w:type="dxa"/>
            <w:vAlign w:val="bottom"/>
            <w:gridSpan w:val="23"/>
          </w:tcPr>
          <w:p>
            <w:pP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Patent License Agreement by and between the Registrant and Max-Delbrück-</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10.40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w w:val="99"/>
              </w:rPr>
            </w:pPr>
            <w:hyperlink r:id="rId390">
              <w:r>
                <w:rPr>
                  <w:rFonts w:ascii="Times New Roman" w:cs="Times New Roman" w:eastAsia="Times New Roman" w:hAnsi="Times New Roman"/>
                  <w:sz w:val="18"/>
                  <w:szCs w:val="18"/>
                  <w:color w:val="0000FF"/>
                  <w:w w:val="99"/>
                </w:rPr>
                <w:t>Centrum für Molekulare Medizin in der Helmholtz-Gemeinschaft, dated August 30,</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60" w:type="dxa"/>
            <w:vAlign w:val="bottom"/>
          </w:tcPr>
          <w:p>
            <w:pPr>
              <w:spacing w:after="0" w:line="196" w:lineRule="exact"/>
              <w:rPr>
                <w:rFonts w:ascii="Times New Roman" w:cs="Times New Roman" w:eastAsia="Times New Roman" w:hAnsi="Times New Roman"/>
                <w:sz w:val="18"/>
                <w:szCs w:val="18"/>
                <w:color w:val="0000FF"/>
                <w:w w:val="88"/>
              </w:rPr>
            </w:pPr>
            <w:hyperlink r:id="rId390">
              <w:r>
                <w:rPr>
                  <w:rFonts w:ascii="Times New Roman" w:cs="Times New Roman" w:eastAsia="Times New Roman" w:hAnsi="Times New Roman"/>
                  <w:sz w:val="18"/>
                  <w:szCs w:val="18"/>
                  <w:color w:val="0000FF"/>
                  <w:w w:val="88"/>
                </w:rPr>
                <w:t>2019</w:t>
              </w:r>
            </w:hyperlink>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spacing w:after="0"/>
              <w:rPr>
                <w:rFonts w:ascii="Times New Roman" w:cs="Times New Roman" w:eastAsia="Times New Roman" w:hAnsi="Times New Roman"/>
                <w:sz w:val="12"/>
                <w:szCs w:val="12"/>
                <w:color w:val="0000FF"/>
              </w:rPr>
            </w:pPr>
            <w:hyperlink r:id="rId391">
              <w:r>
                <w:rPr>
                  <w:rFonts w:ascii="Times New Roman" w:cs="Times New Roman" w:eastAsia="Times New Roman" w:hAnsi="Times New Roman"/>
                  <w:sz w:val="12"/>
                  <w:szCs w:val="12"/>
                  <w:color w:val="0000FF"/>
                </w:rPr>
                <w:t>SM</w:t>
              </w:r>
            </w:hyperlink>
          </w:p>
        </w:tc>
        <w:tc>
          <w:tcPr>
            <w:tcW w:w="17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2120" w:type="dxa"/>
            <w:vAlign w:val="bottom"/>
            <w:gridSpan w:val="6"/>
            <w:vMerge w:val="restart"/>
          </w:tcPr>
          <w:p>
            <w:pPr>
              <w:spacing w:after="0"/>
              <w:rPr>
                <w:rFonts w:ascii="Times New Roman" w:cs="Times New Roman" w:eastAsia="Times New Roman" w:hAnsi="Times New Roman"/>
                <w:sz w:val="18"/>
                <w:szCs w:val="18"/>
                <w:color w:val="0000FF"/>
                <w:w w:val="97"/>
              </w:rPr>
            </w:pPr>
            <w:hyperlink r:id="rId391">
              <w:r>
                <w:rPr>
                  <w:rFonts w:ascii="Times New Roman" w:cs="Times New Roman" w:eastAsia="Times New Roman" w:hAnsi="Times New Roman"/>
                  <w:sz w:val="18"/>
                  <w:szCs w:val="18"/>
                  <w:color w:val="0000FF"/>
                  <w:w w:val="97"/>
                </w:rPr>
                <w:t>Open Market Sale Agreement</w:t>
              </w:r>
            </w:hyperlink>
          </w:p>
        </w:tc>
        <w:tc>
          <w:tcPr>
            <w:tcW w:w="200" w:type="dxa"/>
            <w:vAlign w:val="bottom"/>
            <w:tcBorders>
              <w:bottom w:val="single" w:sz="8" w:color="0000FF"/>
            </w:tcBorders>
            <w:gridSpan w:val="2"/>
            <w:vMerge w:val="continue"/>
          </w:tcPr>
          <w:p>
            <w:pPr>
              <w:spacing w:after="0"/>
              <w:rPr>
                <w:sz w:val="24"/>
                <w:szCs w:val="24"/>
                <w:color w:val="auto"/>
              </w:rPr>
            </w:pPr>
          </w:p>
        </w:tc>
        <w:tc>
          <w:tcPr>
            <w:tcW w:w="3740" w:type="dxa"/>
            <w:vAlign w:val="bottom"/>
            <w:gridSpan w:val="15"/>
            <w:vMerge w:val="restart"/>
          </w:tcPr>
          <w:p>
            <w:pPr>
              <w:spacing w:after="0"/>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 dated November 8, 2023, by and between the</w:t>
              </w:r>
            </w:hyperlink>
          </w:p>
        </w:tc>
        <w:tc>
          <w:tcPr>
            <w:tcW w:w="8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52525"/>
              </w:rPr>
              <w:t>S-3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52525"/>
                <w:w w:val="98"/>
              </w:rPr>
              <w:t>333-275402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52525"/>
                <w:w w:val="97"/>
              </w:rPr>
              <w:t>1.2</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November 8, 2023</w:t>
            </w:r>
          </w:p>
        </w:tc>
        <w:tc>
          <w:tcPr>
            <w:tcW w:w="0" w:type="dxa"/>
            <w:vAlign w:val="bottom"/>
          </w:tcPr>
          <w:p>
            <w:pPr>
              <w:spacing w:after="0"/>
              <w:rPr>
                <w:sz w:val="1"/>
                <w:szCs w:val="1"/>
                <w:color w:val="auto"/>
              </w:rPr>
            </w:pPr>
          </w:p>
        </w:tc>
      </w:tr>
      <w:tr>
        <w:trPr>
          <w:trHeight w:val="61"/>
        </w:trPr>
        <w:tc>
          <w:tcPr>
            <w:tcW w:w="1180" w:type="dxa"/>
            <w:vAlign w:val="bottom"/>
            <w:vMerge w:val="continue"/>
          </w:tcPr>
          <w:p>
            <w:pPr>
              <w:spacing w:after="0"/>
              <w:rPr>
                <w:sz w:val="5"/>
                <w:szCs w:val="5"/>
                <w:color w:val="auto"/>
              </w:rPr>
            </w:pPr>
          </w:p>
        </w:tc>
        <w:tc>
          <w:tcPr>
            <w:tcW w:w="2120" w:type="dxa"/>
            <w:vAlign w:val="bottom"/>
            <w:gridSpan w:val="6"/>
            <w:vMerge w:val="continue"/>
          </w:tcPr>
          <w:p>
            <w:pPr>
              <w:spacing w:after="0"/>
              <w:rPr>
                <w:sz w:val="5"/>
                <w:szCs w:val="5"/>
                <w:color w:val="auto"/>
              </w:rPr>
            </w:pPr>
          </w:p>
        </w:tc>
        <w:tc>
          <w:tcPr>
            <w:tcW w:w="200" w:type="dxa"/>
            <w:vAlign w:val="bottom"/>
            <w:gridSpan w:val="2"/>
          </w:tcPr>
          <w:p>
            <w:pPr>
              <w:spacing w:after="0"/>
              <w:rPr>
                <w:sz w:val="5"/>
                <w:szCs w:val="5"/>
                <w:color w:val="auto"/>
              </w:rPr>
            </w:pPr>
          </w:p>
        </w:tc>
        <w:tc>
          <w:tcPr>
            <w:tcW w:w="3740" w:type="dxa"/>
            <w:vAlign w:val="bottom"/>
            <w:gridSpan w:val="15"/>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Registrant and Jefferies LLC</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10.30†</w:t>
            </w:r>
          </w:p>
        </w:tc>
        <w:tc>
          <w:tcPr>
            <w:tcW w:w="6060" w:type="dxa"/>
            <w:vAlign w:val="bottom"/>
            <w:gridSpan w:val="23"/>
          </w:tcPr>
          <w:p>
            <w:pPr>
              <w:spacing w:after="0"/>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License Agreement, dated April 9, 2020, by and between the Registrant and Dana-</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10.40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28, 2022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Farber Cancer Institute, Inc.</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10.31#</w:t>
            </w:r>
          </w:p>
        </w:tc>
        <w:tc>
          <w:tcPr>
            <w:tcW w:w="6060" w:type="dxa"/>
            <w:vAlign w:val="bottom"/>
            <w:gridSpan w:val="23"/>
          </w:tcPr>
          <w:p>
            <w:pPr>
              <w:spacing w:after="0"/>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2022 Stock Option and Incentive Plan and form agreements thereunder</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S-8</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8"/>
              </w:rPr>
              <w:t>333-265502</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99.1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9, 2022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10.32†</w:t>
            </w:r>
          </w:p>
        </w:tc>
        <w:tc>
          <w:tcPr>
            <w:tcW w:w="6060" w:type="dxa"/>
            <w:vAlign w:val="bottom"/>
            <w:gridSpan w:val="23"/>
          </w:tcPr>
          <w:p>
            <w:pPr>
              <w:spacing w:after="0"/>
              <w:rPr>
                <w:rFonts w:ascii="Times New Roman" w:cs="Times New Roman" w:eastAsia="Times New Roman" w:hAnsi="Times New Roman"/>
                <w:sz w:val="18"/>
                <w:szCs w:val="18"/>
                <w:color w:val="0000FF"/>
                <w:w w:val="98"/>
              </w:rPr>
            </w:pPr>
            <w:hyperlink r:id="rId394">
              <w:r>
                <w:rPr>
                  <w:rFonts w:ascii="Times New Roman" w:cs="Times New Roman" w:eastAsia="Times New Roman" w:hAnsi="Times New Roman"/>
                  <w:sz w:val="18"/>
                  <w:szCs w:val="18"/>
                  <w:color w:val="0000FF"/>
                  <w:w w:val="98"/>
                </w:rPr>
                <w:t>Amendment 01 to Collaboration and Option Agreement, dated June 28, 2022, by and</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3, 2022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between the Registrant and Ono Pharmaceutical Co. Ltd.</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6060" w:type="dxa"/>
            <w:vAlign w:val="bottom"/>
            <w:gridSpan w:val="23"/>
          </w:tcPr>
          <w:p>
            <w:pPr>
              <w:spacing w:after="0"/>
              <w:rPr>
                <w:rFonts w:ascii="Times New Roman" w:cs="Times New Roman" w:eastAsia="Times New Roman" w:hAnsi="Times New Roman"/>
                <w:sz w:val="18"/>
                <w:szCs w:val="18"/>
                <w:color w:val="0000FF"/>
                <w:w w:val="99"/>
              </w:rPr>
            </w:pPr>
            <w:hyperlink r:id="rId395">
              <w:r>
                <w:rPr>
                  <w:rFonts w:ascii="Times New Roman" w:cs="Times New Roman" w:eastAsia="Times New Roman" w:hAnsi="Times New Roman"/>
                  <w:sz w:val="18"/>
                  <w:szCs w:val="18"/>
                  <w:color w:val="0000FF"/>
                  <w:w w:val="99"/>
                </w:rPr>
                <w:t>Letter Agreement, dated November 7, 2022, by and between the Registrant and Ono</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7, 2022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tcBorders>
              <w:right w:val="single" w:sz="8" w:color="0000FF"/>
            </w:tcBorders>
            <w:gridSpan w:val="6"/>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Pharmaceutical Co., Ltd.</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6060" w:type="dxa"/>
            <w:vAlign w:val="bottom"/>
            <w:gridSpan w:val="23"/>
          </w:tcPr>
          <w:p>
            <w:pPr>
              <w:spacing w:after="0"/>
              <w:rPr>
                <w:rFonts w:ascii="Times New Roman" w:cs="Times New Roman" w:eastAsia="Times New Roman" w:hAnsi="Times New Roman"/>
                <w:sz w:val="18"/>
                <w:szCs w:val="18"/>
                <w:color w:val="0000FF"/>
                <w:w w:val="99"/>
              </w:rPr>
            </w:pPr>
            <w:hyperlink r:id="rId396">
              <w:r>
                <w:rPr>
                  <w:rFonts w:ascii="Times New Roman" w:cs="Times New Roman" w:eastAsia="Times New Roman" w:hAnsi="Times New Roman"/>
                  <w:sz w:val="18"/>
                  <w:szCs w:val="18"/>
                  <w:color w:val="0000FF"/>
                  <w:w w:val="99"/>
                </w:rPr>
                <w:t>Amendment 03 to Collaboration and Option Agreement, dated November 30, 2023,</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10.41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 2024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tcBorders>
              <w:right w:val="single" w:sz="8" w:color="0000FF"/>
            </w:tcBorders>
            <w:gridSpan w:val="6"/>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by and between the Registrant and Ono Pharmaceutical Co. Ltd.</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tcBorders>
              <w:right w:val="single" w:sz="8" w:color="0000FF"/>
            </w:tcBorders>
            <w:gridSpan w:val="6"/>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10.35†</w:t>
            </w:r>
          </w:p>
        </w:tc>
        <w:tc>
          <w:tcPr>
            <w:tcW w:w="6060" w:type="dxa"/>
            <w:vAlign w:val="bottom"/>
            <w:gridSpan w:val="23"/>
          </w:tcPr>
          <w:p>
            <w:pPr>
              <w:spacing w:after="0"/>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Exclusive License Agreement, dated April 17, 2020, by and between the Registrant</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10.42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 2024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tcBorders>
              <w:right w:val="single" w:sz="8" w:color="0000FF"/>
            </w:tcBorders>
            <w:gridSpan w:val="6"/>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and Baylor College of Medicine</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6060" w:type="dxa"/>
            <w:vAlign w:val="bottom"/>
            <w:gridSpan w:val="23"/>
          </w:tcPr>
          <w:p>
            <w:pPr>
              <w:spacing w:after="0"/>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Securities Purchase Agreement, dated March 19, 2024, between the Registrant and</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21, 2024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34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RedCo II Master Fund, L.P.</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10.37#</w:t>
            </w:r>
          </w:p>
        </w:tc>
        <w:tc>
          <w:tcPr>
            <w:tcW w:w="6060" w:type="dxa"/>
            <w:vAlign w:val="bottom"/>
            <w:gridSpan w:val="23"/>
          </w:tcPr>
          <w:p>
            <w:pPr>
              <w:spacing w:after="0"/>
              <w:rPr>
                <w:rFonts w:ascii="Times New Roman" w:cs="Times New Roman" w:eastAsia="Times New Roman" w:hAnsi="Times New Roman"/>
                <w:sz w:val="18"/>
                <w:szCs w:val="18"/>
                <w:color w:val="0000FF"/>
                <w:w w:val="99"/>
              </w:rPr>
            </w:pPr>
            <w:hyperlink r:id="rId399">
              <w:r>
                <w:rPr>
                  <w:rFonts w:ascii="Times New Roman" w:cs="Times New Roman" w:eastAsia="Times New Roman" w:hAnsi="Times New Roman"/>
                  <w:sz w:val="18"/>
                  <w:szCs w:val="18"/>
                  <w:color w:val="0000FF"/>
                  <w:w w:val="99"/>
                </w:rPr>
                <w:t>Amended and Restated 2022 Stock Option and Incentive Plan and form agreements</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7, 2024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3580" w:type="dxa"/>
            <w:vAlign w:val="bottom"/>
            <w:tcBorders>
              <w:right w:val="single" w:sz="8" w:color="0000FF"/>
            </w:tcBorders>
            <w:gridSpan w:val="10"/>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thereunder</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3580" w:type="dxa"/>
            <w:vAlign w:val="bottom"/>
            <w:gridSpan w:val="1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6060" w:type="dxa"/>
            <w:vAlign w:val="bottom"/>
            <w:gridSpan w:val="23"/>
          </w:tcPr>
          <w:p>
            <w:pPr>
              <w:spacing w:after="0"/>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Amended and Restated Form of Indemnification Agreement</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30, 2024</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340" w:type="dxa"/>
            <w:vAlign w:val="bottom"/>
            <w:tcBorders>
              <w:right w:val="single" w:sz="8" w:color="0000EE"/>
            </w:tcBorders>
            <w:gridSpan w:val="1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10.39†</w:t>
            </w:r>
          </w:p>
        </w:tc>
        <w:tc>
          <w:tcPr>
            <w:tcW w:w="6060" w:type="dxa"/>
            <w:vAlign w:val="bottom"/>
            <w:gridSpan w:val="23"/>
          </w:tcPr>
          <w:p>
            <w:pPr>
              <w:spacing w:after="0"/>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Amendment No.4 to Collaboration and Option Agreement by and between the</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12, 2024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880" w:type="dxa"/>
            <w:vAlign w:val="bottom"/>
            <w:gridSpan w:val="16"/>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060" w:type="dxa"/>
            <w:vAlign w:val="bottom"/>
            <w:gridSpan w:val="23"/>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Registrant and Ono Pharmaceutical Co., Ltd, dated August 28, 2024</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80" w:type="dxa"/>
            <w:vAlign w:val="bottom"/>
          </w:tcPr>
          <w:p>
            <w:pPr>
              <w:spacing w:after="0"/>
              <w:rPr>
                <w:sz w:val="24"/>
                <w:szCs w:val="24"/>
                <w:color w:val="auto"/>
              </w:rPr>
            </w:pPr>
          </w:p>
        </w:tc>
        <w:tc>
          <w:tcPr>
            <w:tcW w:w="4620" w:type="dxa"/>
            <w:vAlign w:val="bottom"/>
            <w:tcBorders>
              <w:top w:val="single" w:sz="8" w:color="0000FF"/>
            </w:tcBorders>
            <w:gridSpan w:val="14"/>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7" w:name="page138"/>
    <w:bookmarkEnd w:id="137"/>
    <w:tbl>
      <w:tblPr>
        <w:tblLayout w:type="fixed"/>
        <w:tblInd w:w="240" w:type="dxa"/>
        <w:tblCellMar>
          <w:top w:w="0" w:type="dxa"/>
          <w:left w:w="0" w:type="dxa"/>
          <w:bottom w:w="0" w:type="dxa"/>
          <w:right w:w="0" w:type="dxa"/>
        </w:tblCellMar>
      </w:tblPr>
      <w:tr>
        <w:trPr>
          <w:trHeight w:val="207"/>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10.40#</w:t>
            </w:r>
          </w:p>
        </w:tc>
        <w:tc>
          <w:tcPr>
            <w:tcW w:w="6080" w:type="dxa"/>
            <w:vAlign w:val="bottom"/>
            <w:gridSpan w:val="12"/>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Strategic Advisory Services Agreement between the Registrant and J. Scott</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10.1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6, 2025</w:t>
            </w:r>
          </w:p>
        </w:tc>
      </w:tr>
      <w:tr>
        <w:trPr>
          <w:trHeight w:val="20"/>
        </w:trPr>
        <w:tc>
          <w:tcPr>
            <w:tcW w:w="9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6080" w:type="dxa"/>
            <w:vAlign w:val="bottom"/>
            <w:gridSpan w:val="12"/>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Wolchko, dated as of December 31, 2024</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10.41#</w:t>
            </w:r>
          </w:p>
        </w:tc>
        <w:tc>
          <w:tcPr>
            <w:tcW w:w="6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Employment Agreement by and between the Registrant and Bahram Valamehr, dated</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9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6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March 3, 2025</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14.1</w:t>
            </w:r>
          </w:p>
        </w:tc>
        <w:tc>
          <w:tcPr>
            <w:tcW w:w="6080" w:type="dxa"/>
            <w:vAlign w:val="bottom"/>
            <w:gridSpan w:val="12"/>
          </w:tcPr>
          <w:p>
            <w:pPr>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Amended Code of Business Conduct and Ethics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14.1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 2024</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19.1</w:t>
            </w:r>
          </w:p>
        </w:tc>
        <w:tc>
          <w:tcPr>
            <w:tcW w:w="6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21.1</w:t>
            </w:r>
          </w:p>
        </w:tc>
        <w:tc>
          <w:tcPr>
            <w:tcW w:w="6080" w:type="dxa"/>
            <w:vAlign w:val="bottom"/>
            <w:gridSpan w:val="12"/>
          </w:tcPr>
          <w:p>
            <w:pPr>
              <w:spacing w:after="0"/>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Subsidiaries of the Registrant</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21.1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23.1</w:t>
            </w:r>
          </w:p>
        </w:tc>
        <w:tc>
          <w:tcPr>
            <w:tcW w:w="6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2040" w:type="dxa"/>
            <w:vAlign w:val="bottom"/>
            <w:tcBorders>
              <w:right w:val="single" w:sz="8" w:color="0000EE"/>
            </w:tcBorders>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24.1</w:t>
            </w:r>
          </w:p>
        </w:tc>
        <w:tc>
          <w:tcPr>
            <w:tcW w:w="6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 to this Annual Report)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2760" w:type="dxa"/>
            <w:vAlign w:val="bottom"/>
            <w:tcBorders>
              <w:right w:val="single" w:sz="8" w:color="0000EE"/>
            </w:tcBorders>
            <w:gridSpan w:val="4"/>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31.1</w:t>
            </w:r>
          </w:p>
        </w:tc>
        <w:tc>
          <w:tcPr>
            <w:tcW w:w="6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pursuant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9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3800" w:type="dxa"/>
            <w:vAlign w:val="bottom"/>
            <w:gridSpan w:val="6"/>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6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8"/>
              </w:rPr>
              <w:t>to Rules 13a-14 and 15-d-14 promulgated pursuant to the Securities Exchange Act of</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3800" w:type="dxa"/>
            <w:vAlign w:val="bottom"/>
            <w:gridSpan w:val="6"/>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6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1934, as amended, as adopted pursuant to Section 302 of the Sarbanes-Oxley Act of</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2002</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32.1</w:t>
            </w:r>
          </w:p>
        </w:tc>
        <w:tc>
          <w:tcPr>
            <w:tcW w:w="6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pursuant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94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3800" w:type="dxa"/>
            <w:vAlign w:val="bottom"/>
            <w:gridSpan w:val="6"/>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6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8"/>
              </w:rPr>
              <w:t>to 18 U.S.C. Section 1350, as adopted pursuant to Section 906 of the Sarbanes-Oxley</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3800" w:type="dxa"/>
            <w:vAlign w:val="bottom"/>
            <w:gridSpan w:val="6"/>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60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97.1</w:t>
            </w:r>
          </w:p>
        </w:tc>
        <w:tc>
          <w:tcPr>
            <w:tcW w:w="6080" w:type="dxa"/>
            <w:vAlign w:val="bottom"/>
            <w:gridSpan w:val="12"/>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Compensation Recovery Policy</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001-36076</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5"/>
              </w:rPr>
              <w:t>97.1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 2024</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EE"/>
            </w:tcBorders>
            <w:gridSpan w:val="6"/>
            <w:shd w:val="clear" w:color="auto" w:fill="0000FF"/>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34"/>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101.INS</w:t>
            </w:r>
          </w:p>
        </w:tc>
        <w:tc>
          <w:tcPr>
            <w:tcW w:w="6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940" w:type="dxa"/>
            <w:vAlign w:val="bottom"/>
          </w:tcPr>
          <w:p>
            <w:pPr>
              <w:spacing w:after="0"/>
              <w:rPr>
                <w:sz w:val="18"/>
                <w:szCs w:val="18"/>
                <w:color w:val="auto"/>
              </w:rPr>
            </w:pPr>
          </w:p>
        </w:tc>
        <w:tc>
          <w:tcPr>
            <w:tcW w:w="6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6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101.SCH</w:t>
            </w:r>
          </w:p>
        </w:tc>
        <w:tc>
          <w:tcPr>
            <w:tcW w:w="6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4"/>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104</w:t>
            </w:r>
          </w:p>
        </w:tc>
        <w:tc>
          <w:tcPr>
            <w:tcW w:w="6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8"/>
              </w:rPr>
              <w:t xml:space="preserve">Cover Page Interactive Data File </w:t>
            </w:r>
            <w:r>
              <w:rPr>
                <w:rFonts w:ascii="Times New Roman" w:cs="Times New Roman" w:eastAsia="Times New Roman" w:hAnsi="Times New Roman"/>
                <w:sz w:val="18"/>
                <w:szCs w:val="18"/>
                <w:color w:val="212529"/>
                <w:w w:val="98"/>
              </w:rPr>
              <w:t>(formatted as inline XBRL and contained in Exhibit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9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101).</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5123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provisions of this Exhibit have been omitted as confidential information.</w:t>
      </w:r>
    </w:p>
    <w:p>
      <w:pPr>
        <w:spacing w:after="0" w:line="27" w:lineRule="exact"/>
        <w:rPr>
          <w:sz w:val="20"/>
          <w:szCs w:val="20"/>
          <w:color w:val="auto"/>
        </w:rPr>
      </w:pPr>
    </w:p>
    <w:p>
      <w:pPr>
        <w:ind w:left="5480" w:right="4960" w:hanging="5472"/>
        <w:spacing w:after="0" w:line="397" w:lineRule="auto"/>
        <w:tabs>
          <w:tab w:leader="none" w:pos="13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any compensatory plan, contract or arrangement.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ectPr>
          <w:pgSz w:w="11900" w:h="16838" w:orient="portrait"/>
          <w:cols w:equalWidth="0" w:num="1">
            <w:col w:w="11240"/>
          </w:cols>
          <w:pgMar w:left="320" w:top="1103" w:right="3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5, 2025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ahram</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alamehr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17145</wp:posOffset>
            </wp:positionV>
            <wp:extent cx="28289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3">
            <w:col w:w="5480" w:space="720"/>
            <w:col w:w="1300" w:space="720"/>
            <w:col w:w="3020"/>
          </w:cols>
          <w:pgMar w:left="320" w:top="1103" w:right="339" w:bottom="1440" w:gutter="0" w:footer="0" w:header="0"/>
          <w:type w:val="continuous"/>
        </w:sectPr>
      </w:pPr>
    </w:p>
    <w:p>
      <w:pPr>
        <w:ind w:left="7840"/>
        <w:spacing w:after="0"/>
        <w:rPr>
          <w:sz w:val="20"/>
          <w:szCs w:val="20"/>
          <w:color w:val="auto"/>
        </w:rPr>
      </w:pPr>
      <w:r>
        <w:rPr>
          <w:rFonts w:ascii="Times New Roman" w:cs="Times New Roman" w:eastAsia="Times New Roman" w:hAnsi="Times New Roman"/>
          <w:sz w:val="18"/>
          <w:szCs w:val="18"/>
          <w:color w:val="auto"/>
        </w:rPr>
        <w:t>Bahram Valamehr, Ph.D., MBA</w:t>
      </w:r>
    </w:p>
    <w:p>
      <w:pPr>
        <w:spacing w:after="0" w:line="34"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9"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7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Bahram Valamehr as his or her attorney-in-fact,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said attorney-in-fact, or his or her substitute or substitutes may do or cause to be done by virtue hereof.</w:t>
      </w:r>
    </w:p>
    <w:p>
      <w:pPr>
        <w:spacing w:after="0" w:line="7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5"/>
                <w:szCs w:val="15"/>
                <w:color w:val="auto"/>
              </w:rPr>
            </w:pPr>
          </w:p>
        </w:tc>
        <w:tc>
          <w:tcPr>
            <w:tcW w:w="48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16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3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ahram</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alamehr</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2025</w:t>
            </w:r>
          </w:p>
        </w:tc>
      </w:tr>
      <w:tr>
        <w:trPr>
          <w:trHeight w:val="191"/>
        </w:trPr>
        <w:tc>
          <w:tcPr>
            <w:tcW w:w="4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Bahram Valamehr, Ph.D., MBA</w:t>
            </w:r>
          </w:p>
        </w:tc>
        <w:tc>
          <w:tcPr>
            <w:tcW w:w="120" w:type="dxa"/>
            <w:vAlign w:val="bottom"/>
          </w:tcPr>
          <w:p>
            <w:pPr>
              <w:spacing w:after="0"/>
              <w:rPr>
                <w:sz w:val="16"/>
                <w:szCs w:val="16"/>
                <w:color w:val="auto"/>
              </w:rPr>
            </w:pPr>
          </w:p>
        </w:tc>
        <w:tc>
          <w:tcPr>
            <w:tcW w:w="48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(Principal Executive Officer, Principal Financial Officer and</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2"/>
                <w:szCs w:val="12"/>
                <w:color w:val="auto"/>
              </w:rPr>
              <w:t>illiam</w:t>
            </w:r>
            <w:r>
              <w:rPr>
                <w:rFonts w:ascii="Times New Roman" w:cs="Times New Roman" w:eastAsia="Times New Roman" w:hAnsi="Times New Roman"/>
                <w:sz w:val="18"/>
                <w:szCs w:val="18"/>
                <w:color w:val="auto"/>
              </w:rPr>
              <w:t xml:space="preserve"> H. R</w:t>
            </w:r>
            <w:r>
              <w:rPr>
                <w:rFonts w:ascii="Times New Roman" w:cs="Times New Roman" w:eastAsia="Times New Roman" w:hAnsi="Times New Roman"/>
                <w:sz w:val="12"/>
                <w:szCs w:val="12"/>
                <w:color w:val="auto"/>
              </w:rPr>
              <w:t>astetter</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H. Rastetter,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D. M</w:t>
            </w:r>
            <w:r>
              <w:rPr>
                <w:rFonts w:ascii="Times New Roman" w:cs="Times New Roman" w:eastAsia="Times New Roman" w:hAnsi="Times New Roman"/>
                <w:sz w:val="12"/>
                <w:szCs w:val="12"/>
                <w:color w:val="auto"/>
              </w:rPr>
              <w:t>endlein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Chairman of the Board and Director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D. Mendlein, Ph.D., J.D.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hefali</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garwal</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Shefali Agarwal,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2"/>
                <w:szCs w:val="12"/>
                <w:color w:val="auto"/>
              </w:rPr>
              <w:t>imothy</w:t>
            </w:r>
            <w:r>
              <w:rPr>
                <w:rFonts w:ascii="Times New Roman" w:cs="Times New Roman" w:eastAsia="Times New Roman" w:hAnsi="Times New Roman"/>
                <w:sz w:val="18"/>
                <w:szCs w:val="18"/>
                <w:color w:val="auto"/>
              </w:rPr>
              <w:t xml:space="preserve"> P. C</w:t>
            </w:r>
            <w:r>
              <w:rPr>
                <w:rFonts w:ascii="Times New Roman" w:cs="Times New Roman" w:eastAsia="Times New Roman" w:hAnsi="Times New Roman"/>
                <w:sz w:val="12"/>
                <w:szCs w:val="12"/>
                <w:color w:val="auto"/>
              </w:rPr>
              <w:t>oughlin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P. Coughlin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S. E</w:t>
            </w:r>
            <w:r>
              <w:rPr>
                <w:rFonts w:ascii="Times New Roman" w:cs="Times New Roman" w:eastAsia="Times New Roman" w:hAnsi="Times New Roman"/>
                <w:sz w:val="12"/>
                <w:szCs w:val="12"/>
                <w:color w:val="auto"/>
              </w:rPr>
              <w:t>pstein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S. Epstein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arin</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2"/>
                <w:szCs w:val="12"/>
                <w:color w:val="auto"/>
              </w:rPr>
              <w:t>ooss</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Karin Jooss,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ee</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Lee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2"/>
                <w:szCs w:val="12"/>
                <w:color w:val="auto"/>
              </w:rPr>
              <w:t>eelufar</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ozaffarian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Neelufar Mozaffarian, M.D., Ph.D., FACR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Y</w:t>
            </w:r>
            <w:r>
              <w:rPr>
                <w:rFonts w:ascii="Times New Roman" w:cs="Times New Roman" w:eastAsia="Times New Roman" w:hAnsi="Times New Roman"/>
                <w:sz w:val="12"/>
                <w:szCs w:val="12"/>
                <w:color w:val="auto"/>
              </w:rPr>
              <w:t>uan</w:t>
            </w:r>
            <w:r>
              <w:rPr>
                <w:rFonts w:ascii="Times New Roman" w:cs="Times New Roman" w:eastAsia="Times New Roman" w:hAnsi="Times New Roman"/>
                <w:sz w:val="18"/>
                <w:szCs w:val="18"/>
                <w:color w:val="auto"/>
              </w:rPr>
              <w:t xml:space="preserve"> X</w:t>
            </w:r>
            <w:r>
              <w:rPr>
                <w:rFonts w:ascii="Times New Roman" w:cs="Times New Roman" w:eastAsia="Times New Roman" w:hAnsi="Times New Roman"/>
                <w:sz w:val="12"/>
                <w:szCs w:val="12"/>
                <w:color w:val="auto"/>
              </w:rPr>
              <w:t>u</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2025</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Yuan Xu,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630"/>
        </w:trPr>
        <w:tc>
          <w:tcPr>
            <w:tcW w:w="4500" w:type="dxa"/>
            <w:vAlign w:val="bottom"/>
          </w:tcPr>
          <w:p>
            <w:pPr>
              <w:spacing w:after="0"/>
              <w:rPr>
                <w:sz w:val="24"/>
                <w:szCs w:val="24"/>
                <w:color w:val="auto"/>
              </w:rPr>
            </w:pPr>
          </w:p>
        </w:tc>
        <w:tc>
          <w:tcPr>
            <w:tcW w:w="4960" w:type="dxa"/>
            <w:vAlign w:val="bottom"/>
            <w:gridSpan w:val="2"/>
          </w:tcPr>
          <w:p>
            <w:pPr>
              <w:jc w:val="right"/>
              <w:ind w:right="3611"/>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2"/>
          <w:szCs w:val="22"/>
          <w:color w:val="auto"/>
        </w:rPr>
        <w:t>FATE THERAPEUTICS,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NON-EMPLOYEE DIRECTOR COMPENSATION POLICY</w:t>
      </w:r>
    </w:p>
    <w:p>
      <w:pPr>
        <w:spacing w:after="0" w:line="200" w:lineRule="exact"/>
        <w:rPr>
          <w:sz w:val="20"/>
          <w:szCs w:val="20"/>
          <w:color w:val="auto"/>
        </w:rPr>
      </w:pP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purpose of this Amended and Restated Non-Employee Director Compensation Policy (the “Policy”) of Fate Therapeutics, Inc., a Delaware corporation (the “Company”), is to provide a total compensation package that enables the Company to attract and retain, on a long-term basis, high-caliber directors who are not employees or officers of the Company. In furtherance of this purpose, effective as of the date of approval by the Company’s Board of Directors (the “Board”) of this Policy (the “Effective Date”), all non-employee directors shall be paid compensation for services provided to the Company as set forth below:</w:t>
      </w:r>
      <w:r>
        <w:rPr>
          <w:rFonts w:ascii="Times New Roman" w:cs="Times New Roman" w:eastAsia="Times New Roman" w:hAnsi="Times New Roman"/>
          <w:sz w:val="27"/>
          <w:szCs w:val="27"/>
          <w:color w:val="auto"/>
          <w:vertAlign w:val="superscript"/>
        </w:rPr>
        <w:t>1</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Retainers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Annual Retainer for Board Membership</w:t>
      </w:r>
      <w:r>
        <w:rPr>
          <w:rFonts w:ascii="Times New Roman" w:cs="Times New Roman" w:eastAsia="Times New Roman" w:hAnsi="Times New Roman"/>
          <w:sz w:val="22"/>
          <w:szCs w:val="22"/>
          <w:color w:val="auto"/>
        </w:rPr>
        <w:t>: $40,000 for general availability and participation in meetings and conference calls of the Board. No additional compensation for attending individual Board meetings.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Additional Annual Retainers for Committee Membership and Service as Chairperson</w:t>
      </w:r>
      <w:r>
        <w:rPr>
          <w:rFonts w:ascii="Times New Roman" w:cs="Times New Roman" w:eastAsia="Times New Roman" w:hAnsi="Times New Roman"/>
          <w:sz w:val="22"/>
          <w:szCs w:val="22"/>
          <w:color w:val="auto"/>
        </w:rPr>
        <w:t>:</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28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Board Chairperson: $35,000</w:t>
            </w:r>
          </w:p>
        </w:tc>
        <w:tc>
          <w:tcPr>
            <w:tcW w:w="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9"/>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Audit Committee Chairperson:</w:t>
            </w:r>
          </w:p>
        </w:tc>
        <w:tc>
          <w:tcPr>
            <w:tcW w:w="2760" w:type="dxa"/>
            <w:vAlign w:val="bottom"/>
            <w:gridSpan w:val="2"/>
          </w:tcPr>
          <w:p>
            <w:pPr>
              <w:jc w:val="right"/>
              <w:ind w:right="177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tcPr>
          <w:p>
            <w:pPr>
              <w:spacing w:after="0"/>
              <w:rPr>
                <w:sz w:val="24"/>
                <w:szCs w:val="24"/>
                <w:color w:val="auto"/>
              </w:rPr>
            </w:pPr>
          </w:p>
        </w:tc>
      </w:tr>
      <w:tr>
        <w:trPr>
          <w:trHeight w:val="459"/>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Audit Committee member:   $10,000</w:t>
            </w:r>
          </w:p>
        </w:tc>
        <w:tc>
          <w:tcPr>
            <w:tcW w:w="2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9"/>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Compensation Committee Chairperson:</w:t>
            </w:r>
          </w:p>
        </w:tc>
        <w:tc>
          <w:tcPr>
            <w:tcW w:w="21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tcPr>
          <w:p>
            <w:pPr>
              <w:spacing w:after="0"/>
              <w:rPr>
                <w:sz w:val="24"/>
                <w:szCs w:val="24"/>
                <w:color w:val="auto"/>
              </w:rPr>
            </w:pPr>
          </w:p>
        </w:tc>
      </w:tr>
      <w:tr>
        <w:trPr>
          <w:trHeight w:val="459"/>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Compensation Committee member:</w:t>
            </w:r>
          </w:p>
        </w:tc>
        <w:tc>
          <w:tcPr>
            <w:tcW w:w="216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w w:val="95"/>
              </w:rPr>
              <w:t>$7,500</w:t>
            </w:r>
          </w:p>
        </w:tc>
        <w:tc>
          <w:tcPr>
            <w:tcW w:w="1140" w:type="dxa"/>
            <w:vAlign w:val="bottom"/>
          </w:tcPr>
          <w:p>
            <w:pPr>
              <w:spacing w:after="0"/>
              <w:rPr>
                <w:sz w:val="24"/>
                <w:szCs w:val="24"/>
                <w:color w:val="auto"/>
              </w:rPr>
            </w:pPr>
          </w:p>
        </w:tc>
      </w:tr>
      <w:tr>
        <w:trPr>
          <w:trHeight w:val="459"/>
        </w:trPr>
        <w:tc>
          <w:tcPr>
            <w:tcW w:w="5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Nominating and Corporate Governance Committee Chairperson:</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w:t>
            </w:r>
          </w:p>
        </w:tc>
      </w:tr>
      <w:tr>
        <w:trPr>
          <w:trHeight w:val="459"/>
        </w:trPr>
        <w:tc>
          <w:tcPr>
            <w:tcW w:w="5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Nominating and Corporate Governance Committee member:</w:t>
            </w:r>
          </w:p>
        </w:tc>
        <w:tc>
          <w:tcPr>
            <w:tcW w:w="114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5"/>
              </w:rPr>
              <w:t>$5,000</w:t>
            </w:r>
          </w:p>
        </w:tc>
      </w:tr>
      <w:tr>
        <w:trPr>
          <w:trHeight w:val="459"/>
        </w:trPr>
        <w:tc>
          <w:tcPr>
            <w:tcW w:w="5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Science &amp; Technology Committee Chairperson:  $12,000</w:t>
            </w:r>
          </w:p>
        </w:tc>
        <w:tc>
          <w:tcPr>
            <w:tcW w:w="1140" w:type="dxa"/>
            <w:vAlign w:val="bottom"/>
          </w:tcPr>
          <w:p>
            <w:pPr>
              <w:spacing w:after="0"/>
              <w:rPr>
                <w:sz w:val="24"/>
                <w:szCs w:val="24"/>
                <w:color w:val="auto"/>
              </w:rPr>
            </w:pPr>
          </w:p>
        </w:tc>
      </w:tr>
      <w:tr>
        <w:trPr>
          <w:trHeight w:val="459"/>
        </w:trPr>
        <w:tc>
          <w:tcPr>
            <w:tcW w:w="5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Science &amp; Technology Committee member: $6,000</w:t>
            </w:r>
          </w:p>
        </w:tc>
        <w:tc>
          <w:tcPr>
            <w:tcW w:w="1140" w:type="dxa"/>
            <w:vAlign w:val="bottom"/>
          </w:tcPr>
          <w:p>
            <w:pPr>
              <w:spacing w:after="0"/>
              <w:rPr>
                <w:sz w:val="24"/>
                <w:szCs w:val="24"/>
                <w:color w:val="auto"/>
              </w:rPr>
            </w:pPr>
          </w:p>
        </w:tc>
      </w:tr>
    </w:tbl>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 additional compensation for attending individual committee meetings.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All cash retainers will be paid quarterly, in arrears, or upon the earlier resignation or removal of the non-employee director. Cash retainers owing to non-employee directors shall be annualized, meaning that with respect to non-employee directors who join the Board during the calendar year, such amounts shall be pro-rated based on the number of calendar days served by such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1688465" cy="508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3">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67"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policy shall supersede any prior arrangements between the Company and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b w:val="1"/>
          <w:bCs w:val="1"/>
          <w:color w:val="auto"/>
        </w:rPr>
        <w:t>Equity Retainers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For purposes of this Policy, “</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means with respect to (i) any award of stock options, the grant date fair value of the option award (i.e., Black-Scholes Value) determined in accordance with the reasonable assumptions and methodologies employed by the Company for calculating the fair value of options under ASC 718; and (ii) any award of restricted stock and restricted stock units, the product of (A) the average closing market price on The NASDAQ Global Market (or such other market on which the Company’s common stock, par value $0.001 per share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is then principally listed) of one share of Common Stock over the trailing ten (10) trading day period ending on the grant date, and (B) the aggregate number of shares pursuant to such award.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u w:val="single" w:color="auto"/>
          <w:color w:val="auto"/>
        </w:rPr>
        <w:t>Initial Equity Grant</w:t>
      </w:r>
      <w:r>
        <w:rPr>
          <w:rFonts w:ascii="Times New Roman" w:cs="Times New Roman" w:eastAsia="Times New Roman" w:hAnsi="Times New Roman"/>
          <w:sz w:val="21"/>
          <w:szCs w:val="21"/>
          <w:color w:val="auto"/>
        </w:rPr>
        <w:t>: One-time equity grants to each new non-employee director upon his or her election to the Board after the Effective Date of an option to purchase 110,000 shares of Common Stock, with a an exercise price per share equal to the closing price of a share of Common Stock on the date of grant and a term of ten years. Such initial option grant shall vest in equal monthly installments during the 36 months following the grant date, subject to the director’s continued service on the Board.</w:t>
      </w:r>
    </w:p>
    <w:p>
      <w:pPr>
        <w:spacing w:after="0" w:line="1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On the date of each Annual Meeting of Stockholders</w:t>
      </w:r>
      <w:r>
        <w:rPr>
          <w:rFonts w:ascii="Times New Roman" w:cs="Times New Roman" w:eastAsia="Times New Roman" w:hAnsi="Times New Roman"/>
          <w:sz w:val="22"/>
          <w:szCs w:val="22"/>
          <w:color w:val="auto"/>
        </w:rPr>
        <w:t>: Annual equity grants to each non-employee director serving on the Board immediately following the Company’s annual meeting of stockholders of an option to purchase 55,000 shares of Common Stock, with an exercise price per share equal to the closing price of a share of Common Stock on the date of grant and a term of ten years. Such annual option grant shall vest on the earlier of the one-year anniversary of the grant date and the Company’s next annual meeting of stockholders, subject to the director’s continued service on the Board.</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Sale Event Acceleration</w:t>
      </w:r>
      <w:r>
        <w:rPr>
          <w:rFonts w:ascii="Times New Roman" w:cs="Times New Roman" w:eastAsia="Times New Roman" w:hAnsi="Times New Roman"/>
          <w:sz w:val="22"/>
          <w:szCs w:val="22"/>
          <w:color w:val="auto"/>
        </w:rPr>
        <w:t>. In the event of a Sale Event (as defined in the Company’s 2022 Stock Option and Incentive Plan, as amended and restated from time to time), the equity retainer awards granted to Outside Directors pursuant to this Policy shall become 100% vested and exercisable.</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form of option agreement will give directors up to one year following cessation of service as a director to exercise the options (to the extent vested at the date of such cessation), provided that the director has not been removed for cause. All of the foregoing option grants will have an exercise price equal to the fair market value of a share of Common Stock on the date of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shall reimburse all reasonable out-of-pocket expenses incurred by non-employee directors in attending Board and committee meetings.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Amended and Restated Non-Employee Director Compensation Policy adopted by the Board of Directors on September 9, 2019.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Amended and Restated Non-Employee Director Compensation Policy adopted by the Board of Directors on December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899795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i w:val="1"/>
          <w:iCs w:val="1"/>
          <w:color w:val="auto"/>
        </w:rPr>
        <w:t>Amended and Restated Non-Employee Director Compensation Policy adopted by the Board of Directors on April 2, 2021.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Amended and Restated Non-Employee Director Compensation Policy adopted by the Board of Directors on April 4,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Amended and Restated Non-Employee Director Compensation Policy adopted by the Board of Directors on January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1036955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04" w:right="61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1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This Employment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by and between Fate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Bahram (Bob) Valamehr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effective on this date of March 3, 2025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The Company and Executive are individually referred to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referred to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900"/>
        <w:spacing w:after="0" w:line="262" w:lineRule="auto"/>
        <w:rPr>
          <w:sz w:val="20"/>
          <w:szCs w:val="20"/>
          <w:color w:val="auto"/>
        </w:rPr>
      </w:pPr>
      <w:r>
        <w:rPr>
          <w:rFonts w:ascii="Times New Roman" w:cs="Times New Roman" w:eastAsia="Times New Roman" w:hAnsi="Times New Roman"/>
          <w:sz w:val="22"/>
          <w:szCs w:val="22"/>
          <w:color w:val="auto"/>
        </w:rPr>
        <w:t>WHEREAS, Executive was appointed as Company’s President and Chief Executive Officer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on January 1, 2025, and Executive was appointed as a member of the Company’s Board of Directors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effective that same date;</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WHEREAS, Company desires to continue employing Executive as the Company’s President and CEO;</w:t>
      </w:r>
    </w:p>
    <w:p>
      <w:pPr>
        <w:spacing w:after="0" w:line="233" w:lineRule="exact"/>
        <w:rPr>
          <w:sz w:val="20"/>
          <w:szCs w:val="20"/>
          <w:color w:val="auto"/>
        </w:rPr>
      </w:pPr>
    </w:p>
    <w:p>
      <w:pPr>
        <w:ind w:left="140" w:right="20" w:firstLine="749"/>
        <w:spacing w:after="0" w:line="258" w:lineRule="auto"/>
        <w:rPr>
          <w:sz w:val="20"/>
          <w:szCs w:val="20"/>
          <w:color w:val="auto"/>
        </w:rPr>
      </w:pPr>
      <w:r>
        <w:rPr>
          <w:rFonts w:ascii="Times New Roman" w:cs="Times New Roman" w:eastAsia="Times New Roman" w:hAnsi="Times New Roman"/>
          <w:sz w:val="22"/>
          <w:szCs w:val="22"/>
          <w:color w:val="auto"/>
        </w:rPr>
        <w:t>WHEREAS, Company and Executive desire to set forth in writing Executive’s new and continued terms and conditions of employment as of the Effective Date above.</w:t>
      </w:r>
    </w:p>
    <w:p>
      <w:pPr>
        <w:spacing w:after="0" w:line="185" w:lineRule="exact"/>
        <w:rPr>
          <w:sz w:val="20"/>
          <w:szCs w:val="20"/>
          <w:color w:val="auto"/>
        </w:rPr>
      </w:pPr>
    </w:p>
    <w:p>
      <w:pPr>
        <w:ind w:left="120" w:right="20"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mutual promises contained herein, the Parties hereto, intending to be legally bound, hereby agree as follows.</w:t>
      </w:r>
    </w:p>
    <w:p>
      <w:pPr>
        <w:spacing w:after="0" w:line="181" w:lineRule="exact"/>
        <w:rPr>
          <w:sz w:val="20"/>
          <w:szCs w:val="20"/>
          <w:color w:val="auto"/>
        </w:rPr>
      </w:pPr>
    </w:p>
    <w:p>
      <w:pPr>
        <w:jc w:val="both"/>
        <w:ind w:firstLine="757"/>
        <w:spacing w:after="0" w:line="241" w:lineRule="auto"/>
        <w:tabs>
          <w:tab w:leader="none" w:pos="1018"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Executive desire that their employment relationship be governed by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commencing as of the Effective Date and continuing in effect until terminated by either Party in accordance with this Agreement. Executive’s employment with the Company will be “at-will,” meaning that Executive’s employment may be terminated by the Company or Executive at any time and for any reason subject to the terms of this Agreement.</w:t>
      </w:r>
    </w:p>
    <w:p>
      <w:pPr>
        <w:spacing w:after="0" w:line="225" w:lineRule="exact"/>
        <w:rPr>
          <w:rFonts w:ascii="Times New Roman" w:cs="Times New Roman" w:eastAsia="Times New Roman" w:hAnsi="Times New Roman"/>
          <w:sz w:val="22"/>
          <w:szCs w:val="22"/>
          <w:b w:val="1"/>
          <w:bCs w:val="1"/>
          <w:color w:val="auto"/>
        </w:rPr>
      </w:pPr>
    </w:p>
    <w:p>
      <w:pPr>
        <w:jc w:val="both"/>
        <w:ind w:firstLine="757"/>
        <w:spacing w:after="0" w:line="234" w:lineRule="auto"/>
        <w:tabs>
          <w:tab w:leader="none" w:pos="1018"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Duties</w:t>
      </w:r>
      <w:r>
        <w:rPr>
          <w:rFonts w:ascii="Times New Roman" w:cs="Times New Roman" w:eastAsia="Times New Roman" w:hAnsi="Times New Roman"/>
          <w:sz w:val="22"/>
          <w:szCs w:val="22"/>
          <w:color w:val="auto"/>
        </w:rPr>
        <w:t>. Executive will continue serving as the President and CEO of the Company and will have such powers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duties as may from time to time be prescribed by the Board. Executive shall continue to serve as a member of the Board. Executive shall devote Executive’s full working time and efforts to the business and affairs of the Company and not engage in any other business activities without prior written approval by the Board, which approval shall not be unreasonably withheld. Notwithstanding the foregoing, Executive may engage in religious, charitable or other community activities as long as such services and activities do not interfere with Executive’s performance of Executive’s duties to the Company. Upon the ending of Executive’s employment, unless otherwise agreed to by the Company and Executive, Executive shall immediately resign from the Board as well as from any other Company positions to which Executive was elected or appointed in connection with Executive’s position as President and CEO. Executive will be treated as an exempt employee. Executive’s primary work location shall be San Diego, California, and Executive’s role may require reasonable travel as necessary to perform the duties and responsibilities of Executive’s position.</w:t>
      </w:r>
    </w:p>
    <w:p>
      <w:pPr>
        <w:spacing w:after="0" w:line="229" w:lineRule="exact"/>
        <w:rPr>
          <w:rFonts w:ascii="Times New Roman" w:cs="Times New Roman" w:eastAsia="Times New Roman" w:hAnsi="Times New Roman"/>
          <w:sz w:val="22"/>
          <w:szCs w:val="22"/>
          <w:b w:val="1"/>
          <w:bCs w:val="1"/>
          <w:color w:val="auto"/>
        </w:rPr>
      </w:pPr>
    </w:p>
    <w:p>
      <w:pPr>
        <w:ind w:firstLine="757"/>
        <w:spacing w:after="0" w:line="262" w:lineRule="auto"/>
        <w:tabs>
          <w:tab w:leader="none" w:pos="1018"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and Related Matters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consideration of the services to be rendered by Executive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Executive shall be compensated as follows:</w:t>
      </w:r>
    </w:p>
    <w:p>
      <w:pPr>
        <w:spacing w:after="0" w:line="180" w:lineRule="exact"/>
        <w:rPr>
          <w:rFonts w:ascii="Times New Roman" w:cs="Times New Roman" w:eastAsia="Times New Roman" w:hAnsi="Times New Roman"/>
          <w:sz w:val="22"/>
          <w:szCs w:val="22"/>
          <w:b w:val="1"/>
          <w:bCs w:val="1"/>
          <w:color w:val="auto"/>
        </w:rPr>
      </w:pPr>
    </w:p>
    <w:p>
      <w:pPr>
        <w:ind w:left="2260" w:hanging="755"/>
        <w:spacing w:after="0" w:line="258" w:lineRule="auto"/>
        <w:tabs>
          <w:tab w:leader="none" w:pos="226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Executive’s initial annual base salary is $600,000, which is subject to review and redetermination by the Board or the Compensation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3" w:name="page144"/>
    <w:bookmarkEnd w:id="143"/>
    <w:p>
      <w:pPr>
        <w:jc w:val="both"/>
        <w:ind w:left="1140"/>
        <w:spacing w:after="0" w:line="263" w:lineRule="auto"/>
        <w:rPr>
          <w:sz w:val="20"/>
          <w:szCs w:val="20"/>
          <w:color w:val="auto"/>
        </w:rPr>
      </w:pPr>
      <w:r>
        <w:rPr>
          <w:rFonts w:ascii="Times New Roman" w:cs="Times New Roman" w:eastAsia="Times New Roman" w:hAnsi="Times New Roman"/>
          <w:sz w:val="21"/>
          <w:szCs w:val="21"/>
          <w:color w:val="auto"/>
        </w:rPr>
        <w:t>Committee of the Board (the “</w:t>
      </w:r>
      <w:r>
        <w:rPr>
          <w:rFonts w:ascii="Times New Roman" w:cs="Times New Roman" w:eastAsia="Times New Roman" w:hAnsi="Times New Roman"/>
          <w:sz w:val="21"/>
          <w:szCs w:val="21"/>
          <w:b w:val="1"/>
          <w:bCs w:val="1"/>
          <w:color w:val="auto"/>
        </w:rPr>
        <w:t>Compensation Committee</w:t>
      </w:r>
      <w:r>
        <w:rPr>
          <w:rFonts w:ascii="Times New Roman" w:cs="Times New Roman" w:eastAsia="Times New Roman" w:hAnsi="Times New Roman"/>
          <w:sz w:val="21"/>
          <w:szCs w:val="21"/>
          <w:color w:val="auto"/>
        </w:rPr>
        <w:t>”) from time to time. The annual base salary in effect at any given time is referred to herein as “</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The Base Salary will be payable in a manner that is consistent with the Company’s usual payroll practices for senior executives.</w:t>
      </w:r>
    </w:p>
    <w:p>
      <w:pPr>
        <w:spacing w:after="0" w:line="182" w:lineRule="exact"/>
        <w:rPr>
          <w:sz w:val="20"/>
          <w:szCs w:val="20"/>
          <w:color w:val="auto"/>
        </w:rPr>
      </w:pPr>
    </w:p>
    <w:p>
      <w:pPr>
        <w:jc w:val="both"/>
        <w:ind w:left="1140" w:hanging="755"/>
        <w:spacing w:after="0" w:line="235" w:lineRule="auto"/>
        <w:tabs>
          <w:tab w:leader="none" w:pos="11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Executive is eligible to receive annual incentive compensation, to be paid on an annual basis, as determined by the Board or the Compensation Committee from time to time in accordance with the Company’s Amended and Restated Senior Executive Incentive Bonus Plan, as amended from time to time, or any subsequent plan in effect from time to time. Executive’s initial target annual incentive compensation shall be 60% of Executive’s Base Salary. Any such incentive compensation shall be paid no later than March 15 of the year following the year to which such compensation relates. Executive must be employed by the Company on the date such incentive compensation is paid in order to earn or receive any annual incentive compensation.</w:t>
      </w:r>
    </w:p>
    <w:p>
      <w:pPr>
        <w:spacing w:after="0" w:line="232" w:lineRule="exact"/>
        <w:rPr>
          <w:rFonts w:ascii="Times New Roman" w:cs="Times New Roman" w:eastAsia="Times New Roman" w:hAnsi="Times New Roman"/>
          <w:sz w:val="22"/>
          <w:szCs w:val="22"/>
          <w:color w:val="auto"/>
        </w:rPr>
      </w:pPr>
    </w:p>
    <w:p>
      <w:pPr>
        <w:jc w:val="both"/>
        <w:ind w:left="1140" w:hanging="755"/>
        <w:spacing w:after="0" w:line="255" w:lineRule="auto"/>
        <w:tabs>
          <w:tab w:leader="none" w:pos="114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 Executive shall be entitled to participate in or receive benefits under any employee benefit plan or arrangement currently maintained or which may, in the future, be made available by the Company generally to its executives and key management employees, subject to and on a basis consistent with the terms, conditions and overall administration of such plan or arrangement.</w:t>
      </w:r>
    </w:p>
    <w:p>
      <w:pPr>
        <w:spacing w:after="0" w:line="215" w:lineRule="exact"/>
        <w:rPr>
          <w:rFonts w:ascii="Times New Roman" w:cs="Times New Roman" w:eastAsia="Times New Roman" w:hAnsi="Times New Roman"/>
          <w:sz w:val="21"/>
          <w:szCs w:val="21"/>
          <w:color w:val="auto"/>
        </w:rPr>
      </w:pPr>
    </w:p>
    <w:p>
      <w:pPr>
        <w:jc w:val="both"/>
        <w:ind w:left="1140" w:hanging="755"/>
        <w:spacing w:after="0" w:line="235" w:lineRule="auto"/>
        <w:tabs>
          <w:tab w:leader="none" w:pos="11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D&amp;O Insurance</w:t>
      </w:r>
      <w:r>
        <w:rPr>
          <w:rFonts w:ascii="Times New Roman" w:cs="Times New Roman" w:eastAsia="Times New Roman" w:hAnsi="Times New Roman"/>
          <w:sz w:val="22"/>
          <w:szCs w:val="22"/>
          <w:color w:val="auto"/>
        </w:rPr>
        <w:t>. During Executive’s employment and for the period of time following termination of Executive for any reason during which time Executive could be subject to any claim based on his position in the Company, Executive will receive the maximum indemnification protection from the Company as permitted by the Company’s by-laws and shall be covered, with respect to matters arising during Executive’s employment with or service as a director of the Company, under the Company’s directors’ and officers’ insurance policy in amounts at least equal to that which is provided to any other director or officer of the Company.</w:t>
      </w:r>
    </w:p>
    <w:p>
      <w:pPr>
        <w:spacing w:after="0" w:line="237" w:lineRule="exact"/>
        <w:rPr>
          <w:rFonts w:ascii="Times New Roman" w:cs="Times New Roman" w:eastAsia="Times New Roman" w:hAnsi="Times New Roman"/>
          <w:sz w:val="22"/>
          <w:szCs w:val="22"/>
          <w:color w:val="auto"/>
        </w:rPr>
      </w:pPr>
    </w:p>
    <w:p>
      <w:pPr>
        <w:jc w:val="both"/>
        <w:ind w:left="1140" w:hanging="755"/>
        <w:spacing w:after="0" w:line="239" w:lineRule="auto"/>
        <w:tabs>
          <w:tab w:leader="none" w:pos="11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Business Expenses</w:t>
      </w:r>
      <w:r>
        <w:rPr>
          <w:rFonts w:ascii="Times New Roman" w:cs="Times New Roman" w:eastAsia="Times New Roman" w:hAnsi="Times New Roman"/>
          <w:sz w:val="22"/>
          <w:szCs w:val="22"/>
          <w:color w:val="auto"/>
        </w:rPr>
        <w:t>. The Company shall reimburse Executive for expenses reasonably and necessarily incurred by Executive in connection with the Company’s business. Expense reimbursement shall be subject to such policies the Company may adopt from time to time, including with respect to pre-approval.</w:t>
      </w:r>
    </w:p>
    <w:p>
      <w:pPr>
        <w:spacing w:after="0" w:line="234" w:lineRule="exact"/>
        <w:rPr>
          <w:rFonts w:ascii="Times New Roman" w:cs="Times New Roman" w:eastAsia="Times New Roman" w:hAnsi="Times New Roman"/>
          <w:sz w:val="22"/>
          <w:szCs w:val="22"/>
          <w:color w:val="auto"/>
        </w:rPr>
      </w:pPr>
    </w:p>
    <w:p>
      <w:pPr>
        <w:jc w:val="both"/>
        <w:ind w:left="1140" w:hanging="755"/>
        <w:spacing w:after="0" w:line="239" w:lineRule="auto"/>
        <w:tabs>
          <w:tab w:leader="none" w:pos="11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Benefits</w:t>
      </w:r>
      <w:r>
        <w:rPr>
          <w:rFonts w:ascii="Times New Roman" w:cs="Times New Roman" w:eastAsia="Times New Roman" w:hAnsi="Times New Roman"/>
          <w:sz w:val="22"/>
          <w:szCs w:val="22"/>
          <w:color w:val="auto"/>
        </w:rPr>
        <w:t>. If Executive’s employment with the Company is terminated for any reason, the Company shall pay or provide to Executive (or to Executive’s authorized representative or estate) any earned but unpaid Base Salary through the date of such termination, earned but unpaid bonus for the calendar year prior to the year of such termination, unpaid expense</w:t>
      </w:r>
    </w:p>
    <w:p>
      <w:pPr>
        <w:spacing w:after="0" w:line="3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4" w:right="339" w:bottom="1440" w:gutter="0" w:footer="0" w:header="0"/>
        </w:sectPr>
      </w:pPr>
    </w:p>
    <w:bookmarkStart w:id="144" w:name="page145"/>
    <w:bookmarkEnd w:id="144"/>
    <w:p>
      <w:pPr>
        <w:jc w:val="both"/>
        <w:ind w:left="2260"/>
        <w:spacing w:after="0" w:line="244" w:lineRule="auto"/>
        <w:rPr>
          <w:sz w:val="20"/>
          <w:szCs w:val="20"/>
          <w:color w:val="auto"/>
        </w:rPr>
      </w:pPr>
      <w:r>
        <w:rPr>
          <w:rFonts w:ascii="Times New Roman" w:cs="Times New Roman" w:eastAsia="Times New Roman" w:hAnsi="Times New Roman"/>
          <w:sz w:val="22"/>
          <w:szCs w:val="22"/>
          <w:color w:val="auto"/>
        </w:rPr>
        <w:t>reimbursements, accrued but unused vacation, and vested benefits Executive may have under any employee benefit plan of the Company (the “</w:t>
      </w:r>
      <w:r>
        <w:rPr>
          <w:rFonts w:ascii="Times New Roman" w:cs="Times New Roman" w:eastAsia="Times New Roman" w:hAnsi="Times New Roman"/>
          <w:sz w:val="22"/>
          <w:szCs w:val="22"/>
          <w:b w:val="1"/>
          <w:bCs w:val="1"/>
          <w:color w:val="auto"/>
        </w:rPr>
        <w:t>Accrued Benefits</w:t>
      </w:r>
      <w:r>
        <w:rPr>
          <w:rFonts w:ascii="Times New Roman" w:cs="Times New Roman" w:eastAsia="Times New Roman" w:hAnsi="Times New Roman"/>
          <w:sz w:val="22"/>
          <w:szCs w:val="22"/>
          <w:color w:val="auto"/>
        </w:rPr>
        <w:t>”), in addition to any other payments that may be required under this Agreement.</w:t>
      </w:r>
    </w:p>
    <w:p>
      <w:pPr>
        <w:spacing w:after="0" w:line="196" w:lineRule="exact"/>
        <w:rPr>
          <w:sz w:val="20"/>
          <w:szCs w:val="20"/>
          <w:color w:val="auto"/>
        </w:rPr>
      </w:pPr>
    </w:p>
    <w:p>
      <w:pPr>
        <w:jc w:val="both"/>
        <w:ind w:firstLine="757"/>
        <w:spacing w:after="0" w:line="246" w:lineRule="auto"/>
        <w:tabs>
          <w:tab w:leader="none" w:pos="1072"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All compensation, benefits and other amounts payable or provided hereunder to, or for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be subject to all applicable taxes and other withholdings under federal, state, and local law. Nothing herein shall be construed to require any compensation arrangement in any way that is most tax-favorable to Executive.</w:t>
      </w:r>
    </w:p>
    <w:p>
      <w:pPr>
        <w:spacing w:after="0" w:line="221"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Certain Definitions.</w:t>
      </w:r>
    </w:p>
    <w:p>
      <w:pPr>
        <w:spacing w:after="0" w:line="260" w:lineRule="exact"/>
        <w:rPr>
          <w:rFonts w:ascii="Times New Roman" w:cs="Times New Roman" w:eastAsia="Times New Roman" w:hAnsi="Times New Roman"/>
          <w:sz w:val="22"/>
          <w:szCs w:val="22"/>
          <w:b w:val="1"/>
          <w:bCs w:val="1"/>
          <w:color w:val="auto"/>
        </w:rPr>
      </w:pPr>
    </w:p>
    <w:p>
      <w:pPr>
        <w:jc w:val="both"/>
        <w:ind w:left="1880" w:hanging="375"/>
        <w:spacing w:after="0" w:line="232" w:lineRule="auto"/>
        <w:tabs>
          <w:tab w:leader="none" w:pos="1948"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means: (i) conduct by Executive constituting a material act of misconduct in connection with the performance of Executive’s duties, including, without limitation, misappropriation of funds or property of the Company or any of its subsidiaries or affiliates other than the occasional, customary and de minimis use of Company property for personal purposes; (ii) the commission by Executive of (A) any felony; or (B) a misdemeanor involving moral turpitude, deceit, dishonesty or fraud; (iii) any conduct by Executive that would reasonably be expected to result in material injury or reputational harm to the Company or any of its subsidiaries and affiliates if Executive were retained in Executive’s position; (iv) continued material and substantial non-performance by Executive of Executive’s material responsibilities hereunder (other than by reason of Executive’s physical or mental illness, incapacity or disability) which has continued for more than 30 days following written notice of such non-performance from the Board; (v) a material and substantial breach by Executive of any of Executive’s confidentiality, noncompetition, nonsolicitation or other similar restrictive covenant obligations to the Company; (vi) a material and substantial violation by Executive of any of the Company’s written employment policies; or (vii) failure to cooperate with a bona fide internal investigation by or on behalf of the Board or an authorized committee thereof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242" w:lineRule="exact"/>
        <w:rPr>
          <w:rFonts w:ascii="Times New Roman" w:cs="Times New Roman" w:eastAsia="Times New Roman" w:hAnsi="Times New Roman"/>
          <w:sz w:val="22"/>
          <w:szCs w:val="22"/>
          <w:color w:val="auto"/>
        </w:rPr>
      </w:pPr>
    </w:p>
    <w:p>
      <w:pPr>
        <w:jc w:val="both"/>
        <w:ind w:left="1880" w:hanging="375"/>
        <w:spacing w:after="0" w:line="236" w:lineRule="auto"/>
        <w:tabs>
          <w:tab w:leader="none" w:pos="188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the inability of Executive to perform Executive’s duties under this Agreement, whether with or without reasonable accommodation, because Executive has become permanently disabled within the meaning of any policy of disability income insurance covering employees of the Company then in force. In the event the Company has no policy of disability income insurance covering employees of the Company in force when Executive becomes disabled, the term “Disability” shall mean the inability of Executive to perform Executive’s duties under this Agreement, whether with or without reasonable accommodation, by reason of any incapacity, physical or mental,</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jc w:val="both"/>
        <w:ind w:left="760"/>
        <w:spacing w:after="0" w:line="234" w:lineRule="auto"/>
        <w:rPr>
          <w:sz w:val="20"/>
          <w:szCs w:val="20"/>
          <w:color w:val="auto"/>
        </w:rPr>
      </w:pPr>
      <w:r>
        <w:rPr>
          <w:rFonts w:ascii="Times New Roman" w:cs="Times New Roman" w:eastAsia="Times New Roman" w:hAnsi="Times New Roman"/>
          <w:sz w:val="22"/>
          <w:szCs w:val="22"/>
          <w:color w:val="auto"/>
        </w:rPr>
        <w:t>which the Board, based upon medical advice or an opinion provided by a licensed physician acceptable to the Board, determines to have incapacitated Executive from satisfactorily performing all of Executive’s usual services for the Company, with or without reasonable accommodation, for a period of at least one hundred twenty (120) days during any twelve (12) month period (whether or not consecutive). Based upon such medical advice or opinion, the determination of the Board shall be final and binding and the date such determination is made shall be the date of such Disability for purposes of this Agreement. Nothing in this Section shall be construed to waive Executive’s rights, if any, under existing law including, without limitation, the Family and Medical Leave Act of 1993, 29 U.S.C. §2601 et seq. and the Americans with Disabilities Act, 42 U.S.C. §12101 et seq.</w:t>
      </w:r>
    </w:p>
    <w:p>
      <w:pPr>
        <w:spacing w:after="0" w:line="233" w:lineRule="exact"/>
        <w:rPr>
          <w:sz w:val="20"/>
          <w:szCs w:val="20"/>
          <w:color w:val="auto"/>
        </w:rPr>
      </w:pPr>
    </w:p>
    <w:p>
      <w:pPr>
        <w:jc w:val="both"/>
        <w:ind w:left="760" w:hanging="375"/>
        <w:spacing w:after="0" w:line="234" w:lineRule="auto"/>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 that Executive has complied with the Good Reason Process (defined below) following the occurrence of any of the following events: (i) a material diminution in Executive’s responsibilities, authorities, powers, functions or duties; (ii) a material reduction in Executive’s then-current Base Salary or target annual incentive compensation, except for across-the-board reductions based on the Company’s financial performance similarly affecting all or substantially all senior management employees of the Company; or (iii) the relocation of Executive’s principal place of business to a place that is more than twenty-five (25) miles from Executive’s current location of employment as of the Effective Date (not including intermittent business trips). Notwithstanding the above, none of the following shall be considered Good Reason: (x) the mere occurrence of a Sale Event; (y) any change in the identity of the surviving corporation in the event of a Sale Event; or (z) any change in the status of the surviving corporation after a Sale Event as a public or private company.</w:t>
      </w:r>
    </w:p>
    <w:p>
      <w:pPr>
        <w:spacing w:after="0" w:line="229" w:lineRule="exact"/>
        <w:rPr>
          <w:rFonts w:ascii="Times New Roman" w:cs="Times New Roman" w:eastAsia="Times New Roman" w:hAnsi="Times New Roman"/>
          <w:sz w:val="22"/>
          <w:szCs w:val="22"/>
          <w:color w:val="auto"/>
        </w:rPr>
      </w:pPr>
    </w:p>
    <w:p>
      <w:pPr>
        <w:jc w:val="both"/>
        <w:ind w:left="760" w:hanging="375"/>
        <w:spacing w:after="0" w:line="235" w:lineRule="auto"/>
        <w:tabs>
          <w:tab w:leader="none" w:pos="82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 Process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Good Reason Process</w:t>
      </w:r>
      <w:r>
        <w:rPr>
          <w:rFonts w:ascii="Times New Roman" w:cs="Times New Roman" w:eastAsia="Times New Roman" w:hAnsi="Times New Roman"/>
          <w:sz w:val="22"/>
          <w:szCs w:val="22"/>
          <w:color w:val="auto"/>
        </w:rPr>
        <w:t>” means that (i) Executive reasonably determines in good faith that a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condition has occurred; (ii) Executive notifies the Company in writing of the occurrence of the Good Reason condition within 60 days of the first occurrence of such condition; (iii) Executive cooperates in good faith with the Company’s efforts, for a period of 30 days following such notice (the “</w:t>
      </w:r>
      <w:r>
        <w:rPr>
          <w:rFonts w:ascii="Times New Roman" w:cs="Times New Roman" w:eastAsia="Times New Roman" w:hAnsi="Times New Roman"/>
          <w:sz w:val="22"/>
          <w:szCs w:val="22"/>
          <w:b w:val="1"/>
          <w:bCs w:val="1"/>
          <w:color w:val="auto"/>
        </w:rPr>
        <w:t>Cure Period</w:t>
      </w:r>
      <w:r>
        <w:rPr>
          <w:rFonts w:ascii="Times New Roman" w:cs="Times New Roman" w:eastAsia="Times New Roman" w:hAnsi="Times New Roman"/>
          <w:sz w:val="22"/>
          <w:szCs w:val="22"/>
          <w:color w:val="auto"/>
        </w:rPr>
        <w:t>”), to remedy the condition; (iv) notwithstanding such efforts, the Good Reason condition continues to exist; and (v) Executive terminates Executive’s employment within 30 days after the end of the Cure Period. If the Company cures the Good Reason condition during the Cure Period, Good Reason shall be deemed not to have occurred.</w:t>
      </w:r>
    </w:p>
    <w:p>
      <w:pPr>
        <w:spacing w:after="0" w:line="232" w:lineRule="exact"/>
        <w:rPr>
          <w:rFonts w:ascii="Times New Roman" w:cs="Times New Roman" w:eastAsia="Times New Roman" w:hAnsi="Times New Roman"/>
          <w:sz w:val="22"/>
          <w:szCs w:val="22"/>
          <w:color w:val="auto"/>
        </w:rPr>
      </w:pPr>
    </w:p>
    <w:p>
      <w:pPr>
        <w:jc w:val="both"/>
        <w:ind w:left="760" w:hanging="375"/>
        <w:spacing w:after="0" w:line="246" w:lineRule="auto"/>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Event Period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Sale Event Period</w:t>
      </w:r>
      <w:r>
        <w:rPr>
          <w:rFonts w:ascii="Times New Roman" w:cs="Times New Roman" w:eastAsia="Times New Roman" w:hAnsi="Times New Roman"/>
          <w:sz w:val="22"/>
          <w:szCs w:val="22"/>
          <w:color w:val="auto"/>
        </w:rPr>
        <w:t>” means the period beginning on the date three (3) months prior to, and ending on the date twelve (12) months after, the consummation of a Sale Event (as defined in the Company’s 2022 Stock Option and Incentive Plan, as may be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w:t>
      </w:r>
    </w:p>
    <w:p>
      <w:pPr>
        <w:spacing w:after="0" w:line="221"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Terminating Event</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color w:val="auto"/>
        </w:rPr>
        <w:t>Terminating Event</w:t>
      </w:r>
      <w:r>
        <w:rPr>
          <w:rFonts w:ascii="Times New Roman" w:cs="Times New Roman" w:eastAsia="Times New Roman" w:hAnsi="Times New Roman"/>
          <w:sz w:val="22"/>
          <w:szCs w:val="22"/>
          <w:color w:val="auto"/>
        </w:rPr>
        <w:t>” means termination of Executive’s</w:t>
      </w:r>
    </w:p>
    <w:p>
      <w:pPr>
        <w:spacing w:after="0" w:line="200" w:lineRule="exact"/>
        <w:rPr>
          <w:sz w:val="20"/>
          <w:szCs w:val="20"/>
          <w:color w:val="auto"/>
        </w:rPr>
      </w:pPr>
    </w:p>
    <w:p>
      <w:pPr>
        <w:spacing w:after="0" w:line="2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46" w:name="page147"/>
    <w:bookmarkEnd w:id="146"/>
    <w:p>
      <w:pPr>
        <w:jc w:val="both"/>
        <w:ind w:left="1880"/>
        <w:spacing w:after="0" w:line="239" w:lineRule="auto"/>
        <w:rPr>
          <w:sz w:val="20"/>
          <w:szCs w:val="20"/>
          <w:color w:val="auto"/>
        </w:rPr>
      </w:pPr>
      <w:r>
        <w:rPr>
          <w:rFonts w:ascii="Times New Roman" w:cs="Times New Roman" w:eastAsia="Times New Roman" w:hAnsi="Times New Roman"/>
          <w:sz w:val="22"/>
          <w:szCs w:val="22"/>
          <w:color w:val="auto"/>
        </w:rPr>
        <w:t>employment by the Company without Cause or by Executive for Good Reason. A Terminating Event does not include: (i) the ending of Executive’s employment due to Executive’s death or Disability, (ii) Executive’s resignation for any reason other than for Good Reason, or (iii) the Company’s termination of Executive’s employment for Cause.</w:t>
      </w:r>
    </w:p>
    <w:p>
      <w:pPr>
        <w:spacing w:after="0" w:line="203" w:lineRule="exact"/>
        <w:rPr>
          <w:sz w:val="20"/>
          <w:szCs w:val="20"/>
          <w:color w:val="auto"/>
        </w:rPr>
      </w:pPr>
    </w:p>
    <w:p>
      <w:pPr>
        <w:jc w:val="both"/>
        <w:ind w:firstLine="757"/>
        <w:spacing w:after="0" w:line="237" w:lineRule="auto"/>
        <w:tabs>
          <w:tab w:leader="none" w:pos="1074"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and Accelerated Vesting if a Terminating Event Occurs within the Sale Event Period</w:t>
      </w:r>
      <w:r>
        <w:rPr>
          <w:rFonts w:ascii="Times New Roman" w:cs="Times New Roman" w:eastAsia="Times New Roman" w:hAnsi="Times New Roman"/>
          <w:sz w:val="22"/>
          <w:szCs w:val="22"/>
          <w:color w:val="auto"/>
        </w:rPr>
        <w:t>. In the event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Terminating Event occurs within the Sale Event Period, subject to Executive signing and complying with a separation agreement and general release agreement that is timely provided in good faith by the Company and which, among other things, requires a reaffirmation of Executive’s restrictive-covenant and confidentiality obligations to Company (the “</w:t>
      </w:r>
      <w:r>
        <w:rPr>
          <w:rFonts w:ascii="Times New Roman" w:cs="Times New Roman" w:eastAsia="Times New Roman" w:hAnsi="Times New Roman"/>
          <w:sz w:val="22"/>
          <w:szCs w:val="22"/>
          <w:b w:val="1"/>
          <w:bCs w:val="1"/>
          <w:color w:val="auto"/>
        </w:rPr>
        <w:t>Separation Agreement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and the Separation Agreement and Release becoming irrevocable pursuant to its terms, all within 60 days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of Termination (defined below), the following shall occur:</w:t>
      </w:r>
    </w:p>
    <w:p>
      <w:pPr>
        <w:spacing w:after="0" w:line="233" w:lineRule="exact"/>
        <w:rPr>
          <w:rFonts w:ascii="Times New Roman" w:cs="Times New Roman" w:eastAsia="Times New Roman" w:hAnsi="Times New Roman"/>
          <w:sz w:val="22"/>
          <w:szCs w:val="22"/>
          <w:b w:val="1"/>
          <w:bCs w:val="1"/>
          <w:color w:val="auto"/>
        </w:rPr>
      </w:pPr>
    </w:p>
    <w:p>
      <w:pPr>
        <w:jc w:val="both"/>
        <w:ind w:left="1880" w:hanging="375"/>
        <w:spacing w:after="0" w:line="238" w:lineRule="auto"/>
        <w:tabs>
          <w:tab w:leader="none" w:pos="188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Executive a lump sum in cash in an amount equal to the sum of (i) eighteen (18) months of Executive’s then-current Base Salary in effect immediately prior to the Terminating Event (or Executive’s Base Salary in effect immediately prior to the Sale Event, if higher) and (ii) an amount representing 1.5 times Executive’s target annual incentive compensation for the year in which the termination occurs;</w:t>
      </w:r>
    </w:p>
    <w:p>
      <w:pPr>
        <w:spacing w:after="0" w:line="230" w:lineRule="exact"/>
        <w:rPr>
          <w:rFonts w:ascii="Times New Roman" w:cs="Times New Roman" w:eastAsia="Times New Roman" w:hAnsi="Times New Roman"/>
          <w:sz w:val="22"/>
          <w:szCs w:val="22"/>
          <w:color w:val="auto"/>
        </w:rPr>
      </w:pPr>
    </w:p>
    <w:p>
      <w:pPr>
        <w:jc w:val="both"/>
        <w:ind w:left="1880" w:hanging="375"/>
        <w:spacing w:after="0" w:line="233" w:lineRule="auto"/>
        <w:tabs>
          <w:tab w:leader="none" w:pos="188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Executive was participating in the Company’s group health plan immediately prior to the Date of Termination and properly elects COBRA health continuation, then subject to Executive’s copayment of monthly premium amounts at the active employees’ rate, the Company shall pay to the group health plan provider or the COBRA provider, on a monthly basis, the remainder of the premiums for Executive’s and Executive’s family’s participation in the Company’s group health plans until the earliest of (i) eighteen (18) months, (ii) the date Executive becomes eligible for group health plan benefits under any other employer’s group health plan, and (ii) the cessation of Executive’s health continuation rights under COBRA;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Company determines that it cannot pay such amounts to the group health plan provider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the COBRA provider (as applicable) without potentially violating applicable law (including, without limitation, the Patient Protection and Affordable Care Act or the Health Care and Education Reconciliation Act of 2010, and the guidance and regulations issued thereunder), then the Company shall, in lieu thereof, convert such payments to payroll payments directly to Executive for the time period specified above, and such payments to Executive shall be subject to tax-related deductions and withholdings and paid on the Company’s regular payroll dates; and</w:t>
      </w:r>
    </w:p>
    <w:p>
      <w:pPr>
        <w:spacing w:after="0" w:line="233" w:lineRule="exact"/>
        <w:rPr>
          <w:rFonts w:ascii="Times New Roman" w:cs="Times New Roman" w:eastAsia="Times New Roman" w:hAnsi="Times New Roman"/>
          <w:sz w:val="22"/>
          <w:szCs w:val="22"/>
          <w:color w:val="auto"/>
        </w:rPr>
      </w:pPr>
    </w:p>
    <w:p>
      <w:pPr>
        <w:jc w:val="both"/>
        <w:ind w:left="1880" w:hanging="375"/>
        <w:spacing w:after="0" w:line="239" w:lineRule="auto"/>
        <w:tabs>
          <w:tab w:leader="none" w:pos="188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any applicable option agreement, restricted stock unit award or other stock-based award agreement, including those under the Plan (collectively, “</w:t>
      </w:r>
      <w:r>
        <w:rPr>
          <w:rFonts w:ascii="Times New Roman" w:cs="Times New Roman" w:eastAsia="Times New Roman" w:hAnsi="Times New Roman"/>
          <w:sz w:val="22"/>
          <w:szCs w:val="22"/>
          <w:b w:val="1"/>
          <w:bCs w:val="1"/>
          <w:color w:val="auto"/>
        </w:rPr>
        <w:t>Equity Awards</w:t>
      </w:r>
      <w:r>
        <w:rPr>
          <w:rFonts w:ascii="Times New Roman" w:cs="Times New Roman" w:eastAsia="Times New Roman" w:hAnsi="Times New Roman"/>
          <w:sz w:val="22"/>
          <w:szCs w:val="22"/>
          <w:color w:val="auto"/>
        </w:rPr>
        <w:t>”), all (i) time-based vesting provisions of Executive’s then outstanding Equity Awards shall immediately accelerate and (ii) the Company’s repurchase rights with respect to all such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jc w:val="both"/>
        <w:ind w:left="1880"/>
        <w:spacing w:after="0" w:line="232" w:lineRule="auto"/>
        <w:rPr>
          <w:sz w:val="20"/>
          <w:szCs w:val="20"/>
          <w:color w:val="auto"/>
        </w:rPr>
      </w:pPr>
      <w:r>
        <w:rPr>
          <w:rFonts w:ascii="Times New Roman" w:cs="Times New Roman" w:eastAsia="Times New Roman" w:hAnsi="Times New Roman"/>
          <w:sz w:val="22"/>
          <w:szCs w:val="22"/>
          <w:color w:val="auto"/>
        </w:rPr>
        <w:t>outstanding time-based Equity Awards shall immediately lapse, in each case, in full such that as of the later of (A) Date of Termination (or date of the Sale Event, if later) and (B) the effective date of the Separation Agreement and Release (the “</w:t>
      </w:r>
      <w:r>
        <w:rPr>
          <w:rFonts w:ascii="Times New Roman" w:cs="Times New Roman" w:eastAsia="Times New Roman" w:hAnsi="Times New Roman"/>
          <w:sz w:val="22"/>
          <w:szCs w:val="22"/>
          <w:b w:val="1"/>
          <w:bCs w:val="1"/>
          <w:color w:val="auto"/>
        </w:rPr>
        <w:t>Accelerated Vesting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if such termination occurs following the Sale Event, then any termination or forfeiture of the unvested shares subject to such Equity Awards that would otherwise occur on the Date of Termination will be delayed until the effective date of the Separation Agreement and Release and will only occur if the vesting pursuant to this Section does not occur due to the absence of the Separation Agreement and Release becoming fully effective within the time period set forth herein;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if such termination occurs prior to the Sale Event, then any termination or forfeiture of the unvested shares subject to such Equity Awards that would otherwise occur on the Date of Termination will be delayed until three (3) months following such termination and will only occur if either the Separation Agreement and Release does not become fully effective within the time period set forth herein or a Sale Event does not occur during those three (3) months. Notwithstanding the foregoing, no additional vesting of the shares subject to the Equity Awards shall occur during the period between the Date of Termination and the Accelerated Vesting Date. For the avoidance of doubt, for any Equity Awards that include both a performance-based vesting condition (which may include the achievement of a specified stock price or market capitalization) and a time-based vesting condition or any Equity Awards that vest solely upon the achievement of a performance-based vesting condition, no acceleration of vesting shall be provided unless such performance-based vesting condition has been satisfied as of the Date of Termination (or date of the Sale Event, if later)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in determining whether the achievement of a specified stock price as reported on the NASDAQ Stock Market has been satisfied, such price shall be deemed satisfied to the extent that the consideration payable per share of Common Stock of the Company in connection with such Sale Event, as determined in good faith by the Board or the Compensation Committee, exceeds such stock price.</w:t>
      </w:r>
    </w:p>
    <w:p>
      <w:pPr>
        <w:spacing w:after="0" w:line="234" w:lineRule="exact"/>
        <w:rPr>
          <w:sz w:val="20"/>
          <w:szCs w:val="20"/>
          <w:color w:val="auto"/>
        </w:rPr>
      </w:pPr>
    </w:p>
    <w:p>
      <w:pPr>
        <w:jc w:val="both"/>
        <w:ind w:firstLine="978"/>
        <w:spacing w:after="0" w:line="246" w:lineRule="auto"/>
        <w:rPr>
          <w:sz w:val="20"/>
          <w:szCs w:val="20"/>
          <w:color w:val="auto"/>
        </w:rPr>
      </w:pPr>
      <w:r>
        <w:rPr>
          <w:rFonts w:ascii="Times New Roman" w:cs="Times New Roman" w:eastAsia="Times New Roman" w:hAnsi="Times New Roman"/>
          <w:sz w:val="21"/>
          <w:szCs w:val="21"/>
          <w:color w:val="auto"/>
        </w:rPr>
        <w:t xml:space="preserve">The amounts payable under Section 6(a) and (b) shall be paid or, with respect to Section 6(b), commence to be paid within 60 days after the Date of Termination;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xml:space="preserve">”) shall be paid or commence to be paid in the second calendar year by the last day of such 60-day period;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the initial payment shall include a catch-up payment to cover amounts retroactive to the day immediately following the Date of Termination. The payments pursuant to this Section 6 are intended to be exempt under the “short term deferral” and “separation pay” exceptions under Treasury Regulation Sections 1.409A-1(b)(4) and 1.409A-1(b)(9)(iii), respectively, to the maximum extent permitted by Section 409A of the Code, and this Agreement shall be interpreted and administered in a manner consistent with such intent. Each payment pursuant to this Agreement is intended to constitute a separate and distinct payment for purposes of Treasury Regulation Section 1.409A-2(b)(2).</w:t>
      </w:r>
    </w:p>
    <w:p>
      <w:pPr>
        <w:spacing w:after="0" w:line="167" w:lineRule="exact"/>
        <w:rPr>
          <w:sz w:val="20"/>
          <w:szCs w:val="20"/>
          <w:color w:val="auto"/>
        </w:rPr>
      </w:pPr>
    </w:p>
    <w:p>
      <w:pPr>
        <w:ind w:left="1080" w:hanging="323"/>
        <w:spacing w:after="0"/>
        <w:tabs>
          <w:tab w:leader="none" w:pos="108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if a Terminating Event Occurs Outside the Sale Event Period</w:t>
      </w:r>
      <w:r>
        <w:rPr>
          <w:rFonts w:ascii="Times New Roman" w:cs="Times New Roman" w:eastAsia="Times New Roman" w:hAnsi="Times New Roman"/>
          <w:sz w:val="22"/>
          <w:szCs w:val="22"/>
          <w:color w:val="auto"/>
        </w:rPr>
        <w:t>. In the</w:t>
      </w:r>
    </w:p>
    <w:p>
      <w:pPr>
        <w:spacing w:after="0" w:line="200" w:lineRule="exact"/>
        <w:rPr>
          <w:rFonts w:ascii="Times New Roman" w:cs="Times New Roman" w:eastAsia="Times New Roman" w:hAnsi="Times New Roman"/>
          <w:sz w:val="22"/>
          <w:szCs w:val="22"/>
          <w:b w:val="1"/>
          <w:bCs w:val="1"/>
          <w:color w:val="auto"/>
        </w:rPr>
      </w:pPr>
    </w:p>
    <w:p>
      <w:pPr>
        <w:spacing w:after="0" w:line="217" w:lineRule="exact"/>
        <w:rPr>
          <w:rFonts w:ascii="Times New Roman" w:cs="Times New Roman" w:eastAsia="Times New Roman" w:hAnsi="Times New Roman"/>
          <w:sz w:val="22"/>
          <w:szCs w:val="22"/>
          <w:b w:val="1"/>
          <w:bCs w:val="1"/>
          <w:color w:val="auto"/>
        </w:rPr>
      </w:pPr>
    </w:p>
    <w:p>
      <w:pPr>
        <w:ind w:left="55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jc w:val="both"/>
        <w:spacing w:after="0" w:line="244" w:lineRule="auto"/>
        <w:rPr>
          <w:sz w:val="20"/>
          <w:szCs w:val="20"/>
          <w:color w:val="auto"/>
        </w:rPr>
      </w:pPr>
      <w:r>
        <w:rPr>
          <w:rFonts w:ascii="Times New Roman" w:cs="Times New Roman" w:eastAsia="Times New Roman" w:hAnsi="Times New Roman"/>
          <w:sz w:val="22"/>
          <w:szCs w:val="22"/>
          <w:color w:val="auto"/>
        </w:rPr>
        <w:t>event a Terminating Event occurs at any time other than during the Sale Event Period, subject to Executive signing and complying with the Separation Agreement and Release and the Separation Agreement and Release becoming irrevocable pursuant to its terms, all within 60 days after the Date of Termination, the following shall occur:</w:t>
      </w:r>
    </w:p>
    <w:p>
      <w:pPr>
        <w:spacing w:after="0" w:line="227" w:lineRule="exact"/>
        <w:rPr>
          <w:sz w:val="20"/>
          <w:szCs w:val="20"/>
          <w:color w:val="auto"/>
        </w:rPr>
      </w:pPr>
    </w:p>
    <w:p>
      <w:pPr>
        <w:jc w:val="both"/>
        <w:ind w:left="1880" w:hanging="375"/>
        <w:spacing w:after="0" w:line="236" w:lineRule="auto"/>
        <w:tabs>
          <w:tab w:leader="none" w:pos="18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Executive cash in an amount equal to the sum of (i) twelve (12) months of Executive’s then-current Base Salary in effect immediately prior to the Terminating Event, and (ii) Executive’s target annual incentive compensation for the year in which the termination occurs (with the payments for both (i) and (ii) to be paid in approximately equal installments over the course of twelve months on the Company’s regular payroll dates, commencing on the first payroll date that occurs after the Separation Agreement and Release becomes fully effective); and</w:t>
      </w:r>
    </w:p>
    <w:p>
      <w:pPr>
        <w:spacing w:after="0" w:line="235" w:lineRule="exact"/>
        <w:rPr>
          <w:rFonts w:ascii="Times New Roman" w:cs="Times New Roman" w:eastAsia="Times New Roman" w:hAnsi="Times New Roman"/>
          <w:sz w:val="22"/>
          <w:szCs w:val="22"/>
          <w:color w:val="auto"/>
        </w:rPr>
      </w:pPr>
    </w:p>
    <w:p>
      <w:pPr>
        <w:jc w:val="both"/>
        <w:ind w:left="1880" w:hanging="375"/>
        <w:spacing w:after="0" w:line="233" w:lineRule="auto"/>
        <w:tabs>
          <w:tab w:leader="none" w:pos="18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Executive was participating in the Company’s group health plan immediately prior to the Date of Termination and properly elects COBRA health continuation, then subject to Executive’s copayment of monthly premium amounts at the active employees’ rate, the Company shall pay to the group health plan provider or the COBRA provider, on a monthly basis, the remainder of the premiums for Executive’s and Executive’s family’s participation in the Company’s group health plans until the earliest of (i) twelve (12) months, (ii) the date Executive becomes eligible for group health plan benefits under any other employer’s group health plan, and (ii) the cessation of Executive’s health continuation rights under COBRA;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Company determines that it cannot pay such amounts to the group health plan provider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the COBRA provider (as applicable) without potentially violating applicable law (including, without limitation, </w:t>
      </w:r>
      <w:r>
        <w:rPr>
          <w:rFonts w:ascii="Times New Roman" w:cs="Times New Roman" w:eastAsia="Times New Roman" w:hAnsi="Times New Roman"/>
          <w:sz w:val="19"/>
          <w:szCs w:val="19"/>
          <w:color w:val="auto"/>
        </w:rPr>
        <w:t>the</w:t>
      </w:r>
      <w:r>
        <w:rPr>
          <w:rFonts w:ascii="Times New Roman" w:cs="Times New Roman" w:eastAsia="Times New Roman" w:hAnsi="Times New Roman"/>
          <w:sz w:val="22"/>
          <w:szCs w:val="22"/>
          <w:color w:val="auto"/>
        </w:rPr>
        <w:t xml:space="preserve"> Patient Protection and Affordable Care Act or the Health Care and Education Reconciliation Act of 2010, and the guidance and regulations issued thereunder), then the Company shall, in lieu thereof, convert such payments to payroll payments directly to Executive for the time period specified above, and such payments to Executive shall be subject to tax-related deductions and withholdings and paid on the Company’s regular payroll dates.</w:t>
      </w:r>
    </w:p>
    <w:p>
      <w:pPr>
        <w:spacing w:after="0" w:line="234" w:lineRule="exact"/>
        <w:rPr>
          <w:sz w:val="20"/>
          <w:szCs w:val="20"/>
          <w:color w:val="auto"/>
        </w:rPr>
      </w:pPr>
    </w:p>
    <w:p>
      <w:pPr>
        <w:jc w:val="both"/>
        <w:ind w:firstLine="978"/>
        <w:spacing w:after="0" w:line="234" w:lineRule="auto"/>
        <w:rPr>
          <w:sz w:val="20"/>
          <w:szCs w:val="20"/>
          <w:color w:val="auto"/>
        </w:rPr>
      </w:pPr>
      <w:r>
        <w:rPr>
          <w:rFonts w:ascii="Times New Roman" w:cs="Times New Roman" w:eastAsia="Times New Roman" w:hAnsi="Times New Roman"/>
          <w:sz w:val="22"/>
          <w:szCs w:val="22"/>
          <w:color w:val="auto"/>
        </w:rPr>
        <w:t xml:space="preserve">The amounts payable under Section 7(a) and (b) shall commence to be paid within 60 days after the Date of Termination;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the 60-day period begins in one calendar year and ends in a second calendar year, such payments, to the extent they qualify as “non-qualified deferred compensation” within the meaning of Section 409A of the Code, shall commence to be paid in the second calendar year by the last day of such 60-day period;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the initial payment shall include a catch-up payment to cover amounts retroactive to the day immediately following the Date of Termination. The payments pursuant to this Section 7 are intended to be exempt under the “short term deferral” and “separation pay” exceptions under Treasury Regulation Sections 1.409A-1(b)(4) and 1.409A-1(b)(9)(iii), respectively, to the maximum extent permitted by Section 409A of the Code, and this Agreement shall be interpreted and administered in a manner consistent with such intent. Each payment pursuant to this Agreement is intended to constitute a separate and distinct payment for purposes of Treasury Regulation Section 1.409A-2(b)(2).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ind w:firstLine="757"/>
        <w:spacing w:after="0" w:line="262" w:lineRule="auto"/>
        <w:tabs>
          <w:tab w:leader="none" w:pos="1079"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Contemporaneous with the execution of this Agreement, Executive agrees to enter into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abide by the Proprietary Information and Inventions Agreement (“</w:t>
      </w:r>
      <w:r>
        <w:rPr>
          <w:rFonts w:ascii="Times New Roman" w:cs="Times New Roman" w:eastAsia="Times New Roman" w:hAnsi="Times New Roman"/>
          <w:sz w:val="22"/>
          <w:szCs w:val="22"/>
          <w:b w:val="1"/>
          <w:bCs w:val="1"/>
          <w:color w:val="auto"/>
        </w:rPr>
        <w:t>PIIA</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Limitation.</w:t>
      </w:r>
    </w:p>
    <w:p>
      <w:pPr>
        <w:spacing w:after="0" w:line="264" w:lineRule="exact"/>
        <w:rPr>
          <w:rFonts w:ascii="Times New Roman" w:cs="Times New Roman" w:eastAsia="Times New Roman" w:hAnsi="Times New Roman"/>
          <w:sz w:val="22"/>
          <w:szCs w:val="22"/>
          <w:b w:val="1"/>
          <w:bCs w:val="1"/>
          <w:color w:val="auto"/>
        </w:rPr>
      </w:pPr>
    </w:p>
    <w:p>
      <w:pPr>
        <w:jc w:val="both"/>
        <w:ind w:left="1880" w:hanging="375"/>
        <w:spacing w:after="0" w:line="233" w:lineRule="auto"/>
        <w:tabs>
          <w:tab w:leader="none" w:pos="188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22"/>
          <w:szCs w:val="22"/>
          <w:b w:val="1"/>
          <w:bCs w:val="1"/>
          <w:color w:val="auto"/>
        </w:rPr>
        <w:t>Aggregate Payments</w:t>
      </w:r>
      <w:r>
        <w:rPr>
          <w:rFonts w:ascii="Times New Roman" w:cs="Times New Roman" w:eastAsia="Times New Roman" w:hAnsi="Times New Roman"/>
          <w:sz w:val="22"/>
          <w:szCs w:val="22"/>
          <w:color w:val="auto"/>
        </w:rPr>
        <w:t>”), would be subject to the excise tax imposed by Section 4999 of the Code, then the Aggregate Payments shall be reduced (but not below zero) so that the sum of all of the Aggregate Payments shall be $1.00 less than the amount at which Executive becomes subject to the excise tax imposed by Section 4999 of the Code; provided that such reduction shall only occur if it would result in Executive receiving a higher After Tax Amount (as defined below) than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w:t>
      </w:r>
    </w:p>
    <w:p>
      <w:pPr>
        <w:spacing w:after="0" w:line="236" w:lineRule="exact"/>
        <w:rPr>
          <w:rFonts w:ascii="Times New Roman" w:cs="Times New Roman" w:eastAsia="Times New Roman" w:hAnsi="Times New Roman"/>
          <w:sz w:val="22"/>
          <w:szCs w:val="22"/>
          <w:color w:val="auto"/>
        </w:rPr>
      </w:pPr>
    </w:p>
    <w:p>
      <w:pPr>
        <w:jc w:val="both"/>
        <w:ind w:left="2620" w:hanging="171"/>
        <w:spacing w:after="0" w:line="236" w:lineRule="auto"/>
        <w:tabs>
          <w:tab w:leader="none" w:pos="2620"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cash payments not subject to Section 409A of the Code; (ii) cash payments subject to Section 409A of the Code; (iii) equity-based payments and acceleration; and (iv) non-cash forms of benefits;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231" w:lineRule="exact"/>
        <w:rPr>
          <w:rFonts w:ascii="Times New Roman" w:cs="Times New Roman" w:eastAsia="Times New Roman" w:hAnsi="Times New Roman"/>
          <w:sz w:val="22"/>
          <w:szCs w:val="22"/>
          <w:color w:val="auto"/>
        </w:rPr>
      </w:pPr>
    </w:p>
    <w:p>
      <w:pPr>
        <w:jc w:val="both"/>
        <w:ind w:left="1880" w:hanging="375"/>
        <w:spacing w:after="0" w:line="235" w:lineRule="auto"/>
        <w:tabs>
          <w:tab w:leader="none" w:pos="188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9, the “</w:t>
      </w:r>
      <w:r>
        <w:rPr>
          <w:rFonts w:ascii="Times New Roman" w:cs="Times New Roman" w:eastAsia="Times New Roman" w:hAnsi="Times New Roman"/>
          <w:sz w:val="22"/>
          <w:szCs w:val="22"/>
          <w:b w:val="1"/>
          <w:bCs w:val="1"/>
          <w:color w:val="auto"/>
        </w:rPr>
        <w:t>After Tax Amount</w:t>
      </w:r>
      <w:r>
        <w:rPr>
          <w:rFonts w:ascii="Times New Roman" w:cs="Times New Roman" w:eastAsia="Times New Roman" w:hAnsi="Times New Roman"/>
          <w:sz w:val="22"/>
          <w:szCs w:val="22"/>
          <w:color w:val="auto"/>
        </w:rPr>
        <w:t>” 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209" w:lineRule="exact"/>
        <w:rPr>
          <w:rFonts w:ascii="Times New Roman" w:cs="Times New Roman" w:eastAsia="Times New Roman" w:hAnsi="Times New Roman"/>
          <w:sz w:val="22"/>
          <w:szCs w:val="22"/>
          <w:color w:val="auto"/>
        </w:rPr>
      </w:pPr>
    </w:p>
    <w:p>
      <w:pPr>
        <w:jc w:val="both"/>
        <w:ind w:left="1880" w:hanging="375"/>
        <w:spacing w:after="0" w:line="244" w:lineRule="auto"/>
        <w:tabs>
          <w:tab w:leader="none" w:pos="188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as to whether a reduction in the Aggregate Payments shall be made pursuant to Section 9 shall be made by a nationally recognized accounting firm selected by the Company (provided such firm may not be the same firm</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0" w:name="page151"/>
    <w:bookmarkEnd w:id="150"/>
    <w:p>
      <w:pPr>
        <w:jc w:val="both"/>
        <w:ind w:left="1120"/>
        <w:spacing w:after="0" w:line="251" w:lineRule="auto"/>
        <w:rPr>
          <w:sz w:val="20"/>
          <w:szCs w:val="20"/>
          <w:color w:val="auto"/>
        </w:rPr>
      </w:pPr>
      <w:r>
        <w:rPr>
          <w:rFonts w:ascii="Times New Roman" w:cs="Times New Roman" w:eastAsia="Times New Roman" w:hAnsi="Times New Roman"/>
          <w:sz w:val="21"/>
          <w:szCs w:val="21"/>
          <w:color w:val="auto"/>
        </w:rPr>
        <w:t>engaged as the accountant or auditor for the individual, entity or group effecting the change in control event triggering the implication of Section 280G) (the “</w:t>
      </w:r>
      <w:r>
        <w:rPr>
          <w:rFonts w:ascii="Times New Roman" w:cs="Times New Roman" w:eastAsia="Times New Roman" w:hAnsi="Times New Roman"/>
          <w:sz w:val="21"/>
          <w:szCs w:val="21"/>
          <w:b w:val="1"/>
          <w:bCs w:val="1"/>
          <w:color w:val="auto"/>
        </w:rPr>
        <w:t>Accounting Firm</w:t>
      </w:r>
      <w:r>
        <w:rPr>
          <w:rFonts w:ascii="Times New Roman" w:cs="Times New Roman" w:eastAsia="Times New Roman" w:hAnsi="Times New Roman"/>
          <w:sz w:val="21"/>
          <w:szCs w:val="21"/>
          <w:color w:val="auto"/>
        </w:rPr>
        <w:t>”), which shall provide detailed supporting calculations both to the Company and Executive within 15 business days of the Date of Termination, if applicable, or at such earlier time as is reasonably requested by the Company or Executive. Any determination by the Accounting Firm shall be binding upon the Company and Executive.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2"/>
          <w:szCs w:val="22"/>
          <w:b w:val="1"/>
          <w:bCs w:val="1"/>
          <w:u w:val="single" w:color="auto"/>
          <w:color w:val="auto"/>
        </w:rPr>
        <w:t>Section 409A.</w:t>
      </w:r>
    </w:p>
    <w:p>
      <w:pPr>
        <w:spacing w:after="0" w:line="264" w:lineRule="exact"/>
        <w:rPr>
          <w:sz w:val="20"/>
          <w:szCs w:val="20"/>
          <w:color w:val="auto"/>
        </w:rPr>
      </w:pPr>
    </w:p>
    <w:p>
      <w:pPr>
        <w:jc w:val="both"/>
        <w:ind w:left="1120" w:hanging="375"/>
        <w:spacing w:after="0" w:line="234" w:lineRule="auto"/>
        <w:tabs>
          <w:tab w:leader="none" w:pos="11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if at the time of Executive’s “separation from service” within the meaning of Section 409A of the Code (“</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the Company determines that Executive is a “specified employee” within the meaning of Section 409A(a)(2)(B)(i) of the Code, then to the extent any payment or benefit that Executive becomes entitled to under this Agreement on account of Executive’s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(i) six months and one day after Executive’s Separation from Service, or (ii) Executive’s death.</w:t>
      </w:r>
    </w:p>
    <w:p>
      <w:pPr>
        <w:spacing w:after="0" w:line="237" w:lineRule="exact"/>
        <w:rPr>
          <w:rFonts w:ascii="Times New Roman" w:cs="Times New Roman" w:eastAsia="Times New Roman" w:hAnsi="Times New Roman"/>
          <w:sz w:val="22"/>
          <w:szCs w:val="22"/>
          <w:color w:val="auto"/>
        </w:rPr>
      </w:pPr>
    </w:p>
    <w:p>
      <w:pPr>
        <w:jc w:val="both"/>
        <w:ind w:left="1120" w:hanging="375"/>
        <w:spacing w:after="0" w:line="235" w:lineRule="auto"/>
        <w:tabs>
          <w:tab w:leader="none" w:pos="11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as exempt from Section 409A of the Code and if not so exempt, this Agreement shall be administered in accordance with Section 409A of the Code. To the extent that any provision of this Agreement is ambiguous as to its exemption from of compliance with Section 409A of the Code, the provision shall be read in such a manner so that all payments hereunder are exempt from, or comply with, as applicable,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32" w:lineRule="exact"/>
        <w:rPr>
          <w:rFonts w:ascii="Times New Roman" w:cs="Times New Roman" w:eastAsia="Times New Roman" w:hAnsi="Times New Roman"/>
          <w:sz w:val="22"/>
          <w:szCs w:val="22"/>
          <w:color w:val="auto"/>
        </w:rPr>
      </w:pPr>
    </w:p>
    <w:p>
      <w:pPr>
        <w:jc w:val="both"/>
        <w:ind w:left="1120" w:hanging="375"/>
        <w:spacing w:after="0" w:line="235" w:lineRule="auto"/>
        <w:tabs>
          <w:tab w:leader="none" w:pos="11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232" w:lineRule="exact"/>
        <w:rPr>
          <w:rFonts w:ascii="Times New Roman" w:cs="Times New Roman" w:eastAsia="Times New Roman" w:hAnsi="Times New Roman"/>
          <w:sz w:val="22"/>
          <w:szCs w:val="22"/>
          <w:color w:val="auto"/>
        </w:rPr>
      </w:pPr>
    </w:p>
    <w:p>
      <w:pPr>
        <w:ind w:left="1120" w:hanging="375"/>
        <w:spacing w:after="0"/>
        <w:tabs>
          <w:tab w:leader="none" w:pos="11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w:t>
      </w:r>
    </w:p>
    <w:p>
      <w:pPr>
        <w:spacing w:after="0" w:line="200" w:lineRule="exact"/>
        <w:rPr>
          <w:sz w:val="20"/>
          <w:szCs w:val="20"/>
          <w:color w:val="auto"/>
        </w:rPr>
      </w:pPr>
    </w:p>
    <w:p>
      <w:pPr>
        <w:spacing w:after="0" w:line="2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51" w:name="page152"/>
    <w:bookmarkEnd w:id="151"/>
    <w:p>
      <w:pPr>
        <w:jc w:val="both"/>
        <w:ind w:left="1880"/>
        <w:spacing w:after="0" w:line="238" w:lineRule="auto"/>
        <w:rPr>
          <w:sz w:val="20"/>
          <w:szCs w:val="20"/>
          <w:color w:val="auto"/>
        </w:rPr>
      </w:pPr>
      <w:r>
        <w:rPr>
          <w:rFonts w:ascii="Times New Roman" w:cs="Times New Roman" w:eastAsia="Times New Roman" w:hAnsi="Times New Roman"/>
          <w:sz w:val="22"/>
          <w:szCs w:val="22"/>
          <w:color w:val="auto"/>
        </w:rPr>
        <w:t>“non-qualified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1.409A-1(h).</w:t>
      </w:r>
    </w:p>
    <w:p>
      <w:pPr>
        <w:spacing w:after="0" w:line="231" w:lineRule="exact"/>
        <w:rPr>
          <w:sz w:val="20"/>
          <w:szCs w:val="20"/>
          <w:color w:val="auto"/>
        </w:rPr>
      </w:pPr>
    </w:p>
    <w:p>
      <w:pPr>
        <w:jc w:val="both"/>
        <w:ind w:left="1880" w:hanging="375"/>
        <w:spacing w:after="0" w:line="244" w:lineRule="auto"/>
        <w:tabs>
          <w:tab w:leader="none" w:pos="18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22"/>
          <w:szCs w:val="22"/>
          <w:b w:val="1"/>
          <w:bCs w:val="1"/>
          <w:u w:val="single" w:color="auto"/>
          <w:color w:val="auto"/>
        </w:rPr>
        <w:t>Notice and Date of Termination.</w:t>
      </w:r>
    </w:p>
    <w:p>
      <w:pPr>
        <w:spacing w:after="0" w:line="264" w:lineRule="exact"/>
        <w:rPr>
          <w:sz w:val="20"/>
          <w:szCs w:val="20"/>
          <w:color w:val="auto"/>
        </w:rPr>
      </w:pPr>
    </w:p>
    <w:p>
      <w:pPr>
        <w:jc w:val="both"/>
        <w:ind w:left="1880" w:hanging="375"/>
        <w:spacing w:after="0" w:line="251" w:lineRule="auto"/>
        <w:tabs>
          <w:tab w:leader="none" w:pos="188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Executive’s employment with the Company may be terminated by the Company or Executive at any time and for any reason. Any termination of Executive’s employment (other than by reason of death) shall be communicated by written Notice of Termination from one Party hereto to the other Party hereto in accordance with this section. For purposes of this Agreement, a “</w:t>
      </w:r>
      <w:r>
        <w:rPr>
          <w:rFonts w:ascii="Times New Roman" w:cs="Times New Roman" w:eastAsia="Times New Roman" w:hAnsi="Times New Roman"/>
          <w:sz w:val="21"/>
          <w:szCs w:val="21"/>
          <w:b w:val="1"/>
          <w:bCs w:val="1"/>
          <w:color w:val="auto"/>
        </w:rPr>
        <w:t>Notice of Termination</w:t>
      </w:r>
      <w:r>
        <w:rPr>
          <w:rFonts w:ascii="Times New Roman" w:cs="Times New Roman" w:eastAsia="Times New Roman" w:hAnsi="Times New Roman"/>
          <w:sz w:val="21"/>
          <w:szCs w:val="21"/>
          <w:color w:val="auto"/>
        </w:rPr>
        <w:t>” shall mean a notice which shall indicate the specific termination provision in this Agreement relied upon.</w:t>
      </w:r>
    </w:p>
    <w:p>
      <w:pPr>
        <w:spacing w:after="0" w:line="218" w:lineRule="exact"/>
        <w:rPr>
          <w:rFonts w:ascii="Times New Roman" w:cs="Times New Roman" w:eastAsia="Times New Roman" w:hAnsi="Times New Roman"/>
          <w:sz w:val="21"/>
          <w:szCs w:val="21"/>
          <w:color w:val="auto"/>
        </w:rPr>
      </w:pPr>
    </w:p>
    <w:p>
      <w:pPr>
        <w:jc w:val="both"/>
        <w:ind w:left="1880" w:hanging="375"/>
        <w:spacing w:after="0" w:line="234" w:lineRule="auto"/>
        <w:tabs>
          <w:tab w:leader="none" w:pos="188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Date of Termination</w:t>
      </w:r>
      <w:r>
        <w:rPr>
          <w:rFonts w:ascii="Times New Roman" w:cs="Times New Roman" w:eastAsia="Times New Roman" w:hAnsi="Times New Roman"/>
          <w:sz w:val="22"/>
          <w:szCs w:val="22"/>
          <w:color w:val="auto"/>
        </w:rPr>
        <w:t>” shall mean: (i) if Executive’s employment is terminated by Executive’s death, the date of Executive’s death; (ii) if Executive’s employment is terminated on account of Executive’s Disability or by the Company for Cause or without Cause, the date on which Notice of Termination is given or the date otherwise specified by the Company in the Notice of Termination; (iii) if Executive’s employment is terminated by Executive for any reason except for Good Reason, 30 days after the date on which a Notice of Termination is given, and (iv) if Executive’s employment is terminated by Executive with Good Reason, the date on which a Notice of Termination is given after the end of the Cure Period. Notwithstanding the foregoing, in the event that Executive gives a Notice of Termination to the Company, the Company may unilaterally accelerate the Date of Termination and such acceleration shall not result in a termination by the Company for purposes of this Agreement.</w:t>
      </w:r>
    </w:p>
    <w:p>
      <w:pPr>
        <w:spacing w:after="0" w:line="206" w:lineRule="exact"/>
        <w:rPr>
          <w:rFonts w:ascii="Times New Roman" w:cs="Times New Roman" w:eastAsia="Times New Roman" w:hAnsi="Times New Roman"/>
          <w:sz w:val="22"/>
          <w:szCs w:val="22"/>
          <w:color w:val="auto"/>
        </w:rPr>
      </w:pPr>
    </w:p>
    <w:p>
      <w:pPr>
        <w:jc w:val="both"/>
        <w:ind w:firstLine="757"/>
        <w:spacing w:after="0" w:line="241" w:lineRule="auto"/>
        <w:tabs>
          <w:tab w:leader="none" w:pos="108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and Jurisdiction</w:t>
      </w:r>
      <w:r>
        <w:rPr>
          <w:rFonts w:ascii="Times New Roman" w:cs="Times New Roman" w:eastAsia="Times New Roman" w:hAnsi="Times New Roman"/>
          <w:sz w:val="22"/>
          <w:szCs w:val="22"/>
          <w:color w:val="auto"/>
        </w:rPr>
        <w:t>. This Agreement shall be governed by, interpreted, and construed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laws of the State of California without regard to conflicts of law principles. The Parties consent to the jurisdiction of the state and federal courts in the State of California. Accordingly, with respect to any such court action, Executive submits to the personal jurisdiction of such courts.</w:t>
      </w:r>
    </w:p>
    <w:p>
      <w:pPr>
        <w:spacing w:after="0" w:line="226"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22"/>
          <w:szCs w:val="22"/>
          <w:b w:val="1"/>
          <w:bCs w:val="1"/>
          <w:u w:val="single" w:color="auto"/>
          <w:color w:val="auto"/>
        </w:rPr>
        <w:t>Integration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and Executive’s Amended and Restated Director and Officer 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(dated January 1, 2025), PIIA, and any existing equity award agreements entered into prior to the date of this Agreement (the “</w:t>
      </w:r>
      <w:r>
        <w:rPr>
          <w:rFonts w:ascii="Times New Roman" w:cs="Times New Roman" w:eastAsia="Times New Roman" w:hAnsi="Times New Roman"/>
          <w:sz w:val="22"/>
          <w:szCs w:val="22"/>
          <w:b w:val="1"/>
          <w:bCs w:val="1"/>
          <w:color w:val="auto"/>
        </w:rPr>
        <w:t>Equity Award Agreements</w:t>
      </w:r>
      <w:r>
        <w:rPr>
          <w:rFonts w:ascii="Times New Roman" w:cs="Times New Roman" w:eastAsia="Times New Roman" w:hAnsi="Times New Roman"/>
          <w:sz w:val="22"/>
          <w:szCs w:val="22"/>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contain the entire understanding with regard to the Company’s employment of Executive, and supersedes any prior offers, arrangements, communications, and agreements between the Parties concerning such subject matter, whether written or oral. For the avoidance of doubt, this Agreement supersedes all previous Company offer letters and/or any severance policies, arrangements or agreements previously provided to Executive, including the offer letter entered into by and between the Company and the Executive, dated November 20, 2009, and the Company’s Severance and Change in Control Policy;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this Agreement shall not supersede any Equity Award Agreements unless amended pursuant to this Agreement.</w:t>
      </w:r>
    </w:p>
    <w:p>
      <w:pPr>
        <w:spacing w:after="0" w:line="194" w:lineRule="exact"/>
        <w:rPr>
          <w:sz w:val="20"/>
          <w:szCs w:val="20"/>
          <w:color w:val="auto"/>
        </w:rPr>
      </w:pPr>
    </w:p>
    <w:p>
      <w:pPr>
        <w:ind w:firstLine="757"/>
        <w:spacing w:after="0" w:line="262" w:lineRule="auto"/>
        <w:tabs>
          <w:tab w:leader="none" w:pos="1073"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provisions of this Agreement shall be deemed severable, and the invalidity of any portion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not affect the validity of the remainder of this Agreement.</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22"/>
          <w:szCs w:val="22"/>
          <w:b w:val="1"/>
          <w:bCs w:val="1"/>
          <w:u w:val="single" w:color="auto"/>
          <w:color w:val="auto"/>
        </w:rPr>
        <w:t>Amendment and Waiver</w:t>
      </w:r>
      <w:r>
        <w:rPr>
          <w:rFonts w:ascii="Times New Roman" w:cs="Times New Roman" w:eastAsia="Times New Roman" w:hAnsi="Times New Roman"/>
          <w:sz w:val="22"/>
          <w:szCs w:val="22"/>
          <w:color w:val="auto"/>
        </w:rPr>
        <w:t>. No amendment, alteration or modification of any of the provisions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valid unless in a writing that expressly refers to the provision of this Agreement that is being amended and that is signed by Executive and an authorized officer of Company (which shall not be Executive). No waiver by either Party of any breach of any provision of this Agreement shall be effective unless such a waiver is in a writing that expressly refers to the provision of this Agreement being waived and that is signed by the Party against whom it is sought to be enforced.</w:t>
      </w:r>
    </w:p>
    <w:p>
      <w:pPr>
        <w:spacing w:after="0" w:line="204" w:lineRule="exact"/>
        <w:rPr>
          <w:sz w:val="20"/>
          <w:szCs w:val="20"/>
          <w:color w:val="auto"/>
        </w:rPr>
      </w:pPr>
    </w:p>
    <w:p>
      <w:pPr>
        <w:jc w:val="both"/>
        <w:ind w:firstLine="757"/>
        <w:spacing w:after="0" w:line="241" w:lineRule="auto"/>
        <w:tabs>
          <w:tab w:leader="none" w:pos="1113"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notices, requests, demands and other communications provided for by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sufficient if in writing and delivered in person or sent by a nationally recognized overnight currier service of by registered or certified mail, postage prepaid, return receipt requested, to Executive at the last home or e-mail address Executive has filed in writing with the Company, or to Company at its main office, attention of the Board of Directors.</w:t>
      </w:r>
    </w:p>
    <w:p>
      <w:pPr>
        <w:spacing w:after="0" w:line="226"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headings and numbers have been inserted in this Agreement for convenience of reference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 no way define or limit the scope or content of this Agreement or in any way affect the interpretation of its provisions.</w:t>
      </w:r>
    </w:p>
    <w:p>
      <w:pPr>
        <w:spacing w:after="0" w:line="204" w:lineRule="exact"/>
        <w:rPr>
          <w:sz w:val="20"/>
          <w:szCs w:val="20"/>
          <w:color w:val="auto"/>
        </w:rPr>
      </w:pPr>
    </w:p>
    <w:p>
      <w:pPr>
        <w:jc w:val="both"/>
        <w:ind w:firstLine="757"/>
        <w:spacing w:after="0" w:line="241" w:lineRule="auto"/>
        <w:tabs>
          <w:tab w:leader="none" w:pos="110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 and Transfer by the Company; Successors</w:t>
      </w:r>
      <w:r>
        <w:rPr>
          <w:rFonts w:ascii="Times New Roman" w:cs="Times New Roman" w:eastAsia="Times New Roman" w:hAnsi="Times New Roman"/>
          <w:sz w:val="22"/>
          <w:szCs w:val="22"/>
          <w:color w:val="auto"/>
        </w:rPr>
        <w:t>. The Company shall have the right to assign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this Agreement to any entity or person, including without limitation the Company’s parents, subsidiaries and other affiliates. Executive expressly consents to such assignment and/or transfer. This Agreement shall inure to the benefit of and be enforceable by the Company’s successors and assigns.</w:t>
      </w:r>
    </w:p>
    <w:p>
      <w:pPr>
        <w:spacing w:after="0" w:line="226"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19.</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delivered shall be taken to be an original; but such counterparts shall together constitute one and the same document.</w:t>
      </w:r>
    </w:p>
    <w:p>
      <w:pPr>
        <w:spacing w:after="0" w:line="204"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20.</w:t>
      </w: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respective rights and obligations under this Agreement shall survive any termination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to the extent necessary to preserve the intended rights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executed this Agreement as follows:</w:t>
      </w:r>
    </w:p>
    <w:p>
      <w:pPr>
        <w:spacing w:after="0" w:line="200" w:lineRule="exact"/>
        <w:rPr>
          <w:sz w:val="20"/>
          <w:szCs w:val="20"/>
          <w:color w:val="auto"/>
        </w:rPr>
      </w:pPr>
    </w:p>
    <w:p>
      <w:pPr>
        <w:spacing w:after="0" w:line="280"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22"/>
          <w:szCs w:val="22"/>
          <w:color w:val="auto"/>
        </w:rPr>
        <w:t>FATE THERAPEUTICS, INC.</w:t>
      </w:r>
      <w:r>
        <w:rPr>
          <w:sz w:val="20"/>
          <w:szCs w:val="20"/>
          <w:color w:val="auto"/>
        </w:rPr>
        <w:tab/>
      </w:r>
      <w:r>
        <w:rPr>
          <w:rFonts w:ascii="Times New Roman" w:cs="Times New Roman" w:eastAsia="Times New Roman" w:hAnsi="Times New Roman"/>
          <w:sz w:val="21"/>
          <w:szCs w:val="2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/s/ Cindy Tahl</w:t>
            </w:r>
          </w:p>
        </w:tc>
        <w:tc>
          <w:tcPr>
            <w:tcW w:w="69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Bahram Valamehr</w:t>
            </w:r>
          </w:p>
        </w:tc>
      </w:tr>
      <w:tr>
        <w:trPr>
          <w:trHeight w:val="236"/>
        </w:trPr>
        <w:tc>
          <w:tcPr>
            <w:tcW w:w="440" w:type="dxa"/>
            <w:vAlign w:val="bottom"/>
          </w:tcPr>
          <w:p>
            <w:pPr>
              <w:spacing w:after="0"/>
              <w:rPr>
                <w:sz w:val="20"/>
                <w:szCs w:val="20"/>
                <w:color w:val="auto"/>
              </w:rPr>
            </w:pPr>
          </w:p>
        </w:tc>
        <w:tc>
          <w:tcPr>
            <w:tcW w:w="130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Cindy Tahl</w:t>
            </w: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16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w w:val="97"/>
              </w:rPr>
              <w:t>Bahram (Bob) Valamehr</w:t>
            </w:r>
          </w:p>
        </w:tc>
        <w:tc>
          <w:tcPr>
            <w:tcW w:w="124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282"/>
        </w:trPr>
        <w:tc>
          <w:tcPr>
            <w:tcW w:w="440" w:type="dxa"/>
            <w:vAlign w:val="bottom"/>
          </w:tcPr>
          <w:p>
            <w:pPr>
              <w:spacing w:after="0"/>
              <w:rPr>
                <w:sz w:val="24"/>
                <w:szCs w:val="24"/>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Chief Legal &amp; Compliance Officer</w:t>
            </w: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677"/>
        </w:trPr>
        <w:tc>
          <w:tcPr>
            <w:tcW w:w="43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Date: 3/3/2025</w:t>
            </w:r>
          </w:p>
        </w:tc>
        <w:tc>
          <w:tcPr>
            <w:tcW w:w="692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Date: 3/3/2025</w:t>
            </w:r>
          </w:p>
        </w:tc>
      </w:tr>
      <w:tr>
        <w:trPr>
          <w:trHeight w:val="890"/>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Borders>
              <w:top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color w:val="auto"/>
              </w:rPr>
              <w:t>12</w:t>
            </w:r>
          </w:p>
        </w:tc>
        <w:tc>
          <w:tcPr>
            <w:tcW w:w="124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r>
      <w:tr>
        <w:trPr>
          <w:trHeight w:val="757"/>
        </w:trPr>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4" w:name="page155"/>
    <w:bookmarkEnd w:id="154"/>
    <w:p>
      <w:pPr>
        <w:ind w:left="4180"/>
        <w:spacing w:after="0"/>
        <w:rPr>
          <w:sz w:val="20"/>
          <w:szCs w:val="20"/>
          <w:color w:val="auto"/>
        </w:rPr>
      </w:pPr>
      <w:r>
        <w:rPr>
          <w:rFonts w:ascii="Times New Roman" w:cs="Times New Roman" w:eastAsia="Times New Roman" w:hAnsi="Times New Roman"/>
          <w:sz w:val="22"/>
          <w:szCs w:val="22"/>
          <w:b w:val="1"/>
          <w:bCs w:val="1"/>
          <w:color w:val="auto"/>
        </w:rPr>
        <w:t>FATE THERAPEUTICS, INC.</w:t>
      </w:r>
    </w:p>
    <w:p>
      <w:pPr>
        <w:spacing w:after="0" w:line="2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37"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Fate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the following policy and procedures for securities trading by Company directors and employees (our “</w:t>
      </w:r>
      <w:r>
        <w:rPr>
          <w:rFonts w:ascii="Times New Roman" w:cs="Times New Roman" w:eastAsia="Times New Roman" w:hAnsi="Times New Roman"/>
          <w:sz w:val="22"/>
          <w:szCs w:val="22"/>
          <w:u w:val="single" w:color="auto"/>
          <w:color w:val="auto"/>
        </w:rPr>
        <w:t>Insider Trading Policy</w:t>
      </w:r>
      <w:r>
        <w:rPr>
          <w:rFonts w:ascii="Times New Roman" w:cs="Times New Roman" w:eastAsia="Times New Roman" w:hAnsi="Times New Roman"/>
          <w:sz w:val="22"/>
          <w:szCs w:val="22"/>
          <w:color w:val="auto"/>
        </w:rPr>
        <w:t>”). Our Insider Trading Policy is intended to prevent the misuse of material nonpublic information, insider trading in securities, and the severe consequences associated with violations of insider trading laws. It is your obligation to review, understand, and comply with this Insider Trading Policy and applicable laws. Our Board of Directors has approved this Insider Trading Policy, and we have appointed Cindy Tahl, as the as its insider trading compliance officer (with their designees, the “</w:t>
      </w:r>
      <w:r>
        <w:rPr>
          <w:rFonts w:ascii="Times New Roman" w:cs="Times New Roman" w:eastAsia="Times New Roman" w:hAnsi="Times New Roman"/>
          <w:sz w:val="22"/>
          <w:szCs w:val="22"/>
          <w:u w:val="single" w:color="auto"/>
          <w:color w:val="auto"/>
        </w:rPr>
        <w:t>Compliance Officer</w:t>
      </w:r>
      <w:r>
        <w:rPr>
          <w:rFonts w:ascii="Times New Roman" w:cs="Times New Roman" w:eastAsia="Times New Roman" w:hAnsi="Times New Roman"/>
          <w:sz w:val="22"/>
          <w:szCs w:val="22"/>
          <w:color w:val="auto"/>
        </w:rPr>
        <w:t>”) to administer the policy and to be available to answer your questions. Please contact the Insider Trading Compliance Officer at 858-875-1826 or compliance@fatetherapeutics.com if you have any questions regarding the policy.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OVERVIEW</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  Who Must Comply?</w:t>
      </w:r>
    </w:p>
    <w:p>
      <w:pPr>
        <w:spacing w:after="0" w:line="212"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This Insider Trading Policy applies to all of our employees and members of our Board of Directors, including anyone employed by or acting as a director of any of the Company’s subsidiaries, as well as any other individuals whom the Compliance Officer may designate as Insiders (defined below) because they have access to material nonpublic information about the Company.</w:t>
      </w:r>
    </w:p>
    <w:p>
      <w:pPr>
        <w:spacing w:after="0" w:line="180"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In addition, all of our directors, executive officers (as defined by Section 16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other designated employees must comply with the Trading Procedures included in Part II of this Insider Trading Policy (the “</w:t>
      </w:r>
      <w:r>
        <w:rPr>
          <w:rFonts w:ascii="Times New Roman" w:cs="Times New Roman" w:eastAsia="Times New Roman" w:hAnsi="Times New Roman"/>
          <w:sz w:val="22"/>
          <w:szCs w:val="22"/>
          <w:u w:val="single" w:color="auto"/>
          <w:color w:val="auto"/>
        </w:rPr>
        <w:t>Trading Procedures</w:t>
      </w:r>
      <w:r>
        <w:rPr>
          <w:rFonts w:ascii="Times New Roman" w:cs="Times New Roman" w:eastAsia="Times New Roman" w:hAnsi="Times New Roman"/>
          <w:sz w:val="22"/>
          <w:szCs w:val="22"/>
          <w:color w:val="auto"/>
        </w:rPr>
        <w:t>”); we will refer to these individuals in this policy as “</w:t>
      </w:r>
      <w:r>
        <w:rPr>
          <w:rFonts w:ascii="Times New Roman" w:cs="Times New Roman" w:eastAsia="Times New Roman" w:hAnsi="Times New Roman"/>
          <w:sz w:val="22"/>
          <w:szCs w:val="22"/>
          <w:u w:val="single" w:color="auto"/>
          <w:color w:val="auto"/>
        </w:rPr>
        <w:t>Insiders</w:t>
      </w:r>
      <w:r>
        <w:rPr>
          <w:rFonts w:ascii="Times New Roman" w:cs="Times New Roman" w:eastAsia="Times New Roman" w:hAnsi="Times New Roman"/>
          <w:sz w:val="22"/>
          <w:szCs w:val="22"/>
          <w:color w:val="auto"/>
        </w:rPr>
        <w:t>.” The Trading Procedures provide rules for when Insiders can trade in our securities and explain the process for mandatory pre-clearance of proposed trades. You will be notified if you are considered to be an Insider who is required to comply with the Trading Procedures.</w:t>
      </w:r>
    </w:p>
    <w:p>
      <w:pPr>
        <w:spacing w:after="0" w:line="181" w:lineRule="exact"/>
        <w:rPr>
          <w:sz w:val="20"/>
          <w:szCs w:val="20"/>
          <w:color w:val="auto"/>
        </w:rPr>
      </w:pPr>
    </w:p>
    <w:p>
      <w:pPr>
        <w:ind w:right="320" w:firstLine="749"/>
        <w:spacing w:after="0" w:line="258" w:lineRule="auto"/>
        <w:rPr>
          <w:sz w:val="20"/>
          <w:szCs w:val="20"/>
          <w:color w:val="auto"/>
        </w:rPr>
      </w:pPr>
      <w:r>
        <w:rPr>
          <w:rFonts w:ascii="Times New Roman" w:cs="Times New Roman" w:eastAsia="Times New Roman" w:hAnsi="Times New Roman"/>
          <w:sz w:val="22"/>
          <w:szCs w:val="22"/>
          <w:color w:val="auto"/>
        </w:rPr>
        <w:t>This Insider Trading Policy and, for Insiders, the Trading Procedures also apply to the following persons (“</w:t>
      </w:r>
      <w:r>
        <w:rPr>
          <w:rFonts w:ascii="Times New Roman" w:cs="Times New Roman" w:eastAsia="Times New Roman" w:hAnsi="Times New Roman"/>
          <w:sz w:val="22"/>
          <w:szCs w:val="22"/>
          <w:u w:val="single" w:color="auto"/>
          <w:color w:val="auto"/>
        </w:rPr>
        <w:t>Affiliated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020" w:right="20" w:hanging="503"/>
        <w:spacing w:after="0" w:line="235" w:lineRule="auto"/>
        <w:tabs>
          <w:tab w:leader="none" w:pos="10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w:t>
      </w:r>
      <w:r>
        <w:rPr>
          <w:rFonts w:ascii="Times New Roman" w:cs="Times New Roman" w:eastAsia="Times New Roman" w:hAnsi="Times New Roman"/>
          <w:sz w:val="22"/>
          <w:szCs w:val="22"/>
          <w:u w:val="single" w:color="auto"/>
          <w:color w:val="auto"/>
        </w:rPr>
        <w:t>Family Members</w:t>
      </w:r>
      <w:r>
        <w:rPr>
          <w:rFonts w:ascii="Times New Roman" w:cs="Times New Roman" w:eastAsia="Times New Roman" w:hAnsi="Times New Roman"/>
          <w:sz w:val="22"/>
          <w:szCs w:val="22"/>
          <w:color w:val="auto"/>
        </w:rPr>
        <w:t>” (“Family Members” are (a) your spouse or domestic partner, children, stepchildren, grandchildren, parents, stepparents, grandparents, siblings and in-laws who reside in the same household as you, (b)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spacing w:after="0" w:line="75" w:lineRule="exact"/>
        <w:rPr>
          <w:rFonts w:ascii="Times New Roman" w:cs="Times New Roman" w:eastAsia="Times New Roman" w:hAnsi="Times New Roman"/>
          <w:sz w:val="22"/>
          <w:szCs w:val="22"/>
          <w:color w:val="auto"/>
        </w:rPr>
      </w:pPr>
    </w:p>
    <w:p>
      <w:pPr>
        <w:jc w:val="both"/>
        <w:ind w:left="1020" w:right="340" w:hanging="503"/>
        <w:spacing w:after="0" w:line="282" w:lineRule="auto"/>
        <w:tabs>
          <w:tab w:leader="none" w:pos="102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26" w:lineRule="exact"/>
        <w:rPr>
          <w:rFonts w:ascii="Times New Roman" w:cs="Times New Roman" w:eastAsia="Times New Roman" w:hAnsi="Times New Roman"/>
          <w:sz w:val="21"/>
          <w:szCs w:val="21"/>
          <w:color w:val="auto"/>
        </w:rPr>
      </w:pPr>
    </w:p>
    <w:p>
      <w:pPr>
        <w:ind w:left="1020" w:hanging="503"/>
        <w:spacing w:after="0"/>
        <w:tabs>
          <w:tab w:leader="none" w:pos="10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98" w:lineRule="exact"/>
        <w:rPr>
          <w:rFonts w:ascii="Times New Roman" w:cs="Times New Roman" w:eastAsia="Times New Roman" w:hAnsi="Times New Roman"/>
          <w:sz w:val="22"/>
          <w:szCs w:val="22"/>
          <w:color w:val="auto"/>
        </w:rPr>
      </w:pPr>
    </w:p>
    <w:p>
      <w:pPr>
        <w:ind w:left="1020" w:right="20" w:hanging="503"/>
        <w:spacing w:after="0" w:line="238" w:lineRule="auto"/>
        <w:tabs>
          <w:tab w:leader="none" w:pos="10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Trading Procedures do not apply to any such entity that engages in the investment of securities in the ordinary course of its business (e.g., an investment fund or partnership) if the entity has established its own insider trading controls and procedures in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459740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6" w:right="379" w:bottom="1440" w:gutter="0" w:footer="0" w:header="0"/>
        </w:sectPr>
      </w:pPr>
    </w:p>
    <w:bookmarkStart w:id="155" w:name="page156"/>
    <w:bookmarkEnd w:id="155"/>
    <w:p>
      <w:pPr>
        <w:ind w:left="1020" w:right="40"/>
        <w:spacing w:after="0" w:line="234" w:lineRule="auto"/>
        <w:rPr>
          <w:sz w:val="20"/>
          <w:szCs w:val="20"/>
          <w:color w:val="auto"/>
        </w:rPr>
      </w:pPr>
      <w:r>
        <w:rPr>
          <w:rFonts w:ascii="Times New Roman" w:cs="Times New Roman" w:eastAsia="Times New Roman" w:hAnsi="Times New Roman"/>
          <w:sz w:val="22"/>
          <w:szCs w:val="22"/>
          <w:color w:val="auto"/>
        </w:rPr>
        <w:t>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securities laws;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2" w:lineRule="exact"/>
        <w:rPr>
          <w:sz w:val="20"/>
          <w:szCs w:val="20"/>
          <w:color w:val="auto"/>
        </w:rPr>
      </w:pPr>
    </w:p>
    <w:p>
      <w:pPr>
        <w:ind w:right="780" w:firstLine="749"/>
        <w:spacing w:after="0" w:line="237" w:lineRule="auto"/>
        <w:rPr>
          <w:sz w:val="20"/>
          <w:szCs w:val="20"/>
          <w:color w:val="auto"/>
        </w:rPr>
      </w:pPr>
      <w:r>
        <w:rPr>
          <w:rFonts w:ascii="Times New Roman" w:cs="Times New Roman" w:eastAsia="Times New Roman" w:hAnsi="Times New Roman"/>
          <w:sz w:val="22"/>
          <w:szCs w:val="22"/>
          <w:color w:val="auto"/>
        </w:rPr>
        <w:t>You are responsible for ensuring compliance with this Insider Trading Policy, including the Trading Procedures contained herein, by all of your Affiliated Persons.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  What is Prohibited by this Insider Trading Policy?</w:t>
      </w:r>
    </w:p>
    <w:p>
      <w:pPr>
        <w:spacing w:after="0" w:line="212" w:lineRule="exact"/>
        <w:rPr>
          <w:sz w:val="20"/>
          <w:szCs w:val="20"/>
          <w:color w:val="auto"/>
        </w:rPr>
      </w:pPr>
    </w:p>
    <w:p>
      <w:pPr>
        <w:ind w:right="180" w:firstLine="749"/>
        <w:spacing w:after="0" w:line="236" w:lineRule="auto"/>
        <w:rPr>
          <w:sz w:val="20"/>
          <w:szCs w:val="20"/>
          <w:color w:val="auto"/>
        </w:rPr>
      </w:pPr>
      <w:r>
        <w:rPr>
          <w:rFonts w:ascii="Times New Roman" w:cs="Times New Roman" w:eastAsia="Times New Roman" w:hAnsi="Times New Roman"/>
          <w:sz w:val="22"/>
          <w:szCs w:val="22"/>
          <w:color w:val="auto"/>
        </w:rPr>
        <w:t>You and your Affiliated Persons are prohibited from engaging in insider trading and from trading in securities in violation of this Insider Trading Policy. “Insider trading” is (1) trading (buying or selling) the securities of a company whether for your account or for the account of another, while in the possession of material nonpublic information (see definition below) about that company or (2) disclosing material nonpublic information about a company to others who may trade on the basis of that information. Insider trading can result in criminal prosecution, jail time, significant fines and public embarrassment for you and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Trading in Company Securities</w:t>
      </w:r>
    </w:p>
    <w:p>
      <w:pPr>
        <w:spacing w:after="0" w:line="21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When you are in possession of material nonpublic information about the Company, whether positive or negative, you are prohibited from trading (whether for your account of for the account of another) in the Company’s securities, which include common stock, options to purchase common stock, any other type of securities that the Company may issue (such as preferred stock, convertible debentures, warrants and exchange-traded options), and any derivative securities that provide the economic equivalent of ownership of any of the Company’s securities or an opportunity, direct or indirect, to profit from any change in the value of the Company’s securities, except for trades made pursuant to plans approved by the Compliance Officer in accordance with this policy that are intended to comply with Rule 10b5-1 under the Exchange Act.</w:t>
      </w:r>
    </w:p>
    <w:p>
      <w:pPr>
        <w:spacing w:after="0" w:line="183"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trading prohibitions in this Insider Trading Policy do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apply to: (1) an exercise of an employee stock option when payment of the exercise price is made in cash or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7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21"/>
          <w:szCs w:val="21"/>
          <w:color w:val="auto"/>
        </w:rPr>
        <w:t xml:space="preserve">The trading prohibitions in this Insider Trading Policy </w:t>
      </w:r>
      <w:r>
        <w:rPr>
          <w:rFonts w:ascii="Times New Roman" w:cs="Times New Roman" w:eastAsia="Times New Roman" w:hAnsi="Times New Roman"/>
          <w:sz w:val="21"/>
          <w:szCs w:val="21"/>
          <w:u w:val="single" w:color="auto"/>
          <w:color w:val="auto"/>
        </w:rPr>
        <w:t>do</w:t>
      </w:r>
      <w:r>
        <w:rPr>
          <w:rFonts w:ascii="Times New Roman" w:cs="Times New Roman" w:eastAsia="Times New Roman" w:hAnsi="Times New Roman"/>
          <w:sz w:val="21"/>
          <w:szCs w:val="21"/>
          <w:color w:val="auto"/>
        </w:rPr>
        <w:t xml:space="preserve"> apply, however, to the use of outstanding Company securities to pay part or all of the exercise price of a stock option, any sale of stock as part of a broker-assisted cashless exercise of an option, and any other market sale for the purpose of generating the cash needed to pay the exercise price of an option.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Prohibition on Tipping</w:t>
      </w:r>
    </w:p>
    <w:p>
      <w:pPr>
        <w:spacing w:after="0" w:line="210"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Providing material nonpublic information about the Company to another person who may trade or advise others to trade on the basis of that information is known as “</w:t>
      </w:r>
      <w:r>
        <w:rPr>
          <w:rFonts w:ascii="Times New Roman" w:cs="Times New Roman" w:eastAsia="Times New Roman" w:hAnsi="Times New Roman"/>
          <w:sz w:val="22"/>
          <w:szCs w:val="22"/>
          <w:u w:val="single" w:color="auto"/>
          <w:color w:val="auto"/>
        </w:rPr>
        <w:t>tipping</w:t>
      </w:r>
      <w:r>
        <w:rPr>
          <w:rFonts w:ascii="Times New Roman" w:cs="Times New Roman" w:eastAsia="Times New Roman" w:hAnsi="Times New Roman"/>
          <w:sz w:val="22"/>
          <w:szCs w:val="22"/>
          <w:color w:val="auto"/>
        </w:rPr>
        <w:t>”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2"/>
          <w:szCs w:val="22"/>
          <w:b w:val="1"/>
          <w:bCs w:val="1"/>
          <w:color w:val="auto"/>
        </w:rPr>
        <w:t>Prohibition on Trading in Securities of Other Companies</w:t>
      </w:r>
    </w:p>
    <w:p>
      <w:pPr>
        <w:spacing w:after="0" w:line="21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This policy’s prohibitions against insider trading and tipping also apply to trading in securities of other companies, including the Company’s suppliers, collaboration partners and other business entities with which we are working (such as when negotiating an acquisition, license investment or other transaction that could be material to the other company). Whenever, during the course of your service to or employment by the Company, you become aware of material nonpublic information about another company, including any confidential information that is reasonably likely to affect the market price of that company’s securities (for example, discussions of licensing a product or acquiring that other company), neither you nor your Affiliated Persons may trade in any securities of that company, give trading advice about that company, tip or disclose that information, pass it on to others, or engage in any other action to take advantage of that information.</w:t>
      </w:r>
    </w:p>
    <w:p>
      <w:pPr>
        <w:spacing w:after="0" w:line="178"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2"/>
          <w:szCs w:val="22"/>
          <w:color w:val="auto"/>
        </w:rPr>
        <w:t>If your work regularly involves handling or discussing confidential information of one of our suppliers, collaboration partners or other entities with whom we conduct business, you should consult with the Compliance Officer before trading in any of that company’s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Duration of Trading Prohibitions</w:t>
      </w:r>
    </w:p>
    <w:p>
      <w:pPr>
        <w:spacing w:after="0" w:line="210"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These trading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even the appearance of improper insider trading and how enforcement authorities and others might view the transaction in hindsight.</w:t>
      </w:r>
    </w:p>
    <w:p>
      <w:pPr>
        <w:spacing w:after="0" w:line="180"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This Insider Trading Policy applies to you and your Affiliated Persons so long as you are associated with the Company. If you leave the Company for any reason, this Insider Trading Policy, including, if applicable, the Trading Procedures described in Part III, will continue to apply to you and your Affiliated Persons until the later of: (1) the first trading day following the public release of earnings for the fiscal quarter in which you leave the Company or (2) the first trading day after any material nonpublic information known to you has become public or is no longer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  What is Material Nonpublic Information?</w:t>
      </w:r>
    </w:p>
    <w:p>
      <w:pPr>
        <w:spacing w:after="0" w:line="212"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This Insider Trading Policy prohibits you from trading in a company’s securities if you are in possession of information about the company that is both “</w:t>
      </w:r>
      <w:r>
        <w:rPr>
          <w:rFonts w:ascii="Times New Roman" w:cs="Times New Roman" w:eastAsia="Times New Roman" w:hAnsi="Times New Roman"/>
          <w:sz w:val="22"/>
          <w:szCs w:val="22"/>
          <w:i w:val="1"/>
          <w:iCs w:val="1"/>
          <w:color w:val="auto"/>
        </w:rPr>
        <w:t>material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nonpublic</w:t>
      </w:r>
      <w:r>
        <w:rPr>
          <w:rFonts w:ascii="Times New Roman" w:cs="Times New Roman" w:eastAsia="Times New Roman" w:hAnsi="Times New Roman"/>
          <w:sz w:val="22"/>
          <w:szCs w:val="22"/>
          <w:color w:val="auto"/>
        </w:rPr>
        <w:t>.” If you have a question whether certain information you are aware of is material or has been made public, you should consult with the Compliance Officer.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Information</w:t>
      </w:r>
    </w:p>
    <w:p>
      <w:pPr>
        <w:spacing w:after="0" w:line="210" w:lineRule="exact"/>
        <w:rPr>
          <w:sz w:val="20"/>
          <w:szCs w:val="20"/>
          <w:color w:val="auto"/>
        </w:rPr>
      </w:pPr>
    </w:p>
    <w:p>
      <w:pPr>
        <w:ind w:right="140" w:firstLine="749"/>
        <w:spacing w:after="0" w:line="238" w:lineRule="auto"/>
        <w:rPr>
          <w:sz w:val="20"/>
          <w:szCs w:val="20"/>
          <w:color w:val="auto"/>
        </w:rPr>
      </w:pPr>
      <w:r>
        <w:rPr>
          <w:rFonts w:ascii="Times New Roman" w:cs="Times New Roman" w:eastAsia="Times New Roman" w:hAnsi="Times New Roman"/>
          <w:sz w:val="22"/>
          <w:szCs w:val="22"/>
          <w:color w:val="auto"/>
        </w:rPr>
        <w:t>Information about our Company or any other company is “material” if it could reasonably be expected to affect the investment decisions of a stockholder or potential investor or if disclosure of the information could reasonably be expected to significantly alter the total mix of information in the marketplace about us or any other company. We speak mostly in this Insider Trading Policy about determining whether information about us is material and nonpublic, but the same analysis applies to information about other companies that would preclude you from trading in their securities.</w:t>
      </w:r>
    </w:p>
    <w:p>
      <w:pPr>
        <w:spacing w:after="0" w:line="177"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auto"/>
        </w:rPr>
        <w:t>In simple terms, material information is any type of information that could reasonably be expected to affect the market price of our securities. Both positive and negative information may be material. While it is not possible to identify all information that would be deemed “material,” the following items are examples of the types of information that could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56" w:right="399" w:bottom="1440" w:gutter="0" w:footer="0" w:header="0"/>
        </w:sectPr>
      </w:pPr>
    </w:p>
    <w:bookmarkStart w:id="157" w:name="page158"/>
    <w:bookmarkEnd w:id="157"/>
    <w:p>
      <w:pPr>
        <w:ind w:left="1020" w:right="1060" w:hanging="503"/>
        <w:spacing w:after="0" w:line="258" w:lineRule="auto"/>
        <w:tabs>
          <w:tab w:leader="none" w:pos="1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program developments, regulatory or clinical status or updates, including preclinical and clinical data and communications with regulatory authorities;</w:t>
      </w:r>
    </w:p>
    <w:p>
      <w:pPr>
        <w:spacing w:after="0" w:line="5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financial results that are known but have not been publicly disclosed;</w:t>
      </w:r>
    </w:p>
    <w:p>
      <w:pPr>
        <w:spacing w:after="0" w:line="98" w:lineRule="exact"/>
        <w:rPr>
          <w:rFonts w:ascii="Times New Roman" w:cs="Times New Roman" w:eastAsia="Times New Roman" w:hAnsi="Times New Roman"/>
          <w:sz w:val="22"/>
          <w:szCs w:val="22"/>
          <w:color w:val="auto"/>
        </w:rPr>
      </w:pPr>
    </w:p>
    <w:p>
      <w:pPr>
        <w:ind w:left="1020" w:right="500" w:hanging="503"/>
        <w:spacing w:after="0" w:line="258" w:lineRule="auto"/>
        <w:tabs>
          <w:tab w:leader="none" w:pos="1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restatements of the Company’s financial statements, changes in auditors or auditor notification that the Company may no longer rely on an auditor’s audit report;</w:t>
      </w:r>
    </w:p>
    <w:p>
      <w:pPr>
        <w:spacing w:after="0" w:line="50" w:lineRule="exact"/>
        <w:rPr>
          <w:rFonts w:ascii="Times New Roman" w:cs="Times New Roman" w:eastAsia="Times New Roman" w:hAnsi="Times New Roman"/>
          <w:sz w:val="22"/>
          <w:szCs w:val="22"/>
          <w:color w:val="auto"/>
        </w:rPr>
      </w:pPr>
    </w:p>
    <w:p>
      <w:pPr>
        <w:ind w:left="1020" w:right="340" w:hanging="503"/>
        <w:spacing w:after="0" w:line="258" w:lineRule="auto"/>
        <w:tabs>
          <w:tab w:leader="none" w:pos="1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proposed collaborations, strategic partnerships, licensing transactions, corporate mergers, acquisitions, tender offers, joint ventures or dispositions of significant assets or financing transactions;</w:t>
      </w:r>
    </w:p>
    <w:p>
      <w:pPr>
        <w:spacing w:after="0" w:line="5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 or members of our Board of Directors;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actual or threatened litigation or governmental investigations or major developments in such matters;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risks and incidents, including the discovery of significant vulnerabilities or breaches;</w:t>
      </w:r>
    </w:p>
    <w:p>
      <w:pPr>
        <w:spacing w:after="0" w:line="98" w:lineRule="exact"/>
        <w:rPr>
          <w:rFonts w:ascii="Times New Roman" w:cs="Times New Roman" w:eastAsia="Times New Roman" w:hAnsi="Times New Roman"/>
          <w:sz w:val="22"/>
          <w:szCs w:val="22"/>
          <w:color w:val="auto"/>
        </w:rPr>
      </w:pPr>
    </w:p>
    <w:p>
      <w:pPr>
        <w:ind w:left="1020" w:right="60" w:hanging="503"/>
        <w:spacing w:after="0" w:line="282" w:lineRule="auto"/>
        <w:tabs>
          <w:tab w:leader="none" w:pos="102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developments regarding collaborations, licenses, product candidates, research and development programs, products, customers, suppliers, orders, contracts or financing sources (e.g., the acquisition or loss of a contract);</w:t>
      </w:r>
    </w:p>
    <w:p>
      <w:pPr>
        <w:spacing w:after="0" w:line="26" w:lineRule="exact"/>
        <w:rPr>
          <w:rFonts w:ascii="Times New Roman" w:cs="Times New Roman" w:eastAsia="Times New Roman" w:hAnsi="Times New Roman"/>
          <w:sz w:val="21"/>
          <w:szCs w:val="21"/>
          <w:color w:val="auto"/>
        </w:rPr>
      </w:pPr>
    </w:p>
    <w:p>
      <w:pPr>
        <w:ind w:left="1020" w:hanging="503"/>
        <w:spacing w:after="0"/>
        <w:tabs>
          <w:tab w:leader="none" w:pos="1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declarations of stock splits, or proposed securities offerings or other financings;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defaults under our credit agreements or indentures or potential material liquidity issues; and</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or receiverships.</w:t>
      </w:r>
    </w:p>
    <w:p>
      <w:pPr>
        <w:spacing w:after="0" w:line="14"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color w:val="auto"/>
        </w:rPr>
        <w:t>The above items will not always be material. For example, some new product developments or contracts may clearly be material while others may not be. No “bright-line” standard or list of items can adequately address the range of situations that may arise; information and events should be carefully considered in terms of their materiality to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“Nonpublic” Information</w:t>
      </w:r>
    </w:p>
    <w:p>
      <w:pPr>
        <w:spacing w:after="0" w:line="210" w:lineRule="exact"/>
        <w:rPr>
          <w:sz w:val="20"/>
          <w:szCs w:val="20"/>
          <w:color w:val="auto"/>
        </w:rPr>
      </w:pPr>
    </w:p>
    <w:p>
      <w:pPr>
        <w:ind w:right="840" w:firstLine="749"/>
        <w:spacing w:after="0" w:line="258" w:lineRule="auto"/>
        <w:rPr>
          <w:sz w:val="20"/>
          <w:szCs w:val="20"/>
          <w:color w:val="auto"/>
        </w:rPr>
      </w:pPr>
      <w:r>
        <w:rPr>
          <w:rFonts w:ascii="Times New Roman" w:cs="Times New Roman" w:eastAsia="Times New Roman" w:hAnsi="Times New Roman"/>
          <w:sz w:val="22"/>
          <w:szCs w:val="22"/>
          <w:color w:val="auto"/>
        </w:rPr>
        <w:t>Material information is “nonpublic” if it has not been disseminated in a manner making it available to investors generally.</w:t>
      </w:r>
    </w:p>
    <w:p>
      <w:pPr>
        <w:spacing w:after="0" w:line="158"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To demonstrate that information is public, one must be able to point to some fact that establishes that the information has become publicly available, such as the filing of a report with the SEC, the distribution of a press release, publishing the information on our website or posting on social media if those are regular ways we communicate with investors, or by other means that are reasonably designed to provide broad public access. Before a person with material nonpublic information can trade, the market must have adequate time to absorb the information that has been disclosed. For the purposes of this Insider Trading Policy, information will be considered public after the completion of one full day of trading following our public release of the information. For that purpose, a full day of trading means an entire calendar day in which a session of regular trading hours on the Nasdaq Stock Market between 9:30 a.m. and 4:00 p.m. Eastern Time (or such earlier close time as has been set by exchange rules) has occurred.</w:t>
      </w:r>
    </w:p>
    <w:p>
      <w:pPr>
        <w:spacing w:after="0" w:line="183" w:lineRule="exact"/>
        <w:rPr>
          <w:sz w:val="20"/>
          <w:szCs w:val="20"/>
          <w:color w:val="auto"/>
        </w:rPr>
      </w:pPr>
    </w:p>
    <w:p>
      <w:pPr>
        <w:ind w:right="220" w:firstLine="749"/>
        <w:spacing w:after="0" w:line="239" w:lineRule="auto"/>
        <w:rPr>
          <w:sz w:val="20"/>
          <w:szCs w:val="20"/>
          <w:color w:val="auto"/>
        </w:rPr>
      </w:pPr>
      <w:r>
        <w:rPr>
          <w:rFonts w:ascii="Times New Roman" w:cs="Times New Roman" w:eastAsia="Times New Roman" w:hAnsi="Times New Roman"/>
          <w:sz w:val="22"/>
          <w:szCs w:val="22"/>
          <w:color w:val="auto"/>
        </w:rPr>
        <w:t>For example, if the Company publicly discloses material nonpublic information of which you are aware before trading begins on a Tuesday, the first time you can buy or sell Company securities is the opening of the market on Wednesday. However, if the Company publicly discloses material information after trading begins on a Tuesday, the first time that you can buy or sell Company securities is the opening of the market on Thursday.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58" w:name="page159"/>
    <w:bookmarkEnd w:id="158"/>
    <w:p>
      <w:pPr>
        <w:spacing w:after="0"/>
        <w:tabs>
          <w:tab w:leader="none" w:pos="340" w:val="left"/>
        </w:tabs>
        <w:rPr>
          <w:sz w:val="20"/>
          <w:szCs w:val="20"/>
          <w:color w:val="auto"/>
        </w:rPr>
      </w:pPr>
      <w:r>
        <w:rPr>
          <w:rFonts w:ascii="Times New Roman" w:cs="Times New Roman" w:eastAsia="Times New Roman" w:hAnsi="Times New Roman"/>
          <w:sz w:val="22"/>
          <w:szCs w:val="22"/>
          <w:i w:val="1"/>
          <w:iCs w:val="1"/>
          <w:color w:val="auto"/>
        </w:rPr>
        <w:t>E.</w:t>
      </w:r>
      <w:r>
        <w:rPr>
          <w:sz w:val="20"/>
          <w:szCs w:val="20"/>
          <w:color w:val="auto"/>
        </w:rPr>
        <w:tab/>
      </w:r>
      <w:r>
        <w:rPr>
          <w:rFonts w:ascii="Times New Roman" w:cs="Times New Roman" w:eastAsia="Times New Roman" w:hAnsi="Times New Roman"/>
          <w:sz w:val="21"/>
          <w:szCs w:val="21"/>
          <w:i w:val="1"/>
          <w:iCs w:val="1"/>
          <w:color w:val="auto"/>
        </w:rPr>
        <w:t>What are the Penalties for Insider Trading and Noncompliance with this Insider Trading Policy?</w:t>
      </w:r>
    </w:p>
    <w:p>
      <w:pPr>
        <w:spacing w:after="0" w:line="210"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Both the U.S.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and the national securities exchanges, through the Financial Industry Regulatory Authority (“</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investigate and are very effective at detecting insider trading. The U.S. government pursues insider trading violations vigorously, successfully prosecuting, for example, trading by employees in foreign accounts, trading by family members and friends of insiders, and trading involving only a small number of shares.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penalties for violating rules against insider trading can be severe and include:</w:t>
      </w:r>
    </w:p>
    <w:p>
      <w:pPr>
        <w:spacing w:after="0" w:line="206" w:lineRule="exact"/>
        <w:rPr>
          <w:sz w:val="20"/>
          <w:szCs w:val="20"/>
          <w:color w:val="auto"/>
        </w:rPr>
      </w:pPr>
    </w:p>
    <w:p>
      <w:pPr>
        <w:ind w:left="1020" w:hanging="503"/>
        <w:spacing w:after="0"/>
        <w:tabs>
          <w:tab w:leader="none" w:pos="10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forfeiting any profit gained or loss avoided by the trading;</w:t>
      </w:r>
    </w:p>
    <w:p>
      <w:pPr>
        <w:spacing w:after="0" w:line="98" w:lineRule="exact"/>
        <w:rPr>
          <w:rFonts w:ascii="Times New Roman" w:cs="Times New Roman" w:eastAsia="Times New Roman" w:hAnsi="Times New Roman"/>
          <w:sz w:val="22"/>
          <w:szCs w:val="22"/>
          <w:color w:val="auto"/>
        </w:rPr>
      </w:pPr>
    </w:p>
    <w:p>
      <w:pPr>
        <w:ind w:left="1020" w:right="220" w:hanging="503"/>
        <w:spacing w:after="0" w:line="258" w:lineRule="auto"/>
        <w:tabs>
          <w:tab w:leader="none" w:pos="10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loss suffered by the persons who, contemporaneously with the purchase or sale of securities that are subject of a violation, have purchased or sold securities of the same class;</w:t>
      </w:r>
    </w:p>
    <w:p>
      <w:pPr>
        <w:spacing w:after="0" w:line="5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criminal penalties of up to $5,000,000;</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civil penalties of up to three times the profit made or loss avoided; and</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for up to 20 years.</w:t>
      </w:r>
    </w:p>
    <w:p>
      <w:pPr>
        <w:spacing w:after="0" w:line="14"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The Company and/or the supervisors of the person engaged in insider trading may also be required to pay civil penalties or fines of $2 million or more, up to three times the profit made or loss avoided, as well as criminal penalties of up to $25,000,000, and could under some circumstances be subject to private lawsuits.</w:t>
      </w:r>
    </w:p>
    <w:p>
      <w:pPr>
        <w:spacing w:after="0" w:line="178"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Violation of this Insider Trading Policy or any federal or state insider trading laws may subject you to disciplinary action by the Company, including termination of your employment or other relationship with the Company. The Company reserves the right to determine, in its own discretion and on the basis of the information available to it, whether this Insider Trading Policy has been violated. The Company may determine that specific conduct violates this Insider Trading Policy whether or not it also violates the law. It is not necessary for the Company to await the filing or conclusion of a civil or criminal action against an alleged violator before taking disciplinary action.</w:t>
      </w:r>
    </w:p>
    <w:p>
      <w:pPr>
        <w:spacing w:after="0" w:line="17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i w:val="1"/>
          <w:iCs w:val="1"/>
          <w:color w:val="auto"/>
        </w:rPr>
        <w:t>E.</w:t>
      </w:r>
      <w:r>
        <w:rPr>
          <w:sz w:val="20"/>
          <w:szCs w:val="20"/>
          <w:color w:val="auto"/>
        </w:rPr>
        <w:tab/>
      </w:r>
      <w:r>
        <w:rPr>
          <w:rFonts w:ascii="Times New Roman" w:cs="Times New Roman" w:eastAsia="Times New Roman" w:hAnsi="Times New Roman"/>
          <w:sz w:val="21"/>
          <w:szCs w:val="21"/>
          <w:i w:val="1"/>
          <w:iCs w:val="1"/>
          <w:color w:val="auto"/>
        </w:rPr>
        <w:t>How Do You Report a Violation of this Insider Trading Policy?</w:t>
      </w:r>
    </w:p>
    <w:p>
      <w:pPr>
        <w:spacing w:after="0" w:line="210"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If you have a question about this Insider Trading Policy, including whether certain information you are aware of is material or has been made public, you should consult with the Compliance Officer. In addition, if you violate this Insider Trading Policy or any federal or state laws governing insider trading or know of any such violation by any director or employee of the Company, you should report the violation immediately to the Compliance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TRADING PROCEDURES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  Special Trading Restrictions Applicable to Insiders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addition to needing to comply with the restrictions on trading in our securities set forth above, Insiders and their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Affiliated Persons are subject to the following special trading restrictions:</w:t>
      </w:r>
    </w:p>
    <w:p>
      <w:pPr>
        <w:spacing w:after="0" w:line="178"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Special Closed Trading Periods</w:t>
      </w:r>
    </w:p>
    <w:p>
      <w:pPr>
        <w:spacing w:after="0" w:line="237"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The Compliance Officer may designate, from time to time, a “Special Closed Window” or “Trading Blackout Period”. During any such Special Closed Window or Trading Blackout Period, designated Insiders (which could be all Insiders or a subset of them) may not trade in the Company’s securities. The Compliance Officer may also impose a Special Closed Window or Trading Blackout Period on Insiders or a subset of them to prohibit trading in the securities of other companies, including specified peers or competitors of the Company. The imposition of a Special Closed Window or Trading Blackout Period will not be announced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159" w:name="page160"/>
    <w:bookmarkEnd w:id="159"/>
    <w:p>
      <w:pPr>
        <w:ind w:right="320"/>
        <w:spacing w:after="0" w:line="258" w:lineRule="auto"/>
        <w:rPr>
          <w:sz w:val="20"/>
          <w:szCs w:val="20"/>
          <w:color w:val="auto"/>
        </w:rPr>
      </w:pPr>
      <w:r>
        <w:rPr>
          <w:rFonts w:ascii="Times New Roman" w:cs="Times New Roman" w:eastAsia="Times New Roman" w:hAnsi="Times New Roman"/>
          <w:sz w:val="22"/>
          <w:szCs w:val="22"/>
          <w:color w:val="auto"/>
        </w:rPr>
        <w:t>Company generally, should not be communicated to any other person, and may itself be considered under this Insider Trading Policy to be material nonpublic information about the Company.</w:t>
      </w:r>
    </w:p>
    <w:p>
      <w:pPr>
        <w:spacing w:after="0" w:line="179" w:lineRule="exact"/>
        <w:rPr>
          <w:sz w:val="20"/>
          <w:szCs w:val="20"/>
          <w:color w:val="auto"/>
        </w:rPr>
      </w:pPr>
    </w:p>
    <w:p>
      <w:pPr>
        <w:ind w:left="1120" w:hanging="363"/>
        <w:spacing w:after="0"/>
        <w:tabs>
          <w:tab w:leader="none" w:pos="1120" w:val="left"/>
        </w:tabs>
        <w:numPr>
          <w:ilvl w:val="1"/>
          <w:numId w:val="8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Prohibited Transactions</w:t>
      </w:r>
    </w:p>
    <w:p>
      <w:pPr>
        <w:spacing w:after="0" w:line="244" w:lineRule="exact"/>
        <w:rPr>
          <w:rFonts w:ascii="Times New Roman" w:cs="Times New Roman" w:eastAsia="Times New Roman" w:hAnsi="Times New Roman"/>
          <w:sz w:val="22"/>
          <w:szCs w:val="22"/>
          <w:b w:val="1"/>
          <w:bCs w:val="1"/>
          <w:i w:val="1"/>
          <w:iCs w:val="1"/>
          <w:color w:val="auto"/>
        </w:rPr>
      </w:pPr>
    </w:p>
    <w:p>
      <w:pPr>
        <w:ind w:left="1020" w:right="460" w:hanging="503"/>
        <w:spacing w:after="0" w:line="286"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Short Sales</w:t>
      </w:r>
      <w:r>
        <w:rPr>
          <w:rFonts w:ascii="Times New Roman" w:cs="Times New Roman" w:eastAsia="Times New Roman" w:hAnsi="Times New Roman"/>
          <w:sz w:val="18"/>
          <w:szCs w:val="18"/>
          <w:color w:val="auto"/>
        </w:rPr>
        <w:t>. You may not at any time sell any securities of the Company that are not owned by you at the time of the sale (a “short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w:t>
      </w:r>
    </w:p>
    <w:p>
      <w:pPr>
        <w:spacing w:after="0" w:line="46" w:lineRule="exact"/>
        <w:rPr>
          <w:rFonts w:ascii="Times New Roman" w:cs="Times New Roman" w:eastAsia="Times New Roman" w:hAnsi="Times New Roman"/>
          <w:sz w:val="18"/>
          <w:szCs w:val="18"/>
          <w:color w:val="auto"/>
        </w:rPr>
      </w:pPr>
    </w:p>
    <w:p>
      <w:pPr>
        <w:ind w:left="1020" w:right="20" w:hanging="503"/>
        <w:spacing w:after="0" w:line="273"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Purchases or Sales of Derivative Securities or Hedging Transactions</w:t>
      </w:r>
      <w:r>
        <w:rPr>
          <w:rFonts w:ascii="Times New Roman" w:cs="Times New Roman" w:eastAsia="Times New Roman" w:hAnsi="Times New Roman"/>
          <w:sz w:val="18"/>
          <w:szCs w:val="18"/>
          <w:color w:val="auto"/>
        </w:rPr>
        <w:t>. You may not buy or sell puts, calls, other derivative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or any derivative securities that provide the economic equivalent of ownership of any of the Company’s securities or an opportunity, direct or indirect, to profit from any change in the value of our securities or engage in any other hedging transaction with respect to our securities.</w:t>
      </w:r>
    </w:p>
    <w:p>
      <w:pPr>
        <w:spacing w:after="0" w:line="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Company Securities Subject to Margin Calls</w:t>
      </w:r>
      <w:r>
        <w:rPr>
          <w:rFonts w:ascii="Times New Roman" w:cs="Times New Roman" w:eastAsia="Times New Roman" w:hAnsi="Times New Roman"/>
          <w:sz w:val="18"/>
          <w:szCs w:val="18"/>
          <w:color w:val="auto"/>
        </w:rPr>
        <w:t>. You may not use the Company’s securities as collateral in a margin account.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Pledges</w:t>
      </w:r>
      <w:r>
        <w:rPr>
          <w:rFonts w:ascii="Times New Roman" w:cs="Times New Roman" w:eastAsia="Times New Roman" w:hAnsi="Times New Roman"/>
          <w:sz w:val="18"/>
          <w:szCs w:val="18"/>
          <w:color w:val="auto"/>
        </w:rPr>
        <w:t>. You may not pledge Company securities as collateral for a loan (or modify an existing pledge).</w:t>
      </w:r>
    </w:p>
    <w:p>
      <w:pPr>
        <w:spacing w:after="0" w:line="22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8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Gifts and Other Distributions in Kind</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ind w:right="200" w:firstLine="749"/>
        <w:spacing w:after="0" w:line="239" w:lineRule="auto"/>
        <w:rPr>
          <w:sz w:val="20"/>
          <w:szCs w:val="20"/>
          <w:color w:val="auto"/>
        </w:rPr>
      </w:pPr>
      <w:r>
        <w:rPr>
          <w:rFonts w:ascii="Times New Roman" w:cs="Times New Roman" w:eastAsia="Times New Roman" w:hAnsi="Times New Roman"/>
          <w:sz w:val="22"/>
          <w:szCs w:val="22"/>
          <w:color w:val="auto"/>
        </w:rPr>
        <w:t>No Insider may donate or make any other transfer of Company securities without consideration when the Insider is not permitted to trade unless the donee agrees not to sell the shares until the Insider is permitted to sell. In addition to charitable donations or gifts to family members, friends, trusts or others, this prohibition applies to distributions to limited partners by limited partnerships that are subject to this Insider Trading Policy.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  Pre-Clearance Procedures</w:t>
      </w:r>
    </w:p>
    <w:p>
      <w:pPr>
        <w:spacing w:after="0" w:line="212"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2"/>
          <w:szCs w:val="22"/>
          <w:color w:val="auto"/>
        </w:rPr>
        <w:t>No Insider may trade in our securities, even during an open trading window, unless the trade has been approved by the Compliance Officer in accordance with the procedures described below. In reviewing trading requests, the Compliance Officer may consult with our other officers and/or outside legal counsel and will seek approval of their own trades from the Chief Executive Officer.</w:t>
      </w:r>
    </w:p>
    <w:p>
      <w:pPr>
        <w:spacing w:after="0" w:line="178" w:lineRule="exact"/>
        <w:rPr>
          <w:sz w:val="20"/>
          <w:szCs w:val="20"/>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Procedures. </w:t>
      </w:r>
      <w:r>
        <w:rPr>
          <w:rFonts w:ascii="Times New Roman" w:cs="Times New Roman" w:eastAsia="Times New Roman" w:hAnsi="Times New Roman"/>
          <w:sz w:val="18"/>
          <w:szCs w:val="18"/>
          <w:color w:val="auto"/>
        </w:rPr>
        <w:t>No Insider may trade in our securities unless:</w:t>
      </w:r>
    </w:p>
    <w:p>
      <w:pPr>
        <w:spacing w:after="0" w:line="121" w:lineRule="exact"/>
        <w:rPr>
          <w:sz w:val="20"/>
          <w:szCs w:val="20"/>
          <w:color w:val="auto"/>
        </w:rPr>
      </w:pPr>
    </w:p>
    <w:p>
      <w:pPr>
        <w:ind w:left="1020" w:right="60" w:hanging="503"/>
        <w:spacing w:after="0" w:line="261"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has notified the Compliance Officer of the amount and nature of the proposed trade(s) using the Stock Transaction Request form attached to this Insider Trading Policy. To provide adequate time for the preparation of any required reports under Section 16 of the Exchange Act, a Stock Transaction Request form should, if practicable, be received by the Compliance Officer at least two (2) business days before the intended trade date;</w:t>
      </w:r>
    </w:p>
    <w:p>
      <w:pPr>
        <w:spacing w:after="0" w:line="71"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has certified to the Compliance Officer in writing before the proposed trade(s) that the Insider does not possess material nonpublic information concerning the Company;</w:t>
      </w:r>
    </w:p>
    <w:p>
      <w:pPr>
        <w:spacing w:after="0" w:line="53"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Insider is an executive officer or director, the Insider has informed the Compliance Officer, using the Stock Transaction Request form,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Officer has approved the trade(s) and has certified their approval in writing (which may be by email).</w:t>
      </w:r>
    </w:p>
    <w:p>
      <w:pPr>
        <w:spacing w:after="0" w:line="24"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The Compliance Officer does not assume responsibility for, and approval by the Compliance Officer does not protect the Insider from, the consequences of prohibited insider trading.</w:t>
      </w:r>
    </w:p>
    <w:p>
      <w:pPr>
        <w:spacing w:after="0" w:line="183" w:lineRule="exact"/>
        <w:rPr>
          <w:sz w:val="20"/>
          <w:szCs w:val="20"/>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Information.</w:t>
      </w:r>
    </w:p>
    <w:p>
      <w:pPr>
        <w:spacing w:after="0" w:line="28" w:lineRule="exact"/>
        <w:rPr>
          <w:sz w:val="20"/>
          <w:szCs w:val="20"/>
          <w:color w:val="auto"/>
        </w:rPr>
      </w:pPr>
    </w:p>
    <w:p>
      <w:pPr>
        <w:ind w:right="160" w:firstLine="749"/>
        <w:spacing w:after="0" w:line="235" w:lineRule="auto"/>
        <w:rPr>
          <w:sz w:val="20"/>
          <w:szCs w:val="20"/>
          <w:color w:val="auto"/>
        </w:rPr>
      </w:pPr>
      <w:r>
        <w:rPr>
          <w:rFonts w:ascii="Times New Roman" w:cs="Times New Roman" w:eastAsia="Times New Roman" w:hAnsi="Times New Roman"/>
          <w:sz w:val="22"/>
          <w:szCs w:val="22"/>
          <w:color w:val="auto"/>
        </w:rPr>
        <w:t>Insiders shall provide to the Compliance Officer any documentation the Compliance Officer reasonably requires in furtherance of the foregoing procedures. Any failure to provide such information will be grounds for the Compliance Officer to deny approval of the trade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160" w:name="page161"/>
    <w:bookmarkEnd w:id="160"/>
    <w:p>
      <w:pPr>
        <w:ind w:left="1020" w:hanging="503"/>
        <w:spacing w:after="0"/>
        <w:tabs>
          <w:tab w:leader="none" w:pos="10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Notification of Brokers of Insider Status</w:t>
      </w:r>
    </w:p>
    <w:p>
      <w:pPr>
        <w:spacing w:after="0" w:line="28" w:lineRule="exact"/>
        <w:rPr>
          <w:sz w:val="20"/>
          <w:szCs w:val="20"/>
          <w:color w:val="auto"/>
        </w:rPr>
      </w:pPr>
    </w:p>
    <w:p>
      <w:pPr>
        <w:ind w:right="100" w:firstLine="360"/>
        <w:spacing w:after="0" w:line="234" w:lineRule="auto"/>
        <w:rPr>
          <w:sz w:val="20"/>
          <w:szCs w:val="20"/>
          <w:color w:val="auto"/>
        </w:rPr>
      </w:pPr>
      <w:r>
        <w:rPr>
          <w:rFonts w:ascii="Times New Roman" w:cs="Times New Roman" w:eastAsia="Times New Roman" w:hAnsi="Times New Roman"/>
          <w:sz w:val="22"/>
          <w:szCs w:val="22"/>
          <w:color w:val="auto"/>
        </w:rPr>
        <w:t>Insiders who are required to file reports under Section 16 of the Exchange Act shall inform their broker-dealers that (a) the Insider is subject to Section 16; (b) the broker shall confirm that any trade by the Insider or any of their affiliates has been precleared by the Company; and (c) the broker is to provide transaction information to the Insider and/or Compliance Officer on the day of a trade.</w:t>
      </w:r>
    </w:p>
    <w:p>
      <w:pPr>
        <w:spacing w:after="0" w:line="183" w:lineRule="exact"/>
        <w:rPr>
          <w:sz w:val="20"/>
          <w:szCs w:val="20"/>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Obligation to Approve Trades.</w:t>
      </w:r>
    </w:p>
    <w:p>
      <w:pPr>
        <w:spacing w:after="0" w:line="28" w:lineRule="exact"/>
        <w:rPr>
          <w:sz w:val="20"/>
          <w:szCs w:val="20"/>
          <w:color w:val="auto"/>
        </w:rPr>
      </w:pPr>
    </w:p>
    <w:p>
      <w:pPr>
        <w:ind w:right="640" w:firstLine="749"/>
        <w:spacing w:after="0" w:line="237" w:lineRule="auto"/>
        <w:rPr>
          <w:sz w:val="20"/>
          <w:szCs w:val="20"/>
          <w:color w:val="auto"/>
        </w:rPr>
      </w:pPr>
      <w:r>
        <w:rPr>
          <w:rFonts w:ascii="Times New Roman" w:cs="Times New Roman" w:eastAsia="Times New Roman" w:hAnsi="Times New Roman"/>
          <w:sz w:val="22"/>
          <w:szCs w:val="22"/>
          <w:color w:val="auto"/>
        </w:rPr>
        <w:t>The foregoing approval procedures do not in any way obligate the Compliance Officer to approve any trade. The Compliance Officer has sole discretion to reject any trading request.</w:t>
      </w:r>
    </w:p>
    <w:p>
      <w:pPr>
        <w:spacing w:after="0" w:line="178" w:lineRule="exact"/>
        <w:rPr>
          <w:sz w:val="20"/>
          <w:szCs w:val="20"/>
          <w:color w:val="auto"/>
        </w:rPr>
      </w:pPr>
    </w:p>
    <w:p>
      <w:pPr>
        <w:ind w:right="140" w:firstLine="749"/>
        <w:spacing w:after="0" w:line="234" w:lineRule="auto"/>
        <w:rPr>
          <w:sz w:val="20"/>
          <w:szCs w:val="20"/>
          <w:color w:val="auto"/>
        </w:rPr>
      </w:pPr>
      <w:r>
        <w:rPr>
          <w:rFonts w:ascii="Times New Roman" w:cs="Times New Roman" w:eastAsia="Times New Roman" w:hAnsi="Times New Roman"/>
          <w:sz w:val="22"/>
          <w:szCs w:val="22"/>
          <w:color w:val="auto"/>
        </w:rPr>
        <w:t>From time to time, an event may occur that is material to the Company and is known only by a limited number of directors and employees. The Compliance Officer may decline an Insider’s request to preclear a proposed trade based on the existence of a material nonpublic development – even if the Insider is not aware of that material nonpublic development.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Compliance Officer may decide not to approve any transactions in the Company’s securities. The Compliance Officer will subsequently notify the Insider once the material nonpublic development is disclosed to the public or resolved. If an Insider requests preclearance of a trade during the pendency of such an event, the Compliance Officer may reject the trading request without disclosing the reason.</w:t>
      </w:r>
    </w:p>
    <w:p>
      <w:pPr>
        <w:spacing w:after="0" w:line="188" w:lineRule="exact"/>
        <w:rPr>
          <w:sz w:val="20"/>
          <w:szCs w:val="20"/>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of Trades.</w:t>
      </w:r>
    </w:p>
    <w:p>
      <w:pPr>
        <w:spacing w:after="0" w:line="28"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21"/>
          <w:szCs w:val="21"/>
          <w:color w:val="auto"/>
        </w:rPr>
        <w:t>After receiving written clearance to engage in a trade signed by the Compliance Officer, an Insider must complete the proposed trade within two (2) business days or make a new trading request. Even if an Insider has received clearance, the Insider may not engage in a trade if (i) such clearance has been rescinded by the Compliance Officer, (ii) the Insider has otherwise received notice that the trading window has closed or (iii) the Insider has or acquires material nonpublic information.</w:t>
      </w:r>
    </w:p>
    <w:p>
      <w:pPr>
        <w:spacing w:after="0" w:line="175" w:lineRule="exact"/>
        <w:rPr>
          <w:sz w:val="20"/>
          <w:szCs w:val="20"/>
          <w:color w:val="auto"/>
        </w:rPr>
      </w:pPr>
    </w:p>
    <w:p>
      <w:pPr>
        <w:ind w:left="1020" w:hanging="503"/>
        <w:spacing w:after="0"/>
        <w:tabs>
          <w:tab w:leader="none" w:pos="10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Post-Trade Reporting.</w:t>
      </w:r>
    </w:p>
    <w:p>
      <w:pPr>
        <w:spacing w:after="0" w:line="28" w:lineRule="exact"/>
        <w:rPr>
          <w:sz w:val="20"/>
          <w:szCs w:val="20"/>
          <w:color w:val="auto"/>
        </w:rPr>
      </w:pPr>
    </w:p>
    <w:p>
      <w:pPr>
        <w:ind w:right="60" w:firstLine="749"/>
        <w:spacing w:after="0" w:line="231" w:lineRule="auto"/>
        <w:rPr>
          <w:sz w:val="20"/>
          <w:szCs w:val="20"/>
          <w:color w:val="auto"/>
        </w:rPr>
      </w:pPr>
      <w:r>
        <w:rPr>
          <w:rFonts w:ascii="Times New Roman" w:cs="Times New Roman" w:eastAsia="Times New Roman" w:hAnsi="Times New Roman"/>
          <w:sz w:val="22"/>
          <w:szCs w:val="22"/>
          <w:color w:val="auto"/>
        </w:rPr>
        <w:t>The details of any transactions in our securities (including transactions effected pursuant to a Rule 10b5-1 Plan) by an Insider (or an Affiliated Person) who is required to file reports under Section 16 of the Exchange Act must be reported to the Compliance Officer by the Insider or their brokerage firm on the same day on which a trade order is placed or such a transaction otherwise is entered into. The report shall include the date of the transaction, quantity of shares, the price and the name of the broker-dealer that effected the transaction. This reporting requirement may be satisfied by providing (or having the Insider’s broker provide) a trade order confirmation to the Compliance Officer if the Compliance Officer receives such information by the required date. Compliance by directors and executive officers with this provision is imperative given the requirement of Section 16 of the Exchange Act that these persons generally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181" w:lineRule="exact"/>
        <w:rPr>
          <w:sz w:val="20"/>
          <w:szCs w:val="20"/>
          <w:color w:val="auto"/>
        </w:rPr>
      </w:pPr>
    </w:p>
    <w:p>
      <w:pPr>
        <w:ind w:left="440" w:hanging="432"/>
        <w:spacing w:after="0"/>
        <w:tabs>
          <w:tab w:leader="none" w:pos="440" w:val="left"/>
        </w:tabs>
        <w:numPr>
          <w:ilvl w:val="0"/>
          <w:numId w:val="9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Exemptions</w:t>
      </w:r>
    </w:p>
    <w:p>
      <w:pPr>
        <w:spacing w:after="0" w:line="217" w:lineRule="exact"/>
        <w:rPr>
          <w:rFonts w:ascii="Times New Roman" w:cs="Times New Roman" w:eastAsia="Times New Roman" w:hAnsi="Times New Roman"/>
          <w:sz w:val="22"/>
          <w:szCs w:val="22"/>
          <w:b w:val="1"/>
          <w:bCs w:val="1"/>
          <w:i w:val="1"/>
          <w:iCs w:val="1"/>
          <w:color w:val="auto"/>
        </w:rPr>
      </w:pPr>
    </w:p>
    <w:p>
      <w:pPr>
        <w:ind w:left="1020" w:hanging="503"/>
        <w:spacing w:after="0"/>
        <w:tabs>
          <w:tab w:leader="none" w:pos="1020"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Pre-Approved Rule 10b5-1 Plan.</w:t>
      </w:r>
    </w:p>
    <w:p>
      <w:pPr>
        <w:spacing w:after="0" w:line="28" w:lineRule="exact"/>
        <w:rPr>
          <w:sz w:val="20"/>
          <w:szCs w:val="20"/>
          <w:color w:val="auto"/>
        </w:rPr>
      </w:pPr>
    </w:p>
    <w:p>
      <w:pPr>
        <w:ind w:right="180" w:firstLine="749"/>
        <w:spacing w:after="0" w:line="232" w:lineRule="auto"/>
        <w:rPr>
          <w:sz w:val="20"/>
          <w:szCs w:val="20"/>
          <w:color w:val="auto"/>
        </w:rPr>
      </w:pPr>
      <w:r>
        <w:rPr>
          <w:rFonts w:ascii="Times New Roman" w:cs="Times New Roman" w:eastAsia="Times New Roman" w:hAnsi="Times New Roman"/>
          <w:sz w:val="22"/>
          <w:szCs w:val="22"/>
          <w:color w:val="auto"/>
        </w:rPr>
        <w:t>Transactions made pursuant to an approved Rule 10b5-1 Plan (as defined below) will not be subject to our trading windows or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specified requirements. A trading plan, arrangement or instruction that meets the requirements of the SEC’s Rule 10b5-1 (a “Rule 10b5-1 Plan”) enables Insiders to trade in Company securities outside of our trading windows, even when in possession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61" w:name="page162"/>
    <w:bookmarkEnd w:id="161"/>
    <w:p>
      <w:pPr>
        <w:ind w:right="420" w:firstLine="749"/>
        <w:spacing w:after="0" w:line="258" w:lineRule="auto"/>
        <w:rPr>
          <w:sz w:val="20"/>
          <w:szCs w:val="20"/>
          <w:color w:val="auto"/>
        </w:rPr>
      </w:pPr>
      <w:r>
        <w:rPr>
          <w:rFonts w:ascii="Times New Roman" w:cs="Times New Roman" w:eastAsia="Times New Roman" w:hAnsi="Times New Roman"/>
          <w:sz w:val="22"/>
          <w:szCs w:val="22"/>
          <w:color w:val="auto"/>
        </w:rPr>
        <w:t>The Company has adopted a separate Rule 10b5-1 Trading Plan Policy that sets forth the requirements for putting in place a Rule 10b5-1 Plan with respect to Company securities.</w:t>
      </w:r>
    </w:p>
    <w:p>
      <w:pPr>
        <w:spacing w:after="0" w:line="163" w:lineRule="exact"/>
        <w:rPr>
          <w:sz w:val="20"/>
          <w:szCs w:val="20"/>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Equity and Retirement Plans.</w:t>
      </w:r>
    </w:p>
    <w:p>
      <w:pPr>
        <w:spacing w:after="0" w:line="28"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b w:val="1"/>
          <w:bCs w:val="1"/>
          <w:i w:val="1"/>
          <w:iCs w:val="1"/>
          <w:color w:val="auto"/>
        </w:rPr>
        <w:t>Exercise of Stock Options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trading prohibitions and restrictions set forth in the Trading Procedures do not apply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exercise for cash of an option to purchase securities of the Company. However, the exercise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this Insider Trading Policy, including the Trading Procedures. Moreover, the Trading Procedures apply to the use of outstanding Company securities to pay part or all of the exercise price of an option, any net option exercise, any exercise of a stock appreciation right, share withholding and any sale of stock as part of a broker-assisted cashless exercise of an option or any other market sale for the purpose of generating the cash needed to pay the exercise price of an option.</w:t>
      </w:r>
    </w:p>
    <w:p>
      <w:pPr>
        <w:spacing w:after="0" w:line="172"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Tax Withholding on Restricted Stock/Units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trading prohibitions and restrictions set forth in the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Procedures do not apply to the withholding by the Company of shares of stock upon vesting of restricted stock or upon settlement of restricted stock units to satisfy tax withholding requirements if (a) withholding is required by the applicable plan or award agreement or (b) the election to exercise the tax withholding right was made by the Insider in compliance with the Trading Procedures.</w:t>
      </w:r>
    </w:p>
    <w:p>
      <w:pPr>
        <w:spacing w:after="0" w:line="171"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Employee Stock Purchase Plan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trading prohibitions and restrictions set forth in the Trading Procedures do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apply to periodic wage withholding contributions by the Company or its employees that are used to purchase Company stock pursuant to the employees’ advance instructions under the Company’s employee stock purchase plan, if any. However, an Insider may not: (a) elect to participate in the plan or alter their instructions regarding the level of withholding or purchase by the Insider of Company securities under the plan; or (b) make cash contributions to the plan (other than through periodic wage withholding) without complying with the Trading Procedures. Any sale of securities acquired under the plan is subject to the prohibitions and restrictions of the Trading Procedures.</w:t>
      </w:r>
    </w:p>
    <w:p>
      <w:pPr>
        <w:spacing w:after="0" w:line="176" w:lineRule="exact"/>
        <w:rPr>
          <w:sz w:val="20"/>
          <w:szCs w:val="20"/>
          <w:color w:val="auto"/>
        </w:rPr>
      </w:pPr>
    </w:p>
    <w:p>
      <w:pPr>
        <w:ind w:left="440" w:hanging="432"/>
        <w:spacing w:after="0"/>
        <w:tabs>
          <w:tab w:leader="none" w:pos="440" w:val="left"/>
        </w:tabs>
        <w:numPr>
          <w:ilvl w:val="0"/>
          <w:numId w:val="9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Waivers</w:t>
      </w:r>
    </w:p>
    <w:p>
      <w:pPr>
        <w:spacing w:after="0" w:line="212" w:lineRule="exact"/>
        <w:rPr>
          <w:sz w:val="20"/>
          <w:szCs w:val="20"/>
          <w:color w:val="auto"/>
        </w:rPr>
      </w:pPr>
    </w:p>
    <w:p>
      <w:pPr>
        <w:jc w:val="both"/>
        <w:ind w:right="180" w:firstLine="749"/>
        <w:spacing w:after="0" w:line="244" w:lineRule="auto"/>
        <w:rPr>
          <w:sz w:val="20"/>
          <w:szCs w:val="20"/>
          <w:color w:val="auto"/>
        </w:rPr>
      </w:pPr>
      <w:r>
        <w:rPr>
          <w:rFonts w:ascii="Times New Roman" w:cs="Times New Roman" w:eastAsia="Times New Roman" w:hAnsi="Times New Roman"/>
          <w:sz w:val="22"/>
          <w:szCs w:val="22"/>
          <w:color w:val="auto"/>
        </w:rPr>
        <w:t>A waiver of any provision of this Insider Trading Policy or the Trading Procedures may be authorized in writing by the Compliance Officer (or by the Chief Executive Officer if such waiver pertains to the Compliance Officer). All waivers shall be reported to the Board of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III. ACKNOWLEDGEMENT</w:t>
      </w:r>
    </w:p>
    <w:p>
      <w:pPr>
        <w:spacing w:after="0" w:line="210"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We will deliver a copy of this Insider Trading Policy to all current employees and directors and to future employees and directors at the start of their employment or relationship with the Company. Each of these individuals must acknowledge that they have received a copy and agree to comply with the terms of this Insider Trading Policy, and, if applicable, the Trading Procedures contained herein. The attached acknowledgment must be completed and submitted to the Company within ten days of receipt.</w:t>
      </w:r>
    </w:p>
    <w:p>
      <w:pPr>
        <w:spacing w:after="0" w:line="200" w:lineRule="exact"/>
        <w:rPr>
          <w:sz w:val="20"/>
          <w:szCs w:val="20"/>
          <w:color w:val="auto"/>
        </w:rPr>
      </w:pPr>
    </w:p>
    <w:p>
      <w:pPr>
        <w:spacing w:after="0" w:line="22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21"/>
          <w:szCs w:val="21"/>
          <w:color w:val="auto"/>
        </w:rPr>
        <w:t>At our request, directors and employees will be required to re-acknowledge and agree to comply with the Insider Trading Policy (including any amendments or modifications). For that purpose, an individual will be deemed to have acknowledged and agreed to comply with the Insider Trading Policy, as amended from time to time, when copies of those items have been delivered by regular or electronic mail (or other delivery option used by the Company) to the Compliance Officer.</w:t>
      </w:r>
    </w:p>
    <w:p>
      <w:pPr>
        <w:spacing w:after="0" w:line="162" w:lineRule="exact"/>
        <w:rPr>
          <w:sz w:val="20"/>
          <w:szCs w:val="20"/>
          <w:color w:val="auto"/>
        </w:rPr>
      </w:pPr>
    </w:p>
    <w:p>
      <w:pPr>
        <w:jc w:val="center"/>
        <w:ind w:right="-19"/>
        <w:spacing w:after="0"/>
        <w:tabs>
          <w:tab w:leader="none" w:pos="240" w:val="left"/>
          <w:tab w:leader="none" w:pos="220" w:val="left"/>
        </w:tabs>
        <w:rPr>
          <w:sz w:val="20"/>
          <w:szCs w:val="20"/>
          <w:color w:val="auto"/>
        </w:rPr>
      </w:pPr>
      <w:r>
        <w:rPr>
          <w:rFonts w:ascii="Times New Roman" w:cs="Times New Roman" w:eastAsia="Times New Roman" w:hAnsi="Times New Roman"/>
          <w:sz w:val="22"/>
          <w:szCs w:val="22"/>
          <w:color w:val="auto"/>
        </w:rPr>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2" w:name="page163"/>
    <w:bookmarkEnd w:id="162"/>
    <w:p>
      <w:pPr>
        <w:ind w:left="760"/>
        <w:spacing w:after="0"/>
        <w:rPr>
          <w:sz w:val="20"/>
          <w:szCs w:val="20"/>
          <w:color w:val="auto"/>
        </w:rPr>
      </w:pPr>
      <w:r>
        <w:rPr>
          <w:rFonts w:ascii="Times New Roman" w:cs="Times New Roman" w:eastAsia="Times New Roman" w:hAnsi="Times New Roman"/>
          <w:sz w:val="21"/>
          <w:szCs w:val="21"/>
          <w:color w:val="auto"/>
        </w:rPr>
        <w:t>Questions regarding this Insider Trading Policy are encouraged and may be directed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ADOPTED:</w:t>
      </w:r>
      <w:r>
        <w:rPr>
          <w:sz w:val="20"/>
          <w:szCs w:val="20"/>
          <w:color w:val="auto"/>
        </w:rPr>
        <w:tab/>
      </w:r>
      <w:r>
        <w:rPr>
          <w:rFonts w:ascii="Times New Roman" w:cs="Times New Roman" w:eastAsia="Times New Roman" w:hAnsi="Times New Roman"/>
          <w:sz w:val="22"/>
          <w:szCs w:val="22"/>
          <w:color w:val="auto"/>
        </w:rPr>
        <w:t>June 5, 2023</w:t>
      </w:r>
    </w:p>
    <w:p>
      <w:pPr>
        <w:spacing w:after="0" w:line="1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EFFECTIVE:</w:t>
        <w:tab/>
        <w:t>June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754380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760" w:right="117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TRANSACTION REQUEST</w:t>
      </w:r>
    </w:p>
    <w:p>
      <w:pPr>
        <w:spacing w:after="0" w:line="211"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b w:val="1"/>
          <w:bCs w:val="1"/>
          <w:color w:val="auto"/>
        </w:rPr>
        <w:t>Fate Therapeutics, Inc.’s</w:t>
      </w:r>
      <w:r>
        <w:rPr>
          <w:rFonts w:ascii="Times New Roman" w:cs="Times New Roman" w:eastAsia="Times New Roman" w:hAnsi="Times New Roman"/>
          <w:sz w:val="20"/>
          <w:szCs w:val="20"/>
          <w:color w:val="auto"/>
        </w:rPr>
        <w:t xml:space="preserve"> Insider Trading Policy, I hereby notify </w:t>
      </w:r>
      <w:r>
        <w:rPr>
          <w:rFonts w:ascii="Times New Roman" w:cs="Times New Roman" w:eastAsia="Times New Roman" w:hAnsi="Times New Roman"/>
          <w:sz w:val="20"/>
          <w:szCs w:val="20"/>
          <w:b w:val="1"/>
          <w:bCs w:val="1"/>
          <w:color w:val="auto"/>
        </w:rPr>
        <w:t>Fate Therapeutics, Inc.</w:t>
      </w:r>
      <w:r>
        <w:rPr>
          <w:rFonts w:ascii="Times New Roman" w:cs="Times New Roman" w:eastAsia="Times New Roman" w:hAnsi="Times New Roman"/>
          <w:sz w:val="20"/>
          <w:szCs w:val="20"/>
          <w:color w:val="auto"/>
        </w:rPr>
        <w:t xml:space="preserve"> (the “Company”) of my intent to trade the securities of the Company as indicated below:</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120" w:type="dxa"/>
            <w:vAlign w:val="bottom"/>
            <w:tcBorders>
              <w:top w:val="single" w:sz="8" w:color="auto"/>
              <w:left w:val="single" w:sz="8" w:color="auto"/>
            </w:tcBorders>
          </w:tcPr>
          <w:p>
            <w:pPr>
              <w:spacing w:after="0"/>
              <w:rPr>
                <w:sz w:val="21"/>
                <w:szCs w:val="21"/>
                <w:color w:val="auto"/>
              </w:rPr>
            </w:pPr>
          </w:p>
        </w:tc>
        <w:tc>
          <w:tcPr>
            <w:tcW w:w="250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REQUESTER INFORMATION</w:t>
            </w:r>
          </w:p>
        </w:tc>
        <w:tc>
          <w:tcPr>
            <w:tcW w:w="40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100" w:type="dxa"/>
            <w:vAlign w:val="bottom"/>
            <w:tcBorders>
              <w:top w:val="single" w:sz="8" w:color="auto"/>
            </w:tcBorders>
          </w:tcPr>
          <w:p>
            <w:pPr>
              <w:spacing w:after="0"/>
              <w:rPr>
                <w:sz w:val="21"/>
                <w:szCs w:val="21"/>
                <w:color w:val="auto"/>
              </w:rPr>
            </w:pPr>
          </w:p>
        </w:tc>
        <w:tc>
          <w:tcPr>
            <w:tcW w:w="1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160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Insider’s Name:</w:t>
            </w:r>
          </w:p>
        </w:tc>
        <w:tc>
          <w:tcPr>
            <w:tcW w:w="9520" w:type="dxa"/>
            <w:vAlign w:val="bottom"/>
            <w:gridSpan w:val="9"/>
          </w:tcPr>
          <w:p>
            <w:pPr>
              <w:jc w:val="center"/>
              <w:ind w:right="5820"/>
              <w:spacing w:after="0"/>
              <w:rPr>
                <w:sz w:val="20"/>
                <w:szCs w:val="20"/>
                <w:color w:val="auto"/>
              </w:rPr>
            </w:pPr>
            <w:r>
              <w:rPr>
                <w:rFonts w:ascii="Times New Roman" w:cs="Times New Roman" w:eastAsia="Times New Roman" w:hAnsi="Times New Roman"/>
                <w:sz w:val="18"/>
                <w:szCs w:val="18"/>
                <w:color w:val="auto"/>
              </w:rPr>
              <w:t>_________________________________________</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20" w:type="dxa"/>
            <w:vAlign w:val="bottom"/>
            <w:tcBorders>
              <w:left w:val="single" w:sz="8" w:color="auto"/>
              <w:bottom w:val="single" w:sz="8" w:color="auto"/>
            </w:tcBorders>
          </w:tcPr>
          <w:p>
            <w:pPr>
              <w:spacing w:after="0"/>
              <w:rPr>
                <w:sz w:val="24"/>
                <w:szCs w:val="24"/>
                <w:color w:val="auto"/>
              </w:rPr>
            </w:pPr>
          </w:p>
        </w:tc>
        <w:tc>
          <w:tcPr>
            <w:tcW w:w="150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0" w:type="dxa"/>
            <w:vAlign w:val="bottom"/>
            <w:tcBorders>
              <w:left w:val="single" w:sz="8" w:color="auto"/>
            </w:tcBorders>
          </w:tcPr>
          <w:p>
            <w:pPr>
              <w:spacing w:after="0"/>
              <w:rPr>
                <w:sz w:val="19"/>
                <w:szCs w:val="19"/>
                <w:color w:val="auto"/>
              </w:rPr>
            </w:pPr>
          </w:p>
        </w:tc>
        <w:tc>
          <w:tcPr>
            <w:tcW w:w="2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INTENT TO PURCHASE</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160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Intended trade date: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20" w:type="dxa"/>
            <w:vAlign w:val="bottom"/>
            <w:tcBorders>
              <w:left w:val="single" w:sz="8" w:color="auto"/>
            </w:tcBorders>
          </w:tcPr>
          <w:p>
            <w:pPr>
              <w:spacing w:after="0"/>
              <w:rPr>
                <w:sz w:val="24"/>
                <w:szCs w:val="24"/>
                <w:color w:val="auto"/>
              </w:rPr>
            </w:pPr>
          </w:p>
        </w:tc>
        <w:tc>
          <w:tcPr>
            <w:tcW w:w="2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Means of acquiring shares:</w:t>
            </w:r>
          </w:p>
        </w:tc>
        <w:tc>
          <w:tcPr>
            <w:tcW w:w="460" w:type="dxa"/>
            <w:vAlign w:val="bottom"/>
          </w:tcPr>
          <w:p>
            <w:pPr>
              <w:spacing w:after="0"/>
              <w:rPr>
                <w:sz w:val="24"/>
                <w:szCs w:val="24"/>
                <w:color w:val="auto"/>
              </w:rPr>
            </w:pPr>
          </w:p>
        </w:tc>
        <w:tc>
          <w:tcPr>
            <w:tcW w:w="4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240" w:type="dxa"/>
            <w:vAlign w:val="bottom"/>
            <w:tcBorders>
              <w:right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color w:val="auto"/>
              </w:rPr>
              <w:t>Acquisition through employee benefit plan (please specify):</w:t>
            </w:r>
          </w:p>
        </w:tc>
        <w:tc>
          <w:tcPr>
            <w:tcW w:w="0" w:type="dxa"/>
            <w:vAlign w:val="bottom"/>
          </w:tcPr>
          <w:p>
            <w:pPr>
              <w:spacing w:after="0"/>
              <w:rPr>
                <w:sz w:val="1"/>
                <w:szCs w:val="1"/>
                <w:color w:val="auto"/>
              </w:rPr>
            </w:pPr>
          </w:p>
        </w:tc>
      </w:tr>
      <w:tr>
        <w:trPr>
          <w:trHeight w:val="512"/>
        </w:trPr>
        <w:tc>
          <w:tcPr>
            <w:tcW w:w="120" w:type="dxa"/>
            <w:vAlign w:val="bottom"/>
            <w:tcBorders>
              <w:lef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22"/>
        </w:trPr>
        <w:tc>
          <w:tcPr>
            <w:tcW w:w="120" w:type="dxa"/>
            <w:vAlign w:val="bottom"/>
            <w:tcBorders>
              <w:lef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240" w:type="dxa"/>
            <w:vAlign w:val="bottom"/>
            <w:tcBorders>
              <w:right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color w:val="auto"/>
              </w:rPr>
              <w:t>Purchase through a broker on the open market</w:t>
            </w:r>
          </w:p>
        </w:tc>
        <w:tc>
          <w:tcPr>
            <w:tcW w:w="0" w:type="dxa"/>
            <w:vAlign w:val="bottom"/>
          </w:tcPr>
          <w:p>
            <w:pPr>
              <w:spacing w:after="0"/>
              <w:rPr>
                <w:sz w:val="1"/>
                <w:szCs w:val="1"/>
                <w:color w:val="auto"/>
              </w:rPr>
            </w:pPr>
          </w:p>
        </w:tc>
      </w:tr>
      <w:tr>
        <w:trPr>
          <w:trHeight w:val="594"/>
        </w:trPr>
        <w:tc>
          <w:tcPr>
            <w:tcW w:w="120" w:type="dxa"/>
            <w:vAlign w:val="bottom"/>
            <w:tcBorders>
              <w:lef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240" w:type="dxa"/>
            <w:vAlign w:val="bottom"/>
            <w:tcBorders>
              <w:right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color w:val="auto"/>
              </w:rPr>
              <w:t>Other (please specify): ________________________________________</w:t>
            </w:r>
          </w:p>
        </w:tc>
        <w:tc>
          <w:tcPr>
            <w:tcW w:w="0" w:type="dxa"/>
            <w:vAlign w:val="bottom"/>
          </w:tcPr>
          <w:p>
            <w:pPr>
              <w:spacing w:after="0"/>
              <w:rPr>
                <w:sz w:val="1"/>
                <w:szCs w:val="1"/>
                <w:color w:val="auto"/>
              </w:rPr>
            </w:pPr>
          </w:p>
        </w:tc>
      </w:tr>
      <w:tr>
        <w:trPr>
          <w:trHeight w:val="26"/>
        </w:trPr>
        <w:tc>
          <w:tcPr>
            <w:tcW w:w="120" w:type="dxa"/>
            <w:vAlign w:val="bottom"/>
            <w:tcBorders>
              <w:left w:val="single" w:sz="8" w:color="auto"/>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INTENT TO SELL</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120" w:type="dxa"/>
            <w:vAlign w:val="bottom"/>
            <w:tcBorders>
              <w:left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Intended trade date: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20" w:type="dxa"/>
            <w:vAlign w:val="bottom"/>
            <w:tcBorders>
              <w:left w:val="single" w:sz="8" w:color="auto"/>
            </w:tcBorders>
          </w:tcPr>
          <w:p>
            <w:pPr>
              <w:spacing w:after="0"/>
              <w:rPr>
                <w:sz w:val="24"/>
                <w:szCs w:val="24"/>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Means of selling shares:</w:t>
            </w:r>
          </w:p>
        </w:tc>
        <w:tc>
          <w:tcPr>
            <w:tcW w:w="260" w:type="dxa"/>
            <w:vAlign w:val="bottom"/>
          </w:tcPr>
          <w:p>
            <w:pPr>
              <w:spacing w:after="0"/>
              <w:rPr>
                <w:sz w:val="24"/>
                <w:szCs w:val="24"/>
                <w:color w:val="auto"/>
              </w:rPr>
            </w:pPr>
          </w:p>
        </w:tc>
        <w:tc>
          <w:tcPr>
            <w:tcW w:w="860" w:type="dxa"/>
            <w:vAlign w:val="bottom"/>
            <w:gridSpan w:val="2"/>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8240" w:type="dxa"/>
            <w:vAlign w:val="bottom"/>
            <w:tcBorders>
              <w:right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color w:val="auto"/>
              </w:rPr>
              <w:t>Sale through employee benefit plan (please specify):</w:t>
            </w:r>
          </w:p>
        </w:tc>
        <w:tc>
          <w:tcPr>
            <w:tcW w:w="0" w:type="dxa"/>
            <w:vAlign w:val="bottom"/>
          </w:tcPr>
          <w:p>
            <w:pPr>
              <w:spacing w:after="0"/>
              <w:rPr>
                <w:sz w:val="1"/>
                <w:szCs w:val="1"/>
                <w:color w:val="auto"/>
              </w:rPr>
            </w:pPr>
          </w:p>
        </w:tc>
      </w:tr>
      <w:tr>
        <w:trPr>
          <w:trHeight w:val="512"/>
        </w:trPr>
        <w:tc>
          <w:tcPr>
            <w:tcW w:w="120" w:type="dxa"/>
            <w:vAlign w:val="bottom"/>
            <w:tcBorders>
              <w:lef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1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22"/>
        </w:trPr>
        <w:tc>
          <w:tcPr>
            <w:tcW w:w="120" w:type="dxa"/>
            <w:vAlign w:val="bottom"/>
            <w:tcBorders>
              <w:lef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8240" w:type="dxa"/>
            <w:vAlign w:val="bottom"/>
            <w:tcBorders>
              <w:right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color w:val="auto"/>
              </w:rPr>
              <w:t>Sale through a broker on the open market</w:t>
            </w:r>
          </w:p>
        </w:tc>
        <w:tc>
          <w:tcPr>
            <w:tcW w:w="0" w:type="dxa"/>
            <w:vAlign w:val="bottom"/>
          </w:tcPr>
          <w:p>
            <w:pPr>
              <w:spacing w:after="0"/>
              <w:rPr>
                <w:sz w:val="1"/>
                <w:szCs w:val="1"/>
                <w:color w:val="auto"/>
              </w:rPr>
            </w:pPr>
          </w:p>
        </w:tc>
      </w:tr>
      <w:tr>
        <w:trPr>
          <w:trHeight w:val="594"/>
        </w:trPr>
        <w:tc>
          <w:tcPr>
            <w:tcW w:w="120" w:type="dxa"/>
            <w:vAlign w:val="bottom"/>
            <w:tcBorders>
              <w:lef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8240" w:type="dxa"/>
            <w:vAlign w:val="bottom"/>
            <w:tcBorders>
              <w:right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color w:val="auto"/>
              </w:rPr>
              <w:t>Other (please specify): ________________________________________</w:t>
            </w:r>
          </w:p>
        </w:tc>
        <w:tc>
          <w:tcPr>
            <w:tcW w:w="0" w:type="dxa"/>
            <w:vAlign w:val="bottom"/>
          </w:tcPr>
          <w:p>
            <w:pPr>
              <w:spacing w:after="0"/>
              <w:rPr>
                <w:sz w:val="1"/>
                <w:szCs w:val="1"/>
                <w:color w:val="auto"/>
              </w:rPr>
            </w:pPr>
          </w:p>
        </w:tc>
      </w:tr>
      <w:tr>
        <w:trPr>
          <w:trHeight w:val="26"/>
        </w:trPr>
        <w:tc>
          <w:tcPr>
            <w:tcW w:w="120" w:type="dxa"/>
            <w:vAlign w:val="bottom"/>
            <w:tcBorders>
              <w:left w:val="single" w:sz="8" w:color="auto"/>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INTENT TO GIFT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4800" w:type="dxa"/>
            <w:vAlign w:val="bottom"/>
            <w:tcBorders>
              <w:lef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Number of shares: __________________________</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 w:type="dxa"/>
            <w:vAlign w:val="bottom"/>
            <w:tcBorders>
              <w:left w:val="single" w:sz="8" w:color="auto"/>
            </w:tcBorders>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Intended trade date: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 w:type="dxa"/>
            <w:vAlign w:val="bottom"/>
            <w:tcBorders>
              <w:left w:val="single" w:sz="8" w:color="auto"/>
            </w:tcBorders>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Intended recipient: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0" w:type="dxa"/>
            <w:vAlign w:val="bottom"/>
            <w:tcBorders>
              <w:left w:val="single" w:sz="8" w:color="auto"/>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10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60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16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RULE 144 (Not applicable if transaction requested involves a purchase)</w:t>
            </w:r>
          </w:p>
        </w:tc>
        <w:tc>
          <w:tcPr>
            <w:tcW w:w="0" w:type="dxa"/>
            <w:vAlign w:val="bottom"/>
          </w:tcPr>
          <w:p>
            <w:pPr>
              <w:spacing w:after="0"/>
              <w:rPr>
                <w:sz w:val="1"/>
                <w:szCs w:val="1"/>
                <w:color w:val="auto"/>
              </w:rPr>
            </w:pPr>
          </w:p>
        </w:tc>
      </w:tr>
      <w:tr>
        <w:trPr>
          <w:trHeight w:val="48"/>
        </w:trPr>
        <w:tc>
          <w:tcPr>
            <w:tcW w:w="120" w:type="dxa"/>
            <w:vAlign w:val="bottom"/>
            <w:tcBorders>
              <w:left w:val="single" w:sz="8" w:color="auto"/>
              <w:bottom w:val="single" w:sz="8" w:color="auto"/>
            </w:tcBorders>
          </w:tcPr>
          <w:p>
            <w:pPr>
              <w:spacing w:after="0"/>
              <w:rPr>
                <w:sz w:val="4"/>
                <w:szCs w:val="4"/>
                <w:color w:val="auto"/>
              </w:rPr>
            </w:pPr>
          </w:p>
        </w:tc>
        <w:tc>
          <w:tcPr>
            <w:tcW w:w="148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178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10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20" w:type="dxa"/>
            <w:vAlign w:val="bottom"/>
            <w:tcBorders>
              <w:left w:val="single" w:sz="8" w:color="auto"/>
            </w:tcBorders>
          </w:tcPr>
          <w:p>
            <w:pPr>
              <w:spacing w:after="0"/>
              <w:rPr>
                <w:sz w:val="21"/>
                <w:szCs w:val="21"/>
                <w:color w:val="auto"/>
              </w:rPr>
            </w:pPr>
          </w:p>
        </w:tc>
        <w:tc>
          <w:tcPr>
            <w:tcW w:w="2900" w:type="dxa"/>
            <w:vAlign w:val="bottom"/>
            <w:gridSpan w:val="6"/>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not subject to Section 16.</w:t>
            </w:r>
          </w:p>
        </w:tc>
        <w:tc>
          <w:tcPr>
            <w:tcW w:w="17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340" w:type="dxa"/>
            <w:vAlign w:val="bottom"/>
            <w:tcBorders>
              <w:right w:val="single" w:sz="8" w:color="auto"/>
            </w:tcBorders>
            <w:gridSpan w:val="3"/>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not an “affiliate” of the Company and the transaction requested above</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does not involve the sale of “restricted securities” (as those terms are defined in</w:t>
            </w: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4680" w:type="dxa"/>
            <w:vAlign w:val="bottom"/>
            <w:gridSpan w:val="7"/>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 the best of my knowledge, I have not (and am not</w:t>
            </w:r>
          </w:p>
        </w:tc>
        <w:tc>
          <w:tcPr>
            <w:tcW w:w="120" w:type="dxa"/>
            <w:vAlign w:val="bottom"/>
            <w:tcBorders>
              <w:right w:val="single" w:sz="8" w:color="auto"/>
            </w:tcBorders>
          </w:tcPr>
          <w:p>
            <w:pPr>
              <w:spacing w:after="0"/>
              <w:rPr>
                <w:sz w:val="20"/>
                <w:szCs w:val="20"/>
                <w:color w:val="auto"/>
              </w:rPr>
            </w:pPr>
          </w:p>
        </w:tc>
        <w:tc>
          <w:tcPr>
            <w:tcW w:w="63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Rule 144 under the Securities Act of 1933, as amended).</w:t>
            </w:r>
          </w:p>
        </w:tc>
        <w:tc>
          <w:tcPr>
            <w:tcW w:w="0" w:type="dxa"/>
            <w:vAlign w:val="bottom"/>
          </w:tcPr>
          <w:p>
            <w:pPr>
              <w:spacing w:after="0"/>
              <w:rPr>
                <w:sz w:val="1"/>
                <w:szCs w:val="1"/>
                <w:color w:val="auto"/>
              </w:rPr>
            </w:pPr>
          </w:p>
        </w:tc>
      </w:tr>
      <w:tr>
        <w:trPr>
          <w:trHeight w:val="90"/>
        </w:trPr>
        <w:tc>
          <w:tcPr>
            <w:tcW w:w="120" w:type="dxa"/>
            <w:vAlign w:val="bottom"/>
            <w:tcBorders>
              <w:left w:val="single" w:sz="8" w:color="auto"/>
            </w:tcBorders>
          </w:tcPr>
          <w:p>
            <w:pPr>
              <w:spacing w:after="0"/>
              <w:rPr>
                <w:sz w:val="7"/>
                <w:szCs w:val="7"/>
                <w:color w:val="auto"/>
              </w:rPr>
            </w:pPr>
          </w:p>
        </w:tc>
        <w:tc>
          <w:tcPr>
            <w:tcW w:w="4680" w:type="dxa"/>
            <w:vAlign w:val="bottom"/>
            <w:gridSpan w:val="7"/>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10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6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deemed to have) engaged in an opposite way transaction within</w:t>
            </w:r>
          </w:p>
        </w:tc>
        <w:tc>
          <w:tcPr>
            <w:tcW w:w="12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gridSpan w:val="3"/>
            <w:vMerge w:val="restart"/>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 the best of my knowledge, the transaction requested above will meet all of</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6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previous 6 months that was not exempt from Section 16(b)</w:t>
            </w:r>
          </w:p>
        </w:tc>
        <w:tc>
          <w:tcPr>
            <w:tcW w:w="120" w:type="dxa"/>
            <w:vAlign w:val="bottom"/>
            <w:tcBorders>
              <w:right w:val="single" w:sz="8" w:color="auto"/>
            </w:tcBorders>
          </w:tcPr>
          <w:p>
            <w:pPr>
              <w:spacing w:after="0"/>
              <w:rPr>
                <w:sz w:val="18"/>
                <w:szCs w:val="18"/>
                <w:color w:val="auto"/>
              </w:rPr>
            </w:pPr>
          </w:p>
        </w:tc>
        <w:tc>
          <w:tcPr>
            <w:tcW w:w="6340" w:type="dxa"/>
            <w:vAlign w:val="bottom"/>
            <w:tcBorders>
              <w:right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the Exchange Act.</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3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applicable conditions of Rule 144.</w:t>
            </w:r>
          </w:p>
        </w:tc>
        <w:tc>
          <w:tcPr>
            <w:tcW w:w="0" w:type="dxa"/>
            <w:vAlign w:val="bottom"/>
          </w:tcPr>
          <w:p>
            <w:pPr>
              <w:spacing w:after="0"/>
              <w:rPr>
                <w:sz w:val="1"/>
                <w:szCs w:val="1"/>
                <w:color w:val="auto"/>
              </w:rPr>
            </w:pPr>
          </w:p>
        </w:tc>
      </w:tr>
      <w:tr>
        <w:trPr>
          <w:trHeight w:val="486"/>
        </w:trPr>
        <w:tc>
          <w:tcPr>
            <w:tcW w:w="120" w:type="dxa"/>
            <w:vAlign w:val="bottom"/>
            <w:tcBorders>
              <w:left w:val="single" w:sz="8" w:color="auto"/>
            </w:tcBorders>
          </w:tcPr>
          <w:p>
            <w:pPr>
              <w:spacing w:after="0"/>
              <w:rPr>
                <w:sz w:val="24"/>
                <w:szCs w:val="24"/>
                <w:color w:val="auto"/>
              </w:rPr>
            </w:pPr>
          </w:p>
        </w:tc>
        <w:tc>
          <w:tcPr>
            <w:tcW w:w="178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None of the above.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3"/>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transaction requested will be made pursuant to an effective registration</w:t>
            </w: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3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statement covering such transaction.</w:t>
            </w:r>
          </w:p>
        </w:tc>
        <w:tc>
          <w:tcPr>
            <w:tcW w:w="0" w:type="dxa"/>
            <w:vAlign w:val="bottom"/>
          </w:tcPr>
          <w:p>
            <w:pPr>
              <w:spacing w:after="0"/>
              <w:rPr>
                <w:sz w:val="1"/>
                <w:szCs w:val="1"/>
                <w:color w:val="auto"/>
              </w:rPr>
            </w:pPr>
          </w:p>
        </w:tc>
      </w:tr>
      <w:tr>
        <w:trPr>
          <w:trHeight w:val="442"/>
        </w:trPr>
        <w:tc>
          <w:tcPr>
            <w:tcW w:w="120" w:type="dxa"/>
            <w:vAlign w:val="bottom"/>
            <w:tcBorders>
              <w:lef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3"/>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None of the above.</w:t>
            </w:r>
          </w:p>
        </w:tc>
        <w:tc>
          <w:tcPr>
            <w:tcW w:w="0" w:type="dxa"/>
            <w:vAlign w:val="bottom"/>
          </w:tcPr>
          <w:p>
            <w:pPr>
              <w:spacing w:after="0"/>
              <w:rPr>
                <w:sz w:val="1"/>
                <w:szCs w:val="1"/>
                <w:color w:val="auto"/>
              </w:rPr>
            </w:pPr>
          </w:p>
        </w:tc>
      </w:tr>
      <w:tr>
        <w:trPr>
          <w:trHeight w:val="255"/>
        </w:trPr>
        <w:tc>
          <w:tcPr>
            <w:tcW w:w="120" w:type="dxa"/>
            <w:vAlign w:val="bottom"/>
            <w:tcBorders>
              <w:left w:val="single" w:sz="8" w:color="auto"/>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100" w:type="dxa"/>
            <w:vAlign w:val="bottom"/>
            <w:tcBorders>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6"/>
        </w:trPr>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4" w:name="page165"/>
    <w:bookmarkEnd w:id="164"/>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6287770" cy="21558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1">
                      <a:extLst>
                        <a:ext uri="{28A0092B-C50C-407E-A947-70E740481C1C}"/>
                      </a:extLst>
                    </a:blip>
                    <a:srcRect/>
                    <a:stretch>
                      <a:fillRect/>
                    </a:stretch>
                  </pic:blipFill>
                  <pic:spPr bwMode="auto">
                    <a:xfrm>
                      <a:off x="0" y="0"/>
                      <a:ext cx="6287770" cy="2155825"/>
                    </a:xfrm>
                    <a:prstGeom prst="rect">
                      <a:avLst/>
                    </a:prstGeom>
                    <a:noFill/>
                  </pic:spPr>
                </pic:pic>
              </a:graphicData>
            </a:graphic>
          </wp:anchor>
        </w:drawing>
      </w:r>
    </w:p>
    <w:p>
      <w:pPr>
        <w:spacing w:after="0" w:line="209" w:lineRule="exact"/>
        <w:rPr>
          <w:sz w:val="20"/>
          <w:szCs w:val="20"/>
          <w:color w:val="auto"/>
        </w:rPr>
      </w:pPr>
    </w:p>
    <w:p>
      <w:pPr>
        <w:ind w:left="120" w:right="479"/>
        <w:spacing w:after="0" w:line="258" w:lineRule="auto"/>
        <w:rPr>
          <w:sz w:val="20"/>
          <w:szCs w:val="20"/>
          <w:color w:val="auto"/>
        </w:rPr>
      </w:pPr>
      <w:r>
        <w:rPr>
          <w:rFonts w:ascii="Times New Roman" w:cs="Times New Roman" w:eastAsia="Times New Roman" w:hAnsi="Times New Roman"/>
          <w:sz w:val="18"/>
          <w:szCs w:val="18"/>
          <w:color w:val="auto"/>
        </w:rPr>
        <w:t>I hereby certify that I am not (1) in possession of any material nonpublic information concerning the Company, as defined in the Company’s Insider Trading Policy and (2) purchasing any securities of the Company on margin in contravention of the Company’s Trading Procedures. I understand that, if I trade while possessing such information or in violation of such trading restrictions, I may be subject to severe civil and/or criminal penalties and may be subject to discipline by the Company including termination of my employment.</w:t>
      </w:r>
    </w:p>
    <w:p>
      <w:pPr>
        <w:spacing w:after="0" w:line="200" w:lineRule="exact"/>
        <w:rPr>
          <w:sz w:val="20"/>
          <w:szCs w:val="20"/>
          <w:color w:val="auto"/>
        </w:rPr>
      </w:pPr>
    </w:p>
    <w:p>
      <w:pPr>
        <w:spacing w:after="0" w:line="213" w:lineRule="exact"/>
        <w:rPr>
          <w:sz w:val="20"/>
          <w:szCs w:val="20"/>
          <w:color w:val="auto"/>
        </w:rPr>
      </w:pPr>
    </w:p>
    <w:p>
      <w:pPr>
        <w:ind w:left="400"/>
        <w:spacing w:after="0"/>
        <w:tabs>
          <w:tab w:leader="none" w:pos="5460" w:val="left"/>
        </w:tabs>
        <w:rPr>
          <w:sz w:val="20"/>
          <w:szCs w:val="20"/>
          <w:color w:val="auto"/>
        </w:rPr>
      </w:pPr>
      <w:r>
        <w:rPr>
          <w:rFonts w:ascii="Times New Roman" w:cs="Times New Roman" w:eastAsia="Times New Roman" w:hAnsi="Times New Roman"/>
          <w:sz w:val="18"/>
          <w:szCs w:val="18"/>
          <w:color w:val="auto"/>
        </w:rPr>
        <w:t>Insider’s Signature</w:t>
      </w:r>
      <w:r>
        <w:rPr>
          <w:sz w:val="20"/>
          <w:szCs w:val="20"/>
          <w:color w:val="auto"/>
        </w:rPr>
        <w:tab/>
      </w:r>
      <w:r>
        <w:rPr>
          <w:rFonts w:ascii="Times New Roman" w:cs="Times New Roman" w:eastAsia="Times New Roman" w:hAnsi="Times New Roman"/>
          <w:sz w:val="18"/>
          <w:szCs w:val="18"/>
          <w:color w:val="auto"/>
        </w:rPr>
        <w:t>Date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APPROVAL</w:t>
      </w:r>
    </w:p>
    <w:p>
      <w:pPr>
        <w:spacing w:after="0" w:line="200" w:lineRule="exact"/>
        <w:rPr>
          <w:sz w:val="20"/>
          <w:szCs w:val="20"/>
          <w:color w:val="auto"/>
        </w:rPr>
      </w:pPr>
    </w:p>
    <w:p>
      <w:pPr>
        <w:spacing w:after="0" w:line="259" w:lineRule="exact"/>
        <w:rPr>
          <w:sz w:val="20"/>
          <w:szCs w:val="20"/>
          <w:color w:val="auto"/>
        </w:rPr>
      </w:pPr>
    </w:p>
    <w:p>
      <w:pPr>
        <w:ind w:left="400"/>
        <w:spacing w:after="0"/>
        <w:tabs>
          <w:tab w:leader="none" w:pos="5240" w:val="left"/>
        </w:tabs>
        <w:rPr>
          <w:sz w:val="20"/>
          <w:szCs w:val="20"/>
          <w:color w:val="auto"/>
        </w:rPr>
      </w:pPr>
      <w:r>
        <w:rPr>
          <w:rFonts w:ascii="Times New Roman" w:cs="Times New Roman" w:eastAsia="Times New Roman" w:hAnsi="Times New Roman"/>
          <w:sz w:val="18"/>
          <w:szCs w:val="18"/>
          <w:color w:val="auto"/>
        </w:rPr>
        <w:t>Signature of Compliance Officer (or designee)</w:t>
      </w:r>
      <w:r>
        <w:rPr>
          <w:sz w:val="20"/>
          <w:szCs w:val="20"/>
          <w:color w:val="auto"/>
        </w:rPr>
        <w:tab/>
      </w:r>
      <w:r>
        <w:rPr>
          <w:rFonts w:ascii="Times New Roman" w:cs="Times New Roman" w:eastAsia="Times New Roman" w:hAnsi="Times New Roman"/>
          <w:sz w:val="18"/>
          <w:szCs w:val="18"/>
          <w:color w:val="auto"/>
        </w:rPr>
        <w:t>Date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Multiple lots must be listed on separate forms or broken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65" w:name="page166"/>
    <w:bookmarkEnd w:id="165"/>
    <w:p>
      <w:pPr>
        <w:jc w:val="center"/>
        <w:ind w:right="-179"/>
        <w:spacing w:after="0"/>
        <w:rPr>
          <w:sz w:val="20"/>
          <w:szCs w:val="20"/>
          <w:color w:val="auto"/>
        </w:rPr>
      </w:pPr>
      <w:r>
        <w:rPr>
          <w:rFonts w:ascii="Times New Roman" w:cs="Times New Roman" w:eastAsia="Times New Roman" w:hAnsi="Times New Roman"/>
          <w:sz w:val="22"/>
          <w:szCs w:val="22"/>
          <w:u w:val="single" w:color="auto"/>
          <w:color w:val="auto"/>
        </w:rPr>
        <w:t>EXHIBIT B</w:t>
      </w: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ACKNOWLEDGEMENT</w:t>
      </w:r>
    </w:p>
    <w:p>
      <w:pPr>
        <w:spacing w:after="0" w:line="210"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color w:val="auto"/>
        </w:rPr>
        <w:t>I hereby acknowledge that I have read, that I understand, and that I agree to comply with the Insider Trading Policy of Fate Therapeutics, Inc. (the “Company”). I further acknowledge and agree that I am responsible for ensuring compliance with the Insider Trading Policy and the Trading Procedures by all of my “Affiliated Persons.”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or any brokerage firm managing the Company’s equity incentive plan(s) against the transfer of any Company securities that the Company considers to be in contravention of the Insider Trading Policy.</w:t>
      </w:r>
    </w:p>
    <w:p>
      <w:pPr>
        <w:spacing w:after="0" w:line="182"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2"/>
          <w:szCs w:val="22"/>
          <w:color w:val="auto"/>
        </w:rPr>
        <w:t>This acknowledgement constitutes consent for the Company to impose sanctions for violation of the Insider Trading Policy, including the Trading Procedures, and to issue any stop-transfer orders to the Company’s transfer agent that the Company, in its sole discretion, deems appropriate to ensure compliance.</w:t>
      </w:r>
    </w:p>
    <w:p>
      <w:pPr>
        <w:sectPr>
          <w:pgSz w:w="11900" w:h="16838" w:orient="portrait"/>
          <w:cols w:equalWidth="0" w:num="1">
            <w:col w:w="11080"/>
          </w:cols>
          <w:pgMar w:left="320" w:top="760" w:right="49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_______________________</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1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color w:val="auto"/>
        </w:rPr>
        <w:t>__________________________</w:t>
      </w:r>
    </w:p>
    <w:p>
      <w:pPr>
        <w:spacing w:after="0" w:line="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__________________________</w:t>
      </w:r>
    </w:p>
    <w:p>
      <w:pPr>
        <w:spacing w:after="0" w:line="200" w:lineRule="exact"/>
        <w:rPr>
          <w:sz w:val="20"/>
          <w:szCs w:val="20"/>
          <w:color w:val="auto"/>
        </w:rPr>
      </w:pPr>
    </w:p>
    <w:p>
      <w:pPr>
        <w:sectPr>
          <w:pgSz w:w="11900" w:h="16838" w:orient="portrait"/>
          <w:cols w:equalWidth="0" w:num="3">
            <w:col w:w="3600" w:space="720"/>
            <w:col w:w="900" w:space="20"/>
            <w:col w:w="5840"/>
          </w:cols>
          <w:pgMar w:left="320" w:top="760" w:right="49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Send signed Acknowledgement to:</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[Title]</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Fate Therapeutics, Inc.</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12278 Scripps Summit Drive</w:t>
      </w:r>
    </w:p>
    <w:p>
      <w:pPr>
        <w:spacing w:after="0"/>
        <w:rPr>
          <w:sz w:val="20"/>
          <w:szCs w:val="20"/>
          <w:color w:val="auto"/>
        </w:rPr>
      </w:pPr>
      <w:r>
        <w:rPr>
          <w:rFonts w:ascii="Times New Roman" w:cs="Times New Roman" w:eastAsia="Times New Roman" w:hAnsi="Times New Roman"/>
          <w:sz w:val="22"/>
          <w:szCs w:val="22"/>
          <w:b w:val="1"/>
          <w:bCs w:val="1"/>
          <w:color w:val="auto"/>
        </w:rPr>
        <w:t>San Diego, CA 92131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60" w:right="499" w:bottom="1440" w:gutter="0" w:footer="0" w:header="0"/>
          <w:type w:val="continuous"/>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333-213590, 333-215460, 333-219987, 333-275402 and 333-278792) of Fate Therapeutics, Inc.,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333-191576, 333-194625, 333-202690, 333-209392, 333-211484, 333-215880, 333-219989, 333-223521, 333-230152, 333-236835, 333-253459, 333-263102, 333-265502 and 333-280097) pertaining to the 2007 Equity Incentive Plan, the 2013 Stock Option and Incentive Plan, the 2013 Employee Stock Purchase Plan, the Inducement Equity Plan and the 2022 Stock Option and Incentive Plan of Fate Therapeutics,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report dated March 5, 2025, with respect to the consolidated financial statements of Fate Therapeutics, Inc. included in this Annual Report (Form 10-</w:t>
      </w:r>
    </w:p>
    <w:p>
      <w:pPr>
        <w:spacing w:after="0" w:line="27" w:lineRule="exact"/>
        <w:rPr>
          <w:sz w:val="20"/>
          <w:szCs w:val="20"/>
          <w:color w:val="auto"/>
        </w:rPr>
      </w:pPr>
    </w:p>
    <w:p>
      <w:pPr>
        <w:ind w:right="8180" w:firstLine="8"/>
        <w:spacing w:after="0" w:line="490" w:lineRule="auto"/>
        <w:tabs>
          <w:tab w:leader="none" w:pos="2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/s/ Ernst &amp; Young LLP</w:t>
      </w: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5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RULE 13a-14(a) AND 15d-14(a) OF THE SECURITIES EXCHANGE ACT,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Bahram Valamehr, certify that:</w:t>
      </w:r>
    </w:p>
    <w:p>
      <w:pPr>
        <w:spacing w:after="0" w:line="117" w:lineRule="exact"/>
        <w:rPr>
          <w:sz w:val="20"/>
          <w:szCs w:val="20"/>
          <w:color w:val="auto"/>
        </w:rPr>
      </w:pPr>
    </w:p>
    <w:p>
      <w:pPr>
        <w:ind w:left="700" w:hanging="183"/>
        <w:spacing w:after="0"/>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Fate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0" w:firstLine="506"/>
        <w:spacing w:after="0" w:line="266" w:lineRule="auto"/>
        <w:tabs>
          <w:tab w:leader="none" w:pos="119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0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40" w:firstLine="506"/>
        <w:spacing w:after="0" w:line="282" w:lineRule="auto"/>
        <w:tabs>
          <w:tab w:leader="none" w:pos="119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80" w:firstLine="506"/>
        <w:spacing w:after="0" w:line="266" w:lineRule="auto"/>
        <w:tabs>
          <w:tab w:leader="none" w:pos="120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60" w:firstLine="506"/>
        <w:spacing w:after="0" w:line="282" w:lineRule="auto"/>
        <w:tabs>
          <w:tab w:leader="none" w:pos="119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40" w:firstLine="506"/>
        <w:spacing w:after="0" w:line="282" w:lineRule="auto"/>
        <w:tabs>
          <w:tab w:leader="none" w:pos="120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5,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BAHRAM VALAMEHR</w:t>
            </w:r>
          </w:p>
        </w:tc>
      </w:tr>
      <w:tr>
        <w:trPr>
          <w:trHeight w:val="209"/>
        </w:trPr>
        <w:tc>
          <w:tcPr>
            <w:tcW w:w="676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Bahram Valamehr</w:t>
            </w:r>
          </w:p>
        </w:tc>
      </w:tr>
      <w:tr>
        <w:trPr>
          <w:trHeight w:val="230"/>
        </w:trPr>
        <w:tc>
          <w:tcPr>
            <w:tcW w:w="6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67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and Financial Officer)</w:t>
            </w:r>
          </w:p>
        </w:tc>
      </w:tr>
      <w:tr>
        <w:trPr>
          <w:trHeight w:val="1208"/>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 Bahram Valamehr, Principal Executive Officer and Principal Financial Officer of Fate Therapeutics, Inc. (the “Registrant”), do hereby certify in accordance with 18 U.S.C. 1350, as adopted pursuant to Section 906 of the Sarbanes-Oxley Act of 2002, that, based upon my knowledge:</w:t>
      </w:r>
    </w:p>
    <w:p>
      <w:pPr>
        <w:spacing w:after="0" w:line="54" w:lineRule="exact"/>
        <w:rPr>
          <w:sz w:val="20"/>
          <w:szCs w:val="20"/>
          <w:color w:val="auto"/>
        </w:rPr>
      </w:pPr>
    </w:p>
    <w:p>
      <w:pPr>
        <w:ind w:left="1020" w:right="260" w:hanging="503"/>
        <w:spacing w:after="0" w:line="282"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Annual Report on Form 10-K of the Registrant, to which this certification is attached as an exhibit (the “Report”), fully complies with the requirements of Section 13(a) or 15(d) of the Securities Exchange Act of 1934 (15 U.S.C. 78m); and</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5,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ahram valamehr</w:t>
            </w:r>
          </w:p>
        </w:tc>
      </w:tr>
      <w:tr>
        <w:trPr>
          <w:trHeight w:val="203"/>
        </w:trPr>
        <w:tc>
          <w:tcPr>
            <w:tcW w:w="6760" w:type="dxa"/>
            <w:vAlign w:val="bottom"/>
          </w:tcPr>
          <w:p>
            <w:pPr>
              <w:spacing w:after="0"/>
              <w:rPr>
                <w:sz w:val="17"/>
                <w:szCs w:val="17"/>
                <w:color w:val="auto"/>
              </w:rPr>
            </w:pPr>
          </w:p>
        </w:tc>
        <w:tc>
          <w:tcPr>
            <w:tcW w:w="44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Bahram Valamehr</w:t>
            </w:r>
          </w:p>
        </w:tc>
      </w:tr>
      <w:tr>
        <w:trPr>
          <w:trHeight w:val="230"/>
        </w:trPr>
        <w:tc>
          <w:tcPr>
            <w:tcW w:w="6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67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and Financial Officer)</w:t>
            </w:r>
          </w:p>
        </w:tc>
      </w:tr>
      <w:tr>
        <w:trPr>
          <w:trHeight w:val="1208"/>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9" w:name="page170"/>
    <w:bookmarkEnd w:id="1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1)"/>
      <w:numFmt w:val="decimal"/>
      <w:start w:val="2"/>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1."/>
      <w:numFmt w:val="decimal"/>
      <w:start w:val="1"/>
    </w:lvl>
  </w:abstractNum>
  <w:abstractNum w:abstractNumId="55">
    <w:nsid w:val="11447B73"/>
    <w:multiLevelType w:val="hybridMultilevel"/>
    <w:lvl w:ilvl="0">
      <w:lvlJc w:val="left"/>
      <w:lvlText w:val="%1."/>
      <w:numFmt w:val="decimal"/>
      <w:start w:val="3"/>
    </w:lvl>
  </w:abstractNum>
  <w:abstractNum w:abstractNumId="56">
    <w:nsid w:val="42963E5A"/>
    <w:multiLevelType w:val="hybridMultilevel"/>
    <w:lvl w:ilvl="0">
      <w:lvlJc w:val="left"/>
      <w:lvlText w:val="%1."/>
      <w:numFmt w:val="decimal"/>
      <w:start w:val="7"/>
    </w:lvl>
  </w:abstractNum>
  <w:abstractNum w:abstractNumId="57">
    <w:nsid w:val="A0382C5"/>
    <w:multiLevelType w:val="hybridMultilevel"/>
    <w:lvl w:ilvl="0">
      <w:lvlJc w:val="left"/>
      <w:lvlText w:val="%1."/>
      <w:numFmt w:val="decimal"/>
      <w:start w:val="9"/>
    </w:lvl>
  </w:abstractNum>
  <w:abstractNum w:abstractNumId="58">
    <w:nsid w:val="8F2B15E"/>
    <w:multiLevelType w:val="hybridMultilevel"/>
    <w:lvl w:ilvl="0">
      <w:lvlJc w:val="left"/>
      <w:lvlText w:val="%1."/>
      <w:numFmt w:val="decimal"/>
      <w:start w:val="13"/>
    </w:lvl>
  </w:abstractNum>
  <w:abstractNum w:abstractNumId="59">
    <w:nsid w:val="1A32234B"/>
    <w:multiLevelType w:val="hybridMultilevel"/>
    <w:lvl w:ilvl="0">
      <w:lvlJc w:val="left"/>
      <w:lvlText w:val="(%1)"/>
      <w:numFmt w:val="decimal"/>
      <w:start w:val="18"/>
    </w:lvl>
  </w:abstractNum>
  <w:abstractNum w:abstractNumId="60">
    <w:nsid w:val="3B0FD379"/>
    <w:multiLevelType w:val="hybridMultilevel"/>
    <w:lvl w:ilvl="0">
      <w:lvlJc w:val="left"/>
      <w:lvlText w:val="(%1)"/>
      <w:numFmt w:val="decimal"/>
      <w:start w:val="2"/>
    </w:lvl>
  </w:abstractNum>
  <w:abstractNum w:abstractNumId="61">
    <w:nsid w:val="68EB2F63"/>
    <w:multiLevelType w:val="hybridMultilevel"/>
    <w:lvl w:ilvl="0">
      <w:lvlJc w:val="left"/>
      <w:lvlText w:val="(%1)"/>
      <w:numFmt w:val="decimal"/>
      <w:start w:val="3"/>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1"/>
      <w:numFmt w:val="bullet"/>
      <w:start w:val="1"/>
    </w:lvl>
  </w:abstractNum>
  <w:abstractNum w:abstractNumId="64">
    <w:nsid w:val="6A5EE64"/>
    <w:multiLevelType w:val="hybridMultilevel"/>
    <w:lvl w:ilvl="0">
      <w:lvlJc w:val="left"/>
      <w:lvlText w:val="%1."/>
      <w:numFmt w:val="decimal"/>
      <w:start w:val="1"/>
    </w:lvl>
    <w:lvl w:ilvl="1">
      <w:lvlJc w:val="left"/>
      <w:lvlText w:val="(%2)"/>
      <w:numFmt w:val="lowerLetter"/>
      <w:start w:val="1"/>
    </w:lvl>
  </w:abstractNum>
  <w:abstractNum w:abstractNumId="65">
    <w:nsid w:val="14330624"/>
    <w:multiLevelType w:val="hybridMultilevel"/>
    <w:lvl w:ilvl="0">
      <w:lvlJc w:val="left"/>
      <w:lvlText w:val="(%1)"/>
      <w:numFmt w:val="lowerLetter"/>
      <w:start w:val="2"/>
    </w:lvl>
  </w:abstractNum>
  <w:abstractNum w:abstractNumId="66">
    <w:nsid w:val="7FFFCA11"/>
    <w:multiLevelType w:val="hybridMultilevel"/>
    <w:lvl w:ilvl="0">
      <w:lvlJc w:val="left"/>
      <w:lvlText w:val="%1."/>
      <w:numFmt w:val="decimal"/>
      <w:start w:val="4"/>
    </w:lvl>
    <w:lvl w:ilvl="1">
      <w:lvlJc w:val="left"/>
      <w:lvlText w:val="%2."/>
      <w:numFmt w:val="lowerLetter"/>
      <w:start w:val="1"/>
    </w:lvl>
  </w:abstractNum>
  <w:abstractNum w:abstractNumId="67">
    <w:nsid w:val="1A27709E"/>
    <w:multiLevelType w:val="hybridMultilevel"/>
    <w:lvl w:ilvl="0">
      <w:lvlJc w:val="left"/>
      <w:lvlText w:val="%1."/>
      <w:numFmt w:val="lowerLetter"/>
      <w:start w:val="3"/>
    </w:lvl>
  </w:abstractNum>
  <w:abstractNum w:abstractNumId="68">
    <w:nsid w:val="71EA1109"/>
    <w:multiLevelType w:val="hybridMultilevel"/>
    <w:lvl w:ilvl="0">
      <w:lvlJc w:val="left"/>
      <w:lvlText w:val="%1."/>
      <w:numFmt w:val="decimal"/>
      <w:start w:val="6"/>
    </w:lvl>
    <w:lvl w:ilvl="1">
      <w:lvlJc w:val="left"/>
      <w:lvlText w:val="%2."/>
      <w:numFmt w:val="lowerLetter"/>
      <w:start w:val="1"/>
    </w:lvl>
  </w:abstractNum>
  <w:abstractNum w:abstractNumId="69">
    <w:nsid w:val="100F59DC"/>
    <w:multiLevelType w:val="hybridMultilevel"/>
    <w:lvl w:ilvl="0">
      <w:lvlJc w:val="left"/>
      <w:lvlText w:val="%1."/>
      <w:numFmt w:val="decimal"/>
      <w:start w:val="7"/>
    </w:lvl>
  </w:abstractNum>
  <w:abstractNum w:abstractNumId="70">
    <w:nsid w:val="7FB7E0AA"/>
    <w:multiLevelType w:val="hybridMultilevel"/>
    <w:lvl w:ilvl="0">
      <w:lvlJc w:val="left"/>
      <w:lvlText w:val="%1."/>
      <w:numFmt w:val="lowerLetter"/>
      <w:start w:val="1"/>
    </w:lvl>
  </w:abstractNum>
  <w:abstractNum w:abstractNumId="71">
    <w:nsid w:val="6EB5BD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2">
    <w:nsid w:val="6F6DD9AC"/>
    <w:multiLevelType w:val="hybridMultilevel"/>
    <w:lvl w:ilvl="0">
      <w:lvlJc w:val="left"/>
      <w:lvlText w:val="%1."/>
      <w:numFmt w:val="lowerLetter"/>
      <w:start w:val="1"/>
    </w:lvl>
  </w:abstractNum>
  <w:abstractNum w:abstractNumId="73">
    <w:nsid w:val="94211F2"/>
    <w:multiLevelType w:val="hybridMultilevel"/>
    <w:lvl w:ilvl="0">
      <w:lvlJc w:val="left"/>
      <w:lvlText w:val="%1."/>
      <w:numFmt w:val="lowerLetter"/>
      <w:start w:val="5"/>
    </w:lvl>
  </w:abstractNum>
  <w:abstractNum w:abstractNumId="74">
    <w:nsid w:val="885E1B"/>
    <w:multiLevelType w:val="hybridMultilevel"/>
    <w:lvl w:ilvl="0">
      <w:lvlJc w:val="left"/>
      <w:lvlText w:val="%1"/>
      <w:numFmt w:val="decimal"/>
      <w:start w:val="1"/>
    </w:lvl>
    <w:lvl w:ilvl="1">
      <w:lvlJc w:val="left"/>
      <w:lvlText w:val="%2."/>
      <w:numFmt w:val="lowerLetter"/>
      <w:start w:val="1"/>
    </w:lvl>
  </w:abstractNum>
  <w:abstractNum w:abstractNumId="75">
    <w:nsid w:val="76272110"/>
    <w:multiLevelType w:val="hybridMultilevel"/>
    <w:lvl w:ilvl="0">
      <w:lvlJc w:val="left"/>
      <w:lvlText w:val="%1."/>
      <w:numFmt w:val="decimal"/>
      <w:start w:val="12"/>
    </w:lvl>
    <w:lvl w:ilvl="1">
      <w:lvlJc w:val="left"/>
      <w:lvlText w:val="%2"/>
      <w:numFmt w:val="lowerLetter"/>
      <w:start w:val="1"/>
    </w:lvl>
  </w:abstractNum>
  <w:abstractNum w:abstractNumId="76">
    <w:nsid w:val="4C04A8AF"/>
    <w:multiLevelType w:val="hybridMultilevel"/>
    <w:lvl w:ilvl="0">
      <w:lvlJc w:val="left"/>
      <w:lvlText w:val="%1."/>
      <w:numFmt w:val="decimal"/>
      <w:start w:val="14"/>
    </w:lvl>
  </w:abstractNum>
  <w:abstractNum w:abstractNumId="77">
    <w:nsid w:val="1716703B"/>
    <w:multiLevelType w:val="hybridMultilevel"/>
    <w:lvl w:ilvl="0">
      <w:lvlJc w:val="left"/>
      <w:lvlText w:val="%1."/>
      <w:numFmt w:val="decimal"/>
      <w:start w:val="16"/>
    </w:lvl>
  </w:abstractNum>
  <w:abstractNum w:abstractNumId="78">
    <w:nsid w:val="14E17E33"/>
    <w:multiLevelType w:val="hybridMultilevel"/>
    <w:lvl w:ilvl="0">
      <w:lvlJc w:val="left"/>
      <w:lvlText w:val="%1."/>
      <w:numFmt w:val="decimal"/>
      <w:start w:val="18"/>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
      <w:numFmt w:val="bullet"/>
      <w:start w:val="1"/>
    </w:lvl>
    <w:lvl w:ilvl="1">
      <w:lvlJc w:val="left"/>
      <w:lvlText w:val="%2."/>
      <w:numFmt w:val="decimal"/>
      <w:start w:val="2"/>
    </w:lvl>
  </w:abstractNum>
  <w:abstractNum w:abstractNumId="83">
    <w:nsid w:val="46B7D447"/>
    <w:multiLevelType w:val="hybridMultilevel"/>
    <w:lvl w:ilvl="0">
      <w:lvlJc w:val="left"/>
      <w:lvlText w:val="•"/>
      <w:numFmt w:val="bullet"/>
      <w:start w:val="1"/>
    </w:lvl>
    <w:lvl w:ilvl="1">
      <w:lvlJc w:val="left"/>
      <w:lvlText w:val="%2."/>
      <w:numFmt w:val="decimal"/>
      <w:start w:val="3"/>
    </w:lvl>
  </w:abstractNum>
  <w:abstractNum w:abstractNumId="84">
    <w:nsid w:val="4A2AC315"/>
    <w:multiLevelType w:val="hybridMultilevel"/>
    <w:lvl w:ilvl="0">
      <w:lvlJc w:val="left"/>
      <w:lvlText w:val="%1."/>
      <w:numFmt w:val="decimal"/>
      <w:start w:val="1"/>
    </w:lvl>
  </w:abstractNum>
  <w:abstractNum w:abstractNumId="85">
    <w:nsid w:val="39EE015C"/>
    <w:multiLevelType w:val="hybridMultilevel"/>
    <w:lvl w:ilvl="0">
      <w:lvlJc w:val="left"/>
      <w:lvlText w:val="•"/>
      <w:numFmt w:val="bullet"/>
      <w:start w:val="1"/>
    </w:lvl>
  </w:abstractNum>
  <w:abstractNum w:abstractNumId="86">
    <w:nsid w:val="57FC4FBB"/>
    <w:multiLevelType w:val="hybridMultilevel"/>
    <w:lvl w:ilvl="0">
      <w:lvlJc w:val="left"/>
      <w:lvlText w:val="%1."/>
      <w:numFmt w:val="decimal"/>
      <w:start w:val="2"/>
    </w:lvl>
  </w:abstractNum>
  <w:abstractNum w:abstractNumId="87">
    <w:nsid w:val="CC1016F"/>
    <w:multiLevelType w:val="hybridMultilevel"/>
    <w:lvl w:ilvl="0">
      <w:lvlJc w:val="left"/>
      <w:lvlText w:val="%1."/>
      <w:numFmt w:val="decimal"/>
      <w:start w:val="3"/>
    </w:lvl>
  </w:abstractNum>
  <w:abstractNum w:abstractNumId="88">
    <w:nsid w:val="43F18422"/>
    <w:multiLevelType w:val="hybridMultilevel"/>
    <w:lvl w:ilvl="0">
      <w:lvlJc w:val="left"/>
      <w:lvlText w:val="%1."/>
      <w:numFmt w:val="decimal"/>
      <w:start w:val="4"/>
    </w:lvl>
  </w:abstractNum>
  <w:abstractNum w:abstractNumId="89">
    <w:nsid w:val="60EF0119"/>
    <w:multiLevelType w:val="hybridMultilevel"/>
    <w:lvl w:ilvl="0">
      <w:lvlJc w:val="left"/>
      <w:lvlText w:val="%1."/>
      <w:numFmt w:val="decimal"/>
      <w:start w:val="5"/>
    </w:lvl>
  </w:abstractNum>
  <w:abstractNum w:abstractNumId="90">
    <w:nsid w:val="26F324BA"/>
    <w:multiLevelType w:val="hybridMultilevel"/>
    <w:lvl w:ilvl="0">
      <w:lvlJc w:val="left"/>
      <w:lvlText w:val="%1."/>
      <w:numFmt w:val="decimal"/>
      <w:start w:val="6"/>
    </w:lvl>
  </w:abstractNum>
  <w:abstractNum w:abstractNumId="91">
    <w:nsid w:val="7F01579B"/>
    <w:multiLevelType w:val="hybridMultilevel"/>
    <w:lvl w:ilvl="0">
      <w:lvlJc w:val="left"/>
      <w:lvlText w:val="%1."/>
      <w:numFmt w:val="upperLetter"/>
      <w:start w:val="3"/>
    </w:lvl>
    <w:lvl w:ilvl="1">
      <w:lvlJc w:val="left"/>
      <w:lvlText w:val="%2."/>
      <w:numFmt w:val="decimal"/>
      <w:start w:val="1"/>
    </w:lvl>
  </w:abstractNum>
  <w:abstractNum w:abstractNumId="92">
    <w:nsid w:val="49DA307D"/>
    <w:multiLevelType w:val="hybridMultilevel"/>
    <w:lvl w:ilvl="0">
      <w:lvlJc w:val="left"/>
      <w:lvlText w:val="%1."/>
      <w:numFmt w:val="decimal"/>
      <w:start w:val="2"/>
    </w:lvl>
  </w:abstractNum>
  <w:abstractNum w:abstractNumId="93">
    <w:nsid w:val="7055A5F5"/>
    <w:multiLevelType w:val="hybridMultilevel"/>
    <w:lvl w:ilvl="0">
      <w:lvlJc w:val="left"/>
      <w:lvlText w:val="%1."/>
      <w:numFmt w:val="upperLetter"/>
      <w:start w:val="4"/>
    </w:lvl>
  </w:abstractNum>
  <w:abstractNum w:abstractNumId="94">
    <w:nsid w:val="5FB8370B"/>
    <w:multiLevelType w:val="hybridMultilevel"/>
    <w:lvl w:ilvl="0">
      <w:lvlJc w:val="left"/>
      <w:lvlText w:val="%1."/>
      <w:numFmt w:val="decimal"/>
      <w:start w:val="1"/>
    </w:lvl>
  </w:abstractNum>
  <w:abstractNum w:abstractNumId="95">
    <w:nsid w:val="50801EE1"/>
    <w:multiLevelType w:val="hybridMultilevel"/>
    <w:lvl w:ilvl="0">
      <w:lvlJc w:val="left"/>
      <w:lvlText w:val="%1)"/>
      <w:numFmt w:val="upperLetter"/>
      <w:start w:val="11"/>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81" Type="http://schemas.openxmlformats.org/officeDocument/2006/relationships/image" Target="media/image345.png"/><Relationship Id="rId382" Type="http://schemas.openxmlformats.org/officeDocument/2006/relationships/image" Target="media/image346.png"/><Relationship Id="rId402" Type="http://schemas.openxmlformats.org/officeDocument/2006/relationships/image" Target="media/image347.png"/><Relationship Id="rId403" Type="http://schemas.openxmlformats.org/officeDocument/2006/relationships/image" Target="media/image348.png"/><Relationship Id="rId408" Type="http://schemas.openxmlformats.org/officeDocument/2006/relationships/image" Target="media/image349.png"/><Relationship Id="rId409" Type="http://schemas.openxmlformats.org/officeDocument/2006/relationships/image" Target="media/image350.png"/><Relationship Id="rId410" Type="http://schemas.openxmlformats.org/officeDocument/2006/relationships/image" Target="media/image351.png"/><Relationship Id="rId411" Type="http://schemas.openxmlformats.org/officeDocument/2006/relationships/image" Target="media/image352.png"/><Relationship Id="rId412" Type="http://schemas.openxmlformats.org/officeDocument/2006/relationships/image" Target="media/image353.png"/><Relationship Id="rId413" Type="http://schemas.openxmlformats.org/officeDocument/2006/relationships/image" Target="media/image354.png"/><Relationship Id="rId414" Type="http://schemas.openxmlformats.org/officeDocument/2006/relationships/image" Target="media/image355.png"/><Relationship Id="rId415" Type="http://schemas.openxmlformats.org/officeDocument/2006/relationships/image" Target="media/image356.png"/><Relationship Id="rId416" Type="http://schemas.openxmlformats.org/officeDocument/2006/relationships/image" Target="media/image357.png"/><Relationship Id="rId417" Type="http://schemas.openxmlformats.org/officeDocument/2006/relationships/image" Target="media/image358.png"/><Relationship Id="rId418" Type="http://schemas.openxmlformats.org/officeDocument/2006/relationships/image" Target="media/image359.png"/><Relationship Id="rId419" Type="http://schemas.openxmlformats.org/officeDocument/2006/relationships/image" Target="media/image360.png"/><Relationship Id="rId420" Type="http://schemas.openxmlformats.org/officeDocument/2006/relationships/image" Target="media/image361.png"/><Relationship Id="rId421" Type="http://schemas.openxmlformats.org/officeDocument/2006/relationships/image" Target="media/image362.png"/><Relationship Id="rId422" Type="http://schemas.openxmlformats.org/officeDocument/2006/relationships/image" Target="media/image363.png"/><Relationship Id="rId423" Type="http://schemas.openxmlformats.org/officeDocument/2006/relationships/image" Target="media/image364.png"/><Relationship Id="rId424" Type="http://schemas.openxmlformats.org/officeDocument/2006/relationships/image" Target="media/image365.png"/><Relationship Id="rId425" Type="http://schemas.openxmlformats.org/officeDocument/2006/relationships/image" Target="media/image366.png"/><Relationship Id="rId426" Type="http://schemas.openxmlformats.org/officeDocument/2006/relationships/image" Target="media/image367.png"/><Relationship Id="rId427" Type="http://schemas.openxmlformats.org/officeDocument/2006/relationships/image" Target="media/image368.png"/><Relationship Id="rId428" Type="http://schemas.openxmlformats.org/officeDocument/2006/relationships/image" Target="media/image369.png"/><Relationship Id="rId429" Type="http://schemas.openxmlformats.org/officeDocument/2006/relationships/image" Target="media/image370.png"/><Relationship Id="rId430" Type="http://schemas.openxmlformats.org/officeDocument/2006/relationships/image" Target="media/image371.png"/><Relationship Id="rId431" Type="http://schemas.openxmlformats.org/officeDocument/2006/relationships/image" Target="media/image372.png"/><Relationship Id="rId432" Type="http://schemas.openxmlformats.org/officeDocument/2006/relationships/image" Target="media/image373.png"/><Relationship Id="rId433" Type="http://schemas.openxmlformats.org/officeDocument/2006/relationships/image" Target="media/image374.png"/><Relationship Id="rId434" Type="http://schemas.openxmlformats.org/officeDocument/2006/relationships/image" Target="media/image375.png"/><Relationship Id="rId435" Type="http://schemas.openxmlformats.org/officeDocument/2006/relationships/image" Target="media/image376.png"/><Relationship Id="rId436" Type="http://schemas.openxmlformats.org/officeDocument/2006/relationships/image" Target="media/image377.png"/><Relationship Id="rId437" Type="http://schemas.openxmlformats.org/officeDocument/2006/relationships/image" Target="media/image378.png"/><Relationship Id="rId438" Type="http://schemas.openxmlformats.org/officeDocument/2006/relationships/image" Target="media/image379.png"/><Relationship Id="rId439" Type="http://schemas.openxmlformats.org/officeDocument/2006/relationships/image" Target="media/image380.png"/><Relationship Id="rId440" Type="http://schemas.openxmlformats.org/officeDocument/2006/relationships/image" Target="media/image381.png"/><Relationship Id="rId441" Type="http://schemas.openxmlformats.org/officeDocument/2006/relationships/image" Target="media/image382.png"/><Relationship Id="rId442" Type="http://schemas.openxmlformats.org/officeDocument/2006/relationships/image" Target="media/image383.png"/><Relationship Id="rId443" Type="http://schemas.openxmlformats.org/officeDocument/2006/relationships/image" Target="media/image384.png"/><Relationship Id="rId444" Type="http://schemas.openxmlformats.org/officeDocument/2006/relationships/image" Target="media/image385.png"/><Relationship Id="rId445" Type="http://schemas.openxmlformats.org/officeDocument/2006/relationships/image" Target="media/image386.png"/><Relationship Id="rId446" Type="http://schemas.openxmlformats.org/officeDocument/2006/relationships/image" Target="media/image387.png"/><Relationship Id="rId447" Type="http://schemas.openxmlformats.org/officeDocument/2006/relationships/image" Target="media/image388.png"/><Relationship Id="rId448" Type="http://schemas.openxmlformats.org/officeDocument/2006/relationships/image" Target="media/image389.png"/><Relationship Id="rId350" Type="http://schemas.openxmlformats.org/officeDocument/2006/relationships/hyperlink" Target="https://www.sec.gov/Archives/edgar/data/1434316/000119312513351036/d590580dex32.htm" TargetMode="External"/><Relationship Id="rId351" Type="http://schemas.openxmlformats.org/officeDocument/2006/relationships/hyperlink" Target="https://www.sec.gov/Archives/edgar/data/1434316/000119312521184402/d191657dex31.htm" TargetMode="External"/><Relationship Id="rId352" Type="http://schemas.openxmlformats.org/officeDocument/2006/relationships/hyperlink" Target="https://www.sec.gov/Archives/edgar/data/1434316/000119312516778378/d301639dex31.htm" TargetMode="External"/><Relationship Id="rId353" Type="http://schemas.openxmlformats.org/officeDocument/2006/relationships/hyperlink" Target="https://www.sec.gov/Archives/edgar/data/1434316/000156459021008086/fate-ex33_493.htm" TargetMode="External"/><Relationship Id="rId354" Type="http://schemas.openxmlformats.org/officeDocument/2006/relationships/hyperlink" Target="https://www.sec.gov/Archives/edgar/data/1434316/000095017023013471/fate-ex3_1.htm" TargetMode="External"/><Relationship Id="rId355" Type="http://schemas.openxmlformats.org/officeDocument/2006/relationships/hyperlink" Target="https://www.sec.gov/Archives/edgar/data/1434316/000119312524158374/d764437dex31.htm" TargetMode="External"/><Relationship Id="rId356" Type="http://schemas.openxmlformats.org/officeDocument/2006/relationships/hyperlink" Target="https://www.sec.gov/Archives/edgar/data/1434316/000119312513351036/d590580dex41.htm" TargetMode="External"/><Relationship Id="rId357" Type="http://schemas.openxmlformats.org/officeDocument/2006/relationships/hyperlink" Target="https://www.sec.gov/Archives/edgar/data/1434316/000119312521005180/d95890dex41.htm" TargetMode="External"/><Relationship Id="rId358" Type="http://schemas.openxmlformats.org/officeDocument/2006/relationships/hyperlink" Target="https://www.sec.gov/Archives/edgar/data/1434316/000119312524072871/d799248dex41.htm" TargetMode="External"/><Relationship Id="rId359" Type="http://schemas.openxmlformats.org/officeDocument/2006/relationships/hyperlink" Target="https://www.sec.gov/Archives/edgar/data/1434316/000095017023061080/fate-ex4_3.htm" TargetMode="External"/><Relationship Id="rId360" Type="http://schemas.openxmlformats.org/officeDocument/2006/relationships/hyperlink" Target="https://www.sec.gov/Archives/edgar/data/1434316/000156459021008086/fate-ex102_726.htm" TargetMode="External"/><Relationship Id="rId361" Type="http://schemas.openxmlformats.org/officeDocument/2006/relationships/hyperlink" Target="https://www.sec.gov/Archives/edgar/data/1434316/000110465915000991/a15-1355_1ex10d2.htm" TargetMode="External"/><Relationship Id="rId362" Type="http://schemas.openxmlformats.org/officeDocument/2006/relationships/hyperlink" Target="https://www.sec.gov/Archives/edgar/data/1434316/000156459018004394/fate-ex105_89.htm" TargetMode="External"/><Relationship Id="rId363" Type="http://schemas.openxmlformats.org/officeDocument/2006/relationships/hyperlink" Target="https://www.sec.gov/Archives/edgar/data/1434316/000110465915000991/a15-1355_1ex10d1.htm" TargetMode="External"/><Relationship Id="rId364" Type="http://schemas.openxmlformats.org/officeDocument/2006/relationships/hyperlink" Target="https://www.sec.gov/Archives/edgar/data/1434316/000156459021008086/fate-ex108_663.htm" TargetMode="External"/><Relationship Id="rId365" Type="http://schemas.openxmlformats.org/officeDocument/2006/relationships/hyperlink" Target="https://www.sec.gov/Archives/edgar/data/1434316/000156459021008086/fate-ex109_727.htm" TargetMode="External"/><Relationship Id="rId366" Type="http://schemas.openxmlformats.org/officeDocument/2006/relationships/hyperlink" Target="https://www.sec.gov/Archives/edgar/data/1434316/000156459021008086/fate-ex1010_728.htm" TargetMode="External"/><Relationship Id="rId367" Type="http://schemas.openxmlformats.org/officeDocument/2006/relationships/hyperlink" Target="https://www.sec.gov/Archives/edgar/data/1434316/000119312513333316/d552384dex1014.htm" TargetMode="External"/><Relationship Id="rId368" Type="http://schemas.openxmlformats.org/officeDocument/2006/relationships/hyperlink" Target="https://www.sec.gov/Archives/edgar/data/1434316/000119312513333316/d552384dex1015.htm" TargetMode="External"/><Relationship Id="rId371" Type="http://schemas.openxmlformats.org/officeDocument/2006/relationships/hyperlink" Target="https://www.sec.gov/Archives/edgar/data/1434316/000119312513383888/d552384dex1025.htm" TargetMode="External"/><Relationship Id="rId372" Type="http://schemas.openxmlformats.org/officeDocument/2006/relationships/hyperlink" Target="https://www.sec.gov/Archives/edgar/data/1434316/000156459016013981/fate-ex1015_610.htm" TargetMode="External"/><Relationship Id="rId373" Type="http://schemas.openxmlformats.org/officeDocument/2006/relationships/hyperlink" Target="https://www.sec.gov/Archives/edgar/data/1434316/000156459016013981/fate-ex1016_611.htm" TargetMode="External"/><Relationship Id="rId374" Type="http://schemas.openxmlformats.org/officeDocument/2006/relationships/hyperlink" Target="https://www.sec.gov/Archives/edgar/data/1434316/000156459016023312/fate-ex102_105.htm" TargetMode="External"/><Relationship Id="rId375" Type="http://schemas.openxmlformats.org/officeDocument/2006/relationships/hyperlink" Target="https://www.sec.gov/Archives/edgar/data/1434316/000156459021008086/fate-ex1019_494.htm" TargetMode="External"/><Relationship Id="rId376" Type="http://schemas.openxmlformats.org/officeDocument/2006/relationships/hyperlink" Target="https://www.sec.gov/Archives/edgar/data/1434316/000156459021008086/fate-ex1020_495.htm" TargetMode="External"/><Relationship Id="rId377" Type="http://schemas.openxmlformats.org/officeDocument/2006/relationships/hyperlink" Target="https://www.sec.gov/Archives/edgar/data/1434316/000156459021008086/fate-ex1021_496.htm" TargetMode="External"/><Relationship Id="rId378" Type="http://schemas.openxmlformats.org/officeDocument/2006/relationships/hyperlink" Target="https://www.sec.gov/Archives/edgar/data/1434316/000156459021008086/fate-ex1022_497.htm" TargetMode="External"/><Relationship Id="rId379" Type="http://schemas.openxmlformats.org/officeDocument/2006/relationships/hyperlink" Target="https://www.sec.gov/Archives/edgar/data/1434316/000156459018004394/fate-ex1032_90.htm" TargetMode="External"/><Relationship Id="rId380" Type="http://schemas.openxmlformats.org/officeDocument/2006/relationships/hyperlink" Target="https://www.sec.gov/Archives/edgar/data/1434316/000156459019006258/fate-ex1033_244.htm" TargetMode="External"/><Relationship Id="rId383" Type="http://schemas.openxmlformats.org/officeDocument/2006/relationships/hyperlink" Target="https://www.sec.gov/Archives/edgar/data/1434316/000156459018019456/fate-ex101_80.htm" TargetMode="External"/><Relationship Id="rId384" Type="http://schemas.openxmlformats.org/officeDocument/2006/relationships/hyperlink" Target="https://www.sec.gov/Archives/edgar/data/1434316/000156459018019456/fate-ex102_223.htm" TargetMode="External"/><Relationship Id="rId385" Type="http://schemas.openxmlformats.org/officeDocument/2006/relationships/hyperlink" Target="https://www.sec.gov/Archives/edgar/data/1434316/000156459018026214/fate-ex101_83.htm" TargetMode="External"/><Relationship Id="rId386" Type="http://schemas.openxmlformats.org/officeDocument/2006/relationships/hyperlink" Target="https://www.sec.gov/Archives/edgar/data/1434316/000119312519032261/d699031dex102.htm" TargetMode="External"/><Relationship Id="rId387" Type="http://schemas.openxmlformats.org/officeDocument/2006/relationships/hyperlink" Target="https://www.sec.gov/Archives/edgar/data/1434316/000156459019006258/fate-ex1038_245.htm" TargetMode="External"/><Relationship Id="rId388" Type="http://schemas.openxmlformats.org/officeDocument/2006/relationships/hyperlink" Target="https://www.sec.gov/Archives/edgar/data/1434316/000156459020008141/fate-ex1034_359.htm" TargetMode="External"/><Relationship Id="rId389" Type="http://schemas.openxmlformats.org/officeDocument/2006/relationships/hyperlink" Target="https://www.sec.gov/Archives/edgar/data/1434316/000156459021008086/fate-ex1039_662.htm" TargetMode="External"/><Relationship Id="rId390" Type="http://schemas.openxmlformats.org/officeDocument/2006/relationships/hyperlink" Target="https://www.sec.gov/Archives/edgar/data/1434316/000156459021008086/fate-ex1040_664.htm" TargetMode="External"/><Relationship Id="rId391" Type="http://schemas.openxmlformats.org/officeDocument/2006/relationships/hyperlink" Target="https://www.sec.gov/Archives/edgar/data/1434316/000119312523273593/d541003dex12.htm" TargetMode="External"/><Relationship Id="rId392" Type="http://schemas.openxmlformats.org/officeDocument/2006/relationships/hyperlink" Target="https://www.sec.gov/Archives/edgar/data/1434316/000095017022002293/fate-ex10_40.htm" TargetMode="External"/><Relationship Id="rId393" Type="http://schemas.openxmlformats.org/officeDocument/2006/relationships/hyperlink" Target="https://www.sec.gov/Archives/edgar/data/1434316/000119312522171100/d231890dex991.htm" TargetMode="External"/><Relationship Id="rId394" Type="http://schemas.openxmlformats.org/officeDocument/2006/relationships/hyperlink" Target="https://www.sec.gov/Archives/edgar/data/1434316/000095017022014236/fate-ex10_2.htm" TargetMode="External"/><Relationship Id="rId395" Type="http://schemas.openxmlformats.org/officeDocument/2006/relationships/hyperlink" Target="https://www.sec.gov/Archives/edgar/data/1434316/000095017022022488/fate-ex10_1.htm" TargetMode="External"/><Relationship Id="rId396" Type="http://schemas.openxmlformats.org/officeDocument/2006/relationships/hyperlink" Target="https://www.sec.gov/Archives/edgar/data/1434316/000095017024020158/fate-ex10_41.htm" TargetMode="External"/><Relationship Id="rId397" Type="http://schemas.openxmlformats.org/officeDocument/2006/relationships/hyperlink" Target="https://www.sec.gov/Archives/edgar/data/1434316/000095017024020158/fate-ex10_42.htm" TargetMode="External"/><Relationship Id="rId398" Type="http://schemas.openxmlformats.org/officeDocument/2006/relationships/hyperlink" Target="https://www.sec.gov/Archives/edgar/data/1434316/000119312524072871/d799248dex101.htm" TargetMode="External"/><Relationship Id="rId399" Type="http://schemas.openxmlformats.org/officeDocument/2006/relationships/hyperlink" Target="https://www.sec.gov/Archives/edgar/data/1434316/000119312524157554/d839723dex101.htm" TargetMode="External"/><Relationship Id="rId400" Type="http://schemas.openxmlformats.org/officeDocument/2006/relationships/hyperlink" Target="https://www.sec.gov/Archives/edgar/data/1434316/000119312524211130/d703760dex101.htm" TargetMode="External"/><Relationship Id="rId401" Type="http://schemas.openxmlformats.org/officeDocument/2006/relationships/hyperlink" Target="https://www.sec.gov/Archives/edgar/data/1434316/000095017024125317/fate-ex10_2.htm" TargetMode="External"/><Relationship Id="rId404" Type="http://schemas.openxmlformats.org/officeDocument/2006/relationships/hyperlink" Target="https://www.sec.gov/Archives/edgar/data/1434316/000119312525002153/d900848dex101.htm" TargetMode="External"/><Relationship Id="rId405" Type="http://schemas.openxmlformats.org/officeDocument/2006/relationships/hyperlink" Target="https://www.sec.gov/Archives/edgar/data/1434316/000095017024020158/fate-ex14_1.htm" TargetMode="External"/><Relationship Id="rId406" Type="http://schemas.openxmlformats.org/officeDocument/2006/relationships/hyperlink" Target="https://www.sec.gov/Archives/edgar/data/1434316/000095017023005067/fate-ex21_1.htm" TargetMode="External"/><Relationship Id="rId407" Type="http://schemas.openxmlformats.org/officeDocument/2006/relationships/hyperlink" Target="https://www.sec.gov/Archives/edgar/data/1434316/000095017024020158/fate-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2025-03-05T15:14:40Z</dcterms:created>
  <dcterms:modified xsi:type="dcterms:W3CDTF">2025-03-05T15:14:40Z</dcterms:modified>
</cp:coreProperties>
</file>