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5" w:lineRule="exact"/>
        <w:rPr>
          <w:sz w:val="24"/>
          <w:szCs w:val="24"/>
          <w:color w:val="auto"/>
        </w:rPr>
      </w:pPr>
    </w:p>
    <w:p>
      <w:pPr>
        <w:ind w:left="500" w:right="200" w:hanging="492"/>
        <w:spacing w:after="0" w:line="262" w:lineRule="auto"/>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UNDER SECTION 13 OR 15(d) OF THE EXCHANGE ACT OF 1934</w:t>
      </w:r>
    </w:p>
    <w:p>
      <w:pPr>
        <w:sectPr>
          <w:pgSz w:w="11900" w:h="16838" w:orient="portrait"/>
          <w:cols w:equalWidth="0" w:num="1">
            <w:col w:w="11240"/>
          </w:cols>
          <w:pgMar w:left="320" w:top="1145" w:right="339" w:bottom="1440" w:gutter="0" w:footer="0" w:header="0"/>
        </w:sectPr>
      </w:pPr>
    </w:p>
    <w:p>
      <w:pPr>
        <w:spacing w:after="0" w:line="14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From the transition period from</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66" w:lineRule="exact"/>
        <w:rPr>
          <w:sz w:val="24"/>
          <w:szCs w:val="24"/>
          <w:color w:val="auto"/>
        </w:rPr>
      </w:pPr>
    </w:p>
    <w:p>
      <w:pPr>
        <w:sectPr>
          <w:pgSz w:w="11900" w:h="16838" w:orient="portrait"/>
          <w:cols w:equalWidth="0" w:num="3">
            <w:col w:w="6200" w:space="540"/>
            <w:col w:w="160" w:space="580"/>
            <w:col w:w="3760"/>
          </w:cols>
          <w:pgMar w:left="320" w:top="114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001-36076</w:t>
      </w:r>
    </w:p>
    <w:p>
      <w:pPr>
        <w:sectPr>
          <w:pgSz w:w="11900" w:h="16838" w:orient="portrait"/>
          <w:cols w:equalWidth="0" w:num="1">
            <w:col w:w="11240"/>
          </w:cols>
          <w:pgMar w:left="320" w:top="1145" w:right="339" w:bottom="1440" w:gutter="0" w:footer="0" w:header="0"/>
          <w:type w:val="continuous"/>
        </w:sectPr>
      </w:pP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FATE THERAPEUTICS, INC.</w:t>
      </w:r>
    </w:p>
    <w:p>
      <w:pPr>
        <w:spacing w:after="0" w:line="138"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6720" w:type="dxa"/>
            <w:vAlign w:val="bottom"/>
          </w:tcPr>
          <w:p>
            <w:pPr>
              <w:jc w:val="center"/>
              <w:ind w:left="23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20"/>
                <w:szCs w:val="20"/>
                <w:color w:val="auto"/>
              </w:rPr>
            </w:pPr>
          </w:p>
        </w:tc>
      </w:tr>
      <w:tr>
        <w:trPr>
          <w:trHeight w:val="326"/>
        </w:trPr>
        <w:tc>
          <w:tcPr>
            <w:tcW w:w="672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65-1311552</w:t>
            </w:r>
          </w:p>
        </w:tc>
      </w:tr>
      <w:tr>
        <w:trPr>
          <w:trHeight w:val="148"/>
        </w:trPr>
        <w:tc>
          <w:tcPr>
            <w:tcW w:w="6720" w:type="dxa"/>
            <w:vAlign w:val="bottom"/>
          </w:tcPr>
          <w:p>
            <w:pPr>
              <w:jc w:val="center"/>
              <w:ind w:right="32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28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720" w:type="dxa"/>
            <w:vAlign w:val="bottom"/>
          </w:tcPr>
          <w:p>
            <w:pPr>
              <w:jc w:val="center"/>
              <w:ind w:right="3238"/>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6720" w:type="dxa"/>
            <w:vAlign w:val="bottom"/>
          </w:tcPr>
          <w:p>
            <w:pPr>
              <w:jc w:val="center"/>
              <w:ind w:right="3218"/>
              <w:spacing w:after="0"/>
              <w:rPr>
                <w:sz w:val="20"/>
                <w:szCs w:val="20"/>
                <w:color w:val="auto"/>
              </w:rPr>
            </w:pPr>
            <w:r>
              <w:rPr>
                <w:rFonts w:ascii="Times New Roman" w:cs="Times New Roman" w:eastAsia="Times New Roman" w:hAnsi="Times New Roman"/>
                <w:sz w:val="18"/>
                <w:szCs w:val="18"/>
                <w:b w:val="1"/>
                <w:bCs w:val="1"/>
                <w:color w:val="auto"/>
                <w:w w:val="99"/>
              </w:rPr>
              <w:t>12278 Scripps Summit Drive, San Diego, CA</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92131</w:t>
            </w:r>
          </w:p>
        </w:tc>
      </w:tr>
      <w:tr>
        <w:trPr>
          <w:trHeight w:val="190"/>
        </w:trPr>
        <w:tc>
          <w:tcPr>
            <w:tcW w:w="6720" w:type="dxa"/>
            <w:vAlign w:val="bottom"/>
          </w:tcPr>
          <w:p>
            <w:pPr>
              <w:jc w:val="center"/>
              <w:ind w:right="32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6720" w:type="dxa"/>
            <w:vAlign w:val="bottom"/>
          </w:tcPr>
          <w:p>
            <w:pPr>
              <w:jc w:val="right"/>
              <w:ind w:right="1518"/>
              <w:spacing w:after="0"/>
              <w:rPr>
                <w:sz w:val="20"/>
                <w:szCs w:val="20"/>
                <w:color w:val="auto"/>
              </w:rPr>
            </w:pPr>
            <w:r>
              <w:rPr>
                <w:rFonts w:ascii="Times New Roman" w:cs="Times New Roman" w:eastAsia="Times New Roman" w:hAnsi="Times New Roman"/>
                <w:sz w:val="18"/>
                <w:szCs w:val="18"/>
                <w:b w:val="1"/>
                <w:bCs w:val="1"/>
                <w:color w:val="auto"/>
              </w:rPr>
              <w:t>(858) 875-1800</w:t>
            </w:r>
          </w:p>
        </w:tc>
        <w:tc>
          <w:tcPr>
            <w:tcW w:w="1280" w:type="dxa"/>
            <w:vAlign w:val="bottom"/>
          </w:tcPr>
          <w:p>
            <w:pPr>
              <w:spacing w:after="0"/>
              <w:rPr>
                <w:sz w:val="24"/>
                <w:szCs w:val="24"/>
                <w:color w:val="auto"/>
              </w:rPr>
            </w:pPr>
          </w:p>
        </w:tc>
      </w:tr>
    </w:tbl>
    <w:p>
      <w:pPr>
        <w:spacing w:after="0" w:line="19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10" w:type="dxa"/>
        <w:tblCellMar>
          <w:top w:w="0" w:type="dxa"/>
          <w:left w:w="0" w:type="dxa"/>
          <w:bottom w:w="0" w:type="dxa"/>
          <w:right w:w="0" w:type="dxa"/>
        </w:tblCellMar>
      </w:tblPr>
      <w:tr>
        <w:trPr>
          <w:trHeight w:val="26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FATE</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35" w:lineRule="exact"/>
        <w:rPr>
          <w:sz w:val="24"/>
          <w:szCs w:val="24"/>
          <w:color w:val="auto"/>
        </w:rPr>
      </w:pPr>
    </w:p>
    <w:p>
      <w:pPr>
        <w:jc w:val="both"/>
        <w:ind w:right="140" w:firstLine="74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right="220" w:firstLine="749"/>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2" w:lineRule="exact"/>
        <w:rPr>
          <w:sz w:val="24"/>
          <w:szCs w:val="24"/>
          <w:color w:val="auto"/>
        </w:rPr>
      </w:pPr>
    </w:p>
    <w:p>
      <w:pPr>
        <w:ind w:right="80" w:firstLine="74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4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98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5020" w:type="dxa"/>
            <w:vAlign w:val="bottom"/>
          </w:tcPr>
          <w:p>
            <w:pPr>
              <w:ind w:left="28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8"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4"/>
          <w:szCs w:val="24"/>
          <w:color w:val="auto"/>
        </w:rPr>
      </w:pPr>
    </w:p>
    <w:p>
      <w:pPr>
        <w:ind w:right="2440"/>
        <w:spacing w:after="0" w:line="2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30, 2026, 121,568,755 shares of the registrant’s common stock, par value $0.001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SUMMARY OF RISK FACTORS</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60" w:type="dxa"/>
            <w:vAlign w:val="bottom"/>
            <w:gridSpan w:val="21"/>
            <w:vMerge w:val="continue"/>
          </w:tcPr>
          <w:p>
            <w:pPr>
              <w:spacing w:after="0"/>
              <w:rPr>
                <w:sz w:val="14"/>
                <w:szCs w:val="14"/>
                <w:color w:val="auto"/>
              </w:rPr>
            </w:pPr>
          </w:p>
        </w:tc>
        <w:tc>
          <w:tcPr>
            <w:tcW w:w="7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20" w:type="dxa"/>
            <w:vAlign w:val="bottom"/>
            <w:tcBorders>
              <w:bottom w:val="single" w:sz="8" w:color="0000EE"/>
            </w:tcBorders>
          </w:tcPr>
          <w:p>
            <w:pPr>
              <w:spacing w:after="0"/>
              <w:rPr>
                <w:sz w:val="24"/>
                <w:szCs w:val="24"/>
                <w:color w:val="auto"/>
              </w:rPr>
            </w:pPr>
          </w:p>
        </w:tc>
        <w:tc>
          <w:tcPr>
            <w:tcW w:w="750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2026 (Unaudited) and December 31, 2025</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nine months ended September</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84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30, 2026 and 2025 (Unaudited)</w:t>
            </w:r>
          </w:p>
        </w:tc>
        <w:tc>
          <w:tcPr>
            <w:tcW w:w="200" w:type="dxa"/>
            <w:vAlign w:val="bottom"/>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 (Unaudited)</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880" w:type="dxa"/>
            <w:vAlign w:val="bottom"/>
            <w:tcBorders>
              <w:left w:val="single" w:sz="8" w:color="0000FF"/>
            </w:tcBorders>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Borders>
              <w:top w:val="single" w:sz="8" w:color="0000FF"/>
            </w:tcBorders>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6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40" w:type="dxa"/>
            <w:vAlign w:val="bottom"/>
            <w:gridSpan w:val="13"/>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900" w:type="dxa"/>
            <w:vAlign w:val="bottom"/>
            <w:gridSpan w:val="9"/>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7460" w:type="dxa"/>
            <w:vAlign w:val="bottom"/>
            <w:gridSpan w:val="1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43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885"/>
        </w:trPr>
        <w:tc>
          <w:tcPr>
            <w:tcW w:w="11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gridSpan w:val="14"/>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(SEC) before making investment decisions regarding our common stock.</w:t>
      </w:r>
    </w:p>
    <w:p>
      <w:pPr>
        <w:spacing w:after="0" w:line="81" w:lineRule="exact"/>
        <w:rPr>
          <w:sz w:val="20"/>
          <w:szCs w:val="20"/>
          <w:color w:val="auto"/>
        </w:rPr>
      </w:pPr>
    </w:p>
    <w:p>
      <w:pPr>
        <w:ind w:left="102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programs represent novel therapeutic approaches and may fail to demonstrate the safety, potency, durability, and efficacy necessary to support further development or commercialization, or may cause undesirable side effects or have other properties that could delay or halt their development, prevent their regulatory approval, limit their commercial potential or result in significant negative consequences. If we fail to complete the nonclinical or clinical development of, or obtain regulatory approval for, our product candidates on a timely basis or at all, our business would be significantly harmed.</w:t>
      </w:r>
    </w:p>
    <w:p>
      <w:pPr>
        <w:spacing w:after="0" w:line="75"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product candidates will require substantial additional funding, which, if available, may cause dilution to our stockholders, and without which we will be unable to complete nonclinical or clinical development of, or obtain regulatory approval for, our product candidates. Additionally, we may not be able to secure adequate funding on acceptable terms or on a timely basis.</w:t>
      </w:r>
    </w:p>
    <w:p>
      <w:pPr>
        <w:spacing w:after="0" w:line="67" w:lineRule="exact"/>
        <w:rPr>
          <w:rFonts w:ascii="Times New Roman" w:cs="Times New Roman" w:eastAsia="Times New Roman" w:hAnsi="Times New Roman"/>
          <w:sz w:val="18"/>
          <w:szCs w:val="18"/>
          <w:color w:val="auto"/>
        </w:rPr>
      </w:pPr>
    </w:p>
    <w:p>
      <w:pPr>
        <w:ind w:left="1020" w:right="14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for novel product candidates such as ours is particularly uncertain, and our product candidates could fail to receive regulatory approval from the U.S. Food and Drug Administration (FDA) or a comparable foreign regulatory authority for many reasons, including disagreement with regulatory authorities on the design or conduct of our clinical trials, on our interpretation of clinical data, or on the methodologies for, and assessment of, comparability of different versions of a product candidate used in non-pivotal studies, pivotal studies and for intended commercial use, and changes in approval policies or regulations, or changes in positions, guidance or feedback communicated by applicable regulatory authorities, that render our nonclinical or clinical data insufficient to support approval or otherwise negatively impact the potential approval of a product candidate.</w:t>
      </w:r>
    </w:p>
    <w:p>
      <w:pPr>
        <w:spacing w:after="0" w:line="80"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induced pluripotent stem cell (iPSC) product platform enables the production of next-generation product candidates, and we have multiple iPSC-derived cell product candidates currently undergoing clinical and nonclinical development. We may deprioritize or discontinue the clinical development of one or more product candidates for various reasons, including our prioritization of other product candidates, data or results from our ongoing clinical trials, and the competitive therapeutic landscape for which our product candidates are being developed. In addition, one or more of our product candidates undergoing clinical development may have therapeutic potential in more than one disease area, and we may elect to prioritize clinical development in one disease area over another disease area.</w:t>
      </w:r>
    </w:p>
    <w:p>
      <w:pPr>
        <w:spacing w:after="0" w:line="79"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iPSC technology and gene-editing technology in the creation of our product candidates. If we are unable to use these technologies in the creation of our product candidates, our business would be significantly harmed.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delays in initiating, conducting or completing our clinical trials, including difficulties recruiting clinical trial investigators, enrolling patients in our clinical trials, or manufacturing adequate clinical supplies, and we may not be able to initiate, conduct or complete our clinical trials at all.</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and our operating results will suffer if we fail to compete effectively, including with respect to the recruitment of patients and investigative sites to participate in our clinical trials.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interim and preliminary data from our nonclinical studies or clinical trials may change as more data become available and are subject to audit and verification procedures that could result in material changes in the final data. Furthermore, results from our ongoing or future clinical trials involving our product candidates may differ materially from initial, interim and preliminary data as well as previous study results.</w:t>
      </w:r>
    </w:p>
    <w:p>
      <w:pPr>
        <w:spacing w:after="0" w:line="7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distribution of our product candidates is complex and subject to a multitude of risks. Additionally, the FDA or foreign regulatory authorities may impose requirements on our manufacturing operations that could substantially limit the supply of our product candidates and increase our costs, and significantly delay or restrict the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the FDA, SEC, the National Institutes of Health and other government agencies, as well as changes in personnel and policy priorities at these agencies, could disrupt such agencies’ operations and, in turn, hinder our ability to develop or commercialize new products in a timely manner or otherwise negatively impact our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 w:name="page4"/>
    <w:bookmarkEnd w:id="3"/>
    <w:p>
      <w:pPr>
        <w:ind w:left="503" w:right="4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manufacturing our product candidates on a clinical scale, and no experience manufacturing on a commercial scale. Any failure to manufacture sufficient quantities of our product candidates consistently and at acceptable quality and costs may result in delays to our clinical development plans and impair our ability to obtain approval for, or commercialize, our product candidates and would materially and adversely affect our business.</w:t>
      </w:r>
    </w:p>
    <w:p>
      <w:pPr>
        <w:spacing w:after="0" w:line="71" w:lineRule="exact"/>
        <w:rPr>
          <w:rFonts w:ascii="Times New Roman" w:cs="Times New Roman" w:eastAsia="Times New Roman" w:hAnsi="Times New Roman"/>
          <w:sz w:val="18"/>
          <w:szCs w:val="18"/>
          <w:color w:val="auto"/>
        </w:rPr>
      </w:pPr>
    </w:p>
    <w:p>
      <w:pPr>
        <w:ind w:left="503" w:right="3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including sole source suppliers, for certain equipment and components used in the production of our product candidates, and the loss of suppliers could adversely impact our ability to conduct our clinical trials.</w:t>
      </w:r>
    </w:p>
    <w:p>
      <w:pPr>
        <w:spacing w:after="0" w:line="53" w:lineRule="exact"/>
        <w:rPr>
          <w:rFonts w:ascii="Times New Roman" w:cs="Times New Roman" w:eastAsia="Times New Roman" w:hAnsi="Times New Roman"/>
          <w:sz w:val="18"/>
          <w:szCs w:val="18"/>
          <w:color w:val="auto"/>
        </w:rPr>
      </w:pPr>
    </w:p>
    <w:p>
      <w:pPr>
        <w:ind w:left="503" w:right="14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legislative and regulatory efforts, including efforts to implement reference pricing or most-favored-nation pricing models, impose tariffs on pharmaceutical products and active pharmaceutical ingredients, and promote or require domestic manufacturing, could impact our commercial strategy and prospects, increase our costs and operational complexity, and materially harm our business.</w:t>
      </w:r>
    </w:p>
    <w:p>
      <w:pPr>
        <w:spacing w:after="0" w:line="67" w:lineRule="exact"/>
        <w:rPr>
          <w:rFonts w:ascii="Times New Roman" w:cs="Times New Roman" w:eastAsia="Times New Roman" w:hAnsi="Times New Roman"/>
          <w:sz w:val="18"/>
          <w:szCs w:val="18"/>
          <w:color w:val="auto"/>
        </w:rPr>
      </w:pPr>
    </w:p>
    <w:p>
      <w:pPr>
        <w:ind w:left="503" w:right="68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challenges recruiting and retaining key personnel due to labor market changes, availability of qualified candidates, and competition for employees from other companies.</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cost fluctuations and inflationary pressures, including increases in prices of materials and costs of labor, which may adversely impact our operating performance, expenses, cash utilization and results.</w:t>
      </w:r>
    </w:p>
    <w:p>
      <w:pPr>
        <w:spacing w:after="0" w:line="53" w:lineRule="exact"/>
        <w:rPr>
          <w:rFonts w:ascii="Times New Roman" w:cs="Times New Roman" w:eastAsia="Times New Roman" w:hAnsi="Times New Roman"/>
          <w:sz w:val="18"/>
          <w:szCs w:val="18"/>
          <w:color w:val="auto"/>
        </w:rPr>
      </w:pPr>
    </w:p>
    <w:p>
      <w:pPr>
        <w:ind w:left="503" w:right="18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strategic partnerships and collaboration arrangements for the development and commercialization of certain of our product candidates in certain indications or geographic territories, and if these arrangements are unsuccessful or are terminated, this could result in delays and other obstacles in the development, manufacture or commercialization of any of our product candidates and materially harm our results of operations.</w:t>
      </w:r>
    </w:p>
    <w:p>
      <w:pPr>
        <w:spacing w:after="0" w:line="71" w:lineRule="exact"/>
        <w:rPr>
          <w:rFonts w:ascii="Times New Roman" w:cs="Times New Roman" w:eastAsia="Times New Roman" w:hAnsi="Times New Roman"/>
          <w:sz w:val="18"/>
          <w:szCs w:val="18"/>
          <w:color w:val="auto"/>
        </w:rPr>
      </w:pPr>
    </w:p>
    <w:p>
      <w:pPr>
        <w:ind w:left="503" w:right="6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losses since our inception, and anticipate that we will continue to incur significant losses for the foreseeable future.</w:t>
      </w:r>
    </w:p>
    <w:p>
      <w:pPr>
        <w:spacing w:after="0" w:line="53" w:lineRule="exact"/>
        <w:rPr>
          <w:rFonts w:ascii="Times New Roman" w:cs="Times New Roman" w:eastAsia="Times New Roman" w:hAnsi="Times New Roman"/>
          <w:sz w:val="18"/>
          <w:szCs w:val="18"/>
          <w:color w:val="auto"/>
        </w:rPr>
      </w:pPr>
    </w:p>
    <w:p>
      <w:pPr>
        <w:ind w:left="503" w:right="6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or obtain and maintain patent protection for our technology and product candidates, other companies could develop products based on our technologies and discoveries, which may reduce demand for, or limit the commercial potential of, our products and harm our business.</w:t>
      </w:r>
    </w:p>
    <w:p>
      <w:pPr>
        <w:spacing w:after="0" w:line="6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intellectual property license agreements, we could lose rights to our product candidates or key technologies.</w:t>
      </w:r>
    </w:p>
    <w:p>
      <w:pPr>
        <w:spacing w:after="0" w:line="53" w:lineRule="exact"/>
        <w:rPr>
          <w:rFonts w:ascii="Times New Roman" w:cs="Times New Roman" w:eastAsia="Times New Roman" w:hAnsi="Times New Roman"/>
          <w:sz w:val="18"/>
          <w:szCs w:val="18"/>
          <w:color w:val="auto"/>
        </w:rPr>
      </w:pPr>
    </w:p>
    <w:p>
      <w:pPr>
        <w:jc w:val="both"/>
        <w:ind w:left="503" w:right="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regulatory approval from the FDA or comparable foreign regulatory authorities for our product candidates, which would prevent or delay commercialization of our products.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experience marketing any product candidates and do not have a sales force or distribution capabilities, and if our products are approved, we may be unable to commercialize them successfully.</w:t>
      </w:r>
    </w:p>
    <w:p>
      <w:pPr>
        <w:spacing w:after="0" w:line="53" w:lineRule="exact"/>
        <w:rPr>
          <w:rFonts w:ascii="Times New Roman" w:cs="Times New Roman" w:eastAsia="Times New Roman" w:hAnsi="Times New Roman"/>
          <w:sz w:val="18"/>
          <w:szCs w:val="18"/>
          <w:color w:val="auto"/>
        </w:rPr>
      </w:pPr>
    </w:p>
    <w:p>
      <w:pPr>
        <w:ind w:left="503" w:right="16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 candidates will depend upon the degree of market acceptance by physicians, patients, third-party payers and others in the medical community and may require additional evidence to support the anticipated benefits, comparative risks, and costs.</w:t>
      </w:r>
    </w:p>
    <w:p>
      <w:pPr>
        <w:spacing w:after="0" w:line="6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may be able to exercise significant control over our company.</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could compromise sensitive information related to our business and adversely impact our operations.</w:t>
      </w:r>
    </w:p>
    <w:p>
      <w:pPr>
        <w:spacing w:after="0" w:line="53" w:lineRule="exact"/>
        <w:rPr>
          <w:rFonts w:ascii="Times New Roman" w:cs="Times New Roman" w:eastAsia="Times New Roman" w:hAnsi="Times New Roman"/>
          <w:sz w:val="18"/>
          <w:szCs w:val="18"/>
          <w:color w:val="auto"/>
        </w:rPr>
      </w:pPr>
    </w:p>
    <w:p>
      <w:pPr>
        <w:ind w:left="503" w:right="120"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market conditions, any continued and prolonged public health emergency, global geopolitical tensions, including wars and other armed conflicts, or significant political, trade, economic or regulatory developments in the jurisdictions in which we may develop or commercialize our product candidates or conduct our operations, could adversely impact various aspects of our business, results of operations and financial condition, and could cause disruptions to our supply chain and the development and manufacture of our product candidates.</w:t>
      </w:r>
    </w:p>
    <w:p>
      <w:pPr>
        <w:spacing w:after="0" w:line="183"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 w:name="page5"/>
    <w:bookmarkEnd w:id="4"/>
    <w:p>
      <w:pPr>
        <w:ind w:left="40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7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46,628</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157,029</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tcPr>
          <w:p>
            <w:pPr>
              <w:spacing w:after="0"/>
              <w:rPr>
                <w:sz w:val="18"/>
                <w:szCs w:val="18"/>
                <w:color w:val="auto"/>
              </w:rPr>
            </w:pPr>
          </w:p>
        </w:tc>
      </w:tr>
      <w:tr>
        <w:trPr>
          <w:trHeight w:val="20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208,704</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56,925</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41,609</w:t>
            </w:r>
          </w:p>
        </w:tc>
        <w:tc>
          <w:tcPr>
            <w:tcW w:w="100" w:type="dxa"/>
            <w:vAlign w:val="bottom"/>
          </w:tcPr>
          <w:p>
            <w:pPr>
              <w:spacing w:after="0"/>
              <w:rPr>
                <w:sz w:val="18"/>
                <w:szCs w:val="18"/>
                <w:color w:val="auto"/>
              </w:rPr>
            </w:pPr>
          </w:p>
        </w:tc>
      </w:tr>
      <w:tr>
        <w:trPr>
          <w:trHeight w:val="216"/>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238,275</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318,937</w:t>
            </w:r>
          </w:p>
        </w:tc>
        <w:tc>
          <w:tcPr>
            <w:tcW w:w="10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0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CIRM award liability, current portion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Pr>
          <w:p>
            <w:pPr>
              <w:spacing w:after="0"/>
              <w:rPr>
                <w:sz w:val="18"/>
                <w:szCs w:val="18"/>
                <w:color w:val="auto"/>
              </w:rPr>
            </w:pPr>
          </w:p>
        </w:tc>
      </w:tr>
      <w:tr>
        <w:trPr>
          <w:trHeight w:val="21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36,071</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CIRM award liability, net of current portion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73,287</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0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shares—5,000,000; Class A Convertible</w:t>
            </w: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Preferred shares issued and outstanding— 2,755,086 at September 30, 2026 and</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December 31, 2025</w:t>
            </w: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198"/>
        </w:trPr>
        <w:tc>
          <w:tcPr>
            <w:tcW w:w="70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shares—350,000,000; issued and</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121,533,910 at September 30, 2026 and 115,359,735 at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December 31, 2025</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1,759,430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1,741,259</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(1,626,368)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(1,534,309)</w:t>
            </w:r>
          </w:p>
        </w:tc>
      </w:tr>
      <w:tr>
        <w:trPr>
          <w:trHeight w:val="210"/>
        </w:trPr>
        <w:tc>
          <w:tcPr>
            <w:tcW w:w="7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133,032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207,184</w:t>
            </w:r>
          </w:p>
        </w:tc>
        <w:tc>
          <w:tcPr>
            <w:tcW w:w="100" w:type="dxa"/>
            <w:vAlign w:val="bottom"/>
            <w:tcBorders>
              <w:top w:val="single" w:sz="8" w:color="CFF0FC"/>
            </w:tcBorders>
          </w:tcPr>
          <w:p>
            <w:pPr>
              <w:spacing w:after="0"/>
              <w:rPr>
                <w:sz w:val="18"/>
                <w:szCs w:val="18"/>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238,275</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318,937</w:t>
            </w:r>
          </w:p>
        </w:tc>
        <w:tc>
          <w:tcPr>
            <w:tcW w:w="100" w:type="dxa"/>
            <w:vAlign w:val="bottom"/>
            <w:shd w:val="clear" w:color="auto" w:fill="CFF0FC"/>
          </w:tcPr>
          <w:p>
            <w:pPr>
              <w:spacing w:after="0"/>
              <w:rPr>
                <w:sz w:val="19"/>
                <w:szCs w:val="19"/>
                <w:color w:val="auto"/>
              </w:rPr>
            </w:pPr>
          </w:p>
        </w:tc>
      </w:tr>
      <w:tr>
        <w:trPr>
          <w:trHeight w:val="20"/>
        </w:trPr>
        <w:tc>
          <w:tcPr>
            <w:tcW w:w="70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-3651250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73,305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99,762</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(32,247)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(96,381)</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(112,983)</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stock price appreciation milestones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(30,687)</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(32,250)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(92,059)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(103,941)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(30,725)</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(32,159)</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(92,330)</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(104,056)</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(0.76)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common shares used to compute basic and diluted net</w:t>
            </w:r>
          </w:p>
        </w:tc>
        <w:tc>
          <w:tcPr>
            <w:tcW w:w="16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123,656,809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118,998,693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121,374,895</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118,636,375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loss per share</w:t>
            </w:r>
          </w:p>
        </w:tc>
        <w:tc>
          <w:tcPr>
            <w:tcW w:w="1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-1893570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-1893570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-1893570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-1053465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-1053465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-1053465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-462280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-445135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-462280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-445135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-462280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-445135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7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7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(92,059)</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(103,941)</w:t>
            </w:r>
          </w:p>
        </w:tc>
      </w:tr>
      <w:tr>
        <w:trPr>
          <w:trHeight w:val="216"/>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and amortization of premiums and discounts on investments, net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(2,725)</w:t>
            </w: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stock price appreciation milestones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(9,892)</w:t>
            </w: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(1,926)</w:t>
            </w:r>
          </w:p>
        </w:tc>
      </w:tr>
      <w:tr>
        <w:trPr>
          <w:trHeight w:val="20"/>
        </w:trPr>
        <w:tc>
          <w:tcPr>
            <w:tcW w:w="7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(82,149)</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(82,770)</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(4,761)</w:t>
            </w:r>
          </w:p>
        </w:tc>
      </w:tr>
      <w:tr>
        <w:trPr>
          <w:trHeight w:val="216"/>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(104,738)</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(157,412)</w:t>
            </w:r>
          </w:p>
        </w:tc>
      </w:tr>
      <w:tr>
        <w:trPr>
          <w:trHeight w:val="216"/>
        </w:trPr>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245,584</w:t>
            </w:r>
          </w:p>
        </w:tc>
        <w:tc>
          <w:tcPr>
            <w:tcW w:w="100" w:type="dxa"/>
            <w:vAlign w:val="bottom"/>
          </w:tcPr>
          <w:p>
            <w:pPr>
              <w:spacing w:after="0"/>
              <w:rPr>
                <w:sz w:val="18"/>
                <w:szCs w:val="18"/>
                <w:color w:val="auto"/>
              </w:rPr>
            </w:pPr>
          </w:p>
        </w:tc>
      </w:tr>
      <w:tr>
        <w:trPr>
          <w:trHeight w:val="209"/>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83,536</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0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at-the-market offering, net of commissions and issuance</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of common stock from equity incentive plans, net of issuance costs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Proceeds from FT819-102 CIRM award</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FT836 CIRM award</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8"/>
                <w:szCs w:val="18"/>
                <w:color w:val="auto"/>
              </w:rPr>
            </w:pPr>
          </w:p>
        </w:tc>
      </w:tr>
      <w:tr>
        <w:trPr>
          <w:trHeight w:val="209"/>
        </w:trPr>
        <w:tc>
          <w:tcPr>
            <w:tcW w:w="76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49,042</w:t>
            </w:r>
          </w:p>
        </w:tc>
        <w:tc>
          <w:tcPr>
            <w:tcW w:w="16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50,849</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0"/>
                <w:szCs w:val="20"/>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-739775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-456565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right="6240" w:firstLine="8"/>
        <w:spacing w:after="0" w:line="37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Organization</w:t>
      </w: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Fate Therapeutics, Inc. (the Company) was incorporated in the state of Delaware on April 27, 2007 and has its principal operations in San Diego, California. The Company is a clinical-stage biopharmaceutical company dedicated to bringing off-the-shelf, multiplexed-engineered, induced pluripotent stem cell (iPSC)-derived cellular immunotherapies to patients.</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has devoted substantially all of its efforts to product development, raising capital and building infrastructure and has not generated any revenues from any sales of its therapeutic product candidates. To date, the Company’s revenues have been derived from collaboration agreements and government grants.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are prepared in accordance with generally accepted accounting principles in the United States (U.S. GAAP). The preparation of the Company’s unaudited condensed consolidated financial statements requires management to make estimates and assumptions that impact the reported amounts of assets, liabilities, revenues and expenses and the disclosure of contingent liabilities in the Company’s unaudited condensed consolidated financial statements and accompanying notes. The most significant estimates and assumptions in the Company’s unaudited condensed consolidated financial statements relate to its contracts containing leases, accrued expenses, and stock price appreciation milestones. Although these estimates are based on the Company’s knowledge of current events and actions it may undertake in the future, actual results may ultimately materially differ from these estimates and assumptions.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in readily available operating accounts, money market accounts and money market funds. The Company considers all highly liquid investments with an original maturity of three months or less from the date of purchase to be cash equivalents.</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unaudited condensed consolidated balance sheets that sum to the total of the same such amounts shown in the unaudited condensed consolidated statements of cash flows as of September 30, 2026 and 2025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7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unaudited</w:t>
            </w:r>
          </w:p>
        </w:tc>
        <w:tc>
          <w:tcPr>
            <w:tcW w:w="7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49,042</w:t>
            </w:r>
          </w:p>
        </w:tc>
        <w:tc>
          <w:tcPr>
            <w:tcW w:w="5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FF0FC"/>
          </w:tcPr>
          <w:p>
            <w:pPr>
              <w:ind w:left="100"/>
              <w:spacing w:after="0" w:line="194" w:lineRule="exact"/>
              <w:rPr>
                <w:sz w:val="20"/>
                <w:szCs w:val="20"/>
                <w:color w:val="auto"/>
              </w:rPr>
            </w:pPr>
            <w:r>
              <w:rPr>
                <w:rFonts w:ascii="Times New Roman" w:cs="Times New Roman" w:eastAsia="Times New Roman" w:hAnsi="Times New Roman"/>
                <w:sz w:val="18"/>
                <w:szCs w:val="18"/>
                <w:color w:val="auto"/>
              </w:rPr>
              <w:t>condensed consolidated statement of cash flows</w:t>
            </w:r>
          </w:p>
        </w:tc>
        <w:tc>
          <w:tcPr>
            <w:tcW w:w="720" w:type="dxa"/>
            <w:vAlign w:val="bottom"/>
            <w:gridSpan w:val="2"/>
            <w:vMerge w:val="continue"/>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restricted cash balance includes cash-collateralized irrevocable standby letters of credit associated with the Company’s facilities leases. During the nine months ended September 30, 2026, the letter of credit requirement under one of the Company's facility leases was reduced by $5.0 million, and the corresponding cash collateral was released to cash and cash equivalents.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Company has experienced net losses and negative cash flows from operations since its inception and has relied on its ability to fund its operations primarily through public or private equity or debt financings, collaboration arrangements, and other sources. For the three and nine months ended September 30, 2026, the Company incurred a net loss of $30.7 million and $92.1 million,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 w:name="page9"/>
    <w:bookmarkEnd w:id="8"/>
    <w:p>
      <w:pPr>
        <w:ind w:right="20"/>
        <w:spacing w:after="0" w:line="261" w:lineRule="auto"/>
        <w:rPr>
          <w:sz w:val="20"/>
          <w:szCs w:val="20"/>
          <w:color w:val="auto"/>
        </w:rPr>
      </w:pPr>
      <w:r>
        <w:rPr>
          <w:rFonts w:ascii="Times New Roman" w:cs="Times New Roman" w:eastAsia="Times New Roman" w:hAnsi="Times New Roman"/>
          <w:sz w:val="18"/>
          <w:szCs w:val="18"/>
          <w:color w:val="auto"/>
        </w:rPr>
        <w:t>respectively, and negative cash flows from operations of $27.8 million and $82.1 million, respectively. The Company expects it will continue to incur net losses and will incur negative cash flows from operations for the foreseeable future. As of September 30, 2026, the Company had an accumulated deficit of $1.6 billion. The Company expects that its cash, cash equivalents and short-term investments as of September 30, 2026 of $139.1 million will be sufficient to fund its operations for at least the next twelve months from the date of issuance of these condensed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These unaudited interim condensed consolidated financial statements have been prepared in accordance with U.S. GAAP and following the requirements of the U.S. Securities and Exchange Commission (SEC) for interim reporting. As permitted under those rules, certain footnotes or other financial information that are normally required can be condensed or omitted. The interim unaudited condensed consolidated financial statements should be read in conjunction with the Company’s financial statements and accompanying notes for the fiscal year ended December 31, 2025, contained in the Company’s Annual Report on Form 10-K for the year ended December 31, 2025, filed by the Company with the SEC on February 26, 2026. In management’s opinion, the unaudited interim condensed consolidated financial statements have been prepared on the same basis as the audited financial statements and include all adjustments, which include only normal recurring adjustments, necessary for the fair presentation of the Company’s financial position and its results of operations and comprehensive loss and its cash flows for the periods presented. The results for the three and nine months ended September 30, 2026 are not necessarily indicative of the results expected for the full fiscal year or any other interim period or any future year or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Arrangements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analyzes its collaboration arrangements to assess whether they are within the scope of Accounting Standards Codification (ASC) Topic 808, Collaborative Arrangements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between the Company and its collaboration partner are within the scope of other accounting literature, including ASC Topic 606, Revenue from Contracts with Customers (ASC 606). If it is concluded that some or all aspects of the arrangement represent a transaction with a customer, the Company will account for those aspects of the arrangement within the scope of ASC 606.</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ASC 808 provides guidance for the presentation and disclosure of transactions in collaborative arrangements, but it does not provide recognition or measurement guidance. Therefore, if the Company concludes a counterparty to a transaction is not a customer or otherwise not within the scope of ASC 606, the Company considers the guidance in other accounting literature as applicable or by analogy to account for such transaction. The classification of transactions under the Company’s arrangements is determined based on the nature and contractual terms of the arrangement along with the nature of the operations of the participants.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analyzes its collaboration arrangements to assess whether they are within the scope of ASC 808, to determine whether such arrangements involve joint operating activities performed by parties that are both active participants in the activities and exposed to significant risks and rewards that are dependent on the commercial success of such activities. If the Company concludes that some or all aspects of the arrangement represent a transaction with a customer, the Company accounts for those aspects of the arrangement within the scope of ASC 606.</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arrangements attributable to ASC 606, the Company recognizes revenue in a manner that depicts the transfer of control of a product or a service to a customer and reflects the amount of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The Company determines if a contract contains a lease at the inception of the contract. The Company currently has leases related to its facilities leased for office and laboratory space, which are classified as operating leases. These leases result in operating right-of-use (ROU) assets, current operating lease liabilities, and non-current operating lease liabilities in the Company’s consolidated balance sheets. The Company does not have any financing leases. Leases with a term of 12 months or less are considered short-term</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 w:name="page10"/>
    <w:bookmarkEnd w:id="9"/>
    <w:p>
      <w:pPr>
        <w:ind w:right="240"/>
        <w:spacing w:after="0" w:line="282" w:lineRule="auto"/>
        <w:rPr>
          <w:sz w:val="20"/>
          <w:szCs w:val="20"/>
          <w:color w:val="auto"/>
        </w:rPr>
      </w:pPr>
      <w:r>
        <w:rPr>
          <w:rFonts w:ascii="Times New Roman" w:cs="Times New Roman" w:eastAsia="Times New Roman" w:hAnsi="Times New Roman"/>
          <w:sz w:val="18"/>
          <w:szCs w:val="18"/>
          <w:color w:val="auto"/>
        </w:rPr>
        <w:t>and ROU assets and lease obligations are not recognized. Payments associated with short-term leases are expensed on a straight-line basis over the lease term.</w:t>
      </w:r>
    </w:p>
    <w:p>
      <w:pPr>
        <w:spacing w:after="0" w:line="54"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Lease liabilities represent an obligation to make lease payments arising from the lease and ROU assets represent the right to use the underlying asset identified in the lease for the lease term. Lease liabilities are measured at the present value of the lease payments not yet paid discounted using the discount rate for the lease established at the lease commencement date. To determine the present value, the implicit rate is used when readily determinable. For those leases where the implicit rate is not provided, the Company determines an incremental borrowing rate based on the information available at the lease commencement date in determining the present value of lease payments. ROU assets are measured as the present value of the lease payments and also include any prepaid lease payments made and any other indirect costs incurred, and exclude any lease incentives received. Lease terms may include the impact of options to extend or terminate the lease when it is reasonably certain that the Company will exercise that option. Lease expense for operating leases is recognized on a straight-line basis over the lease term. The Company aggregates all lease and non-lease components for each class of underlying assets into a single lease component.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employee stock option and restricted stock unit grants recognized over the requisite service period of the awards (usually the vesting period) on a straight-line basis. Performance-based stock units/awards represent a right to receive a certain number of shares of the Company’s common stock based on the achievement of corporate performance goals and continued employment during the vesting period. At each reporting period, and to the extent achievement of one or any of the performance conditions is probable, the Company reassesses the probability of the achievement of such corporate performance goals and any increase or decrease in stock-based compensation expense resulting from an adjustment in the estimated shares to be released is treated as a cumulative catch-up in the period of adjustment. For stock awards for which vesting is subject to both performance-based milestones and market conditions, expense is recorded over the derived service period after the point when the achievement of the performance-based milestone is probable or the performance condition has been achieved.</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stock option grants using the Black-Scholes option pricing model, with the exception of option grants for which vesting is subject to both performance-based milestones and market conditions, which are valued using a lattice-based model. The fair value of restricted stock units, including performance-based restricted stock units, is based on the closing price of the Company’s common stock as reported on the Nasdaq Global Market on the date of grant. The Company recognizes forfeitures for all awards as such forfeitures occur.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80"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 sources.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 includes unrealized gains and losses on available-for-sale securities.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common shares outstanding for the period, without consideration for common stock equivalents. The pre-funded warrants associated with the January 2021 public equity offering and the private placement concurrent with the March 2024 public equity offering (see Note 8) are considered outstanding shares in the basic earnings per share calculation given their nominal exercise price. Dilutive common stock equivalents comprise convertible preferred stock, warrants for the purchase of common stock, and common stock options and restricted stock units outstanding under the Company’s stock option plans. For all periods presented, there is no difference in the number of common shares used to calculate basic and diluted common shares outstanding due to the Company’s net loss position.</w:t>
      </w:r>
    </w:p>
    <w:p>
      <w:pPr>
        <w:spacing w:after="0" w:line="7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stockholders for the three and nine months ended September 30, 2026 and 2025 are calculated as follows (in thousands, except share and per share data):</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(32,250)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(92,059)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(103,941)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Shares used to compute net loss per share, basic and diluted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119,763,135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115,105,019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117,481,221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114,742,701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pre-funded warrants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3,893,674</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3,893,674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3,893,674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56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Weighted-average common shares outstanding used to</w:t>
            </w:r>
          </w:p>
        </w:tc>
        <w:tc>
          <w:tcPr>
            <w:tcW w:w="10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123,656,809</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118,998,693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121,374,895</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118,636,375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60" w:type="dxa"/>
            <w:vAlign w:val="bottom"/>
            <w:tcBorders>
              <w:bottom w:val="single" w:sz="8" w:color="CFF0FC"/>
            </w:tcBorders>
            <w:shd w:val="clear" w:color="auto" w:fill="CFF0FC"/>
          </w:tcPr>
          <w:p>
            <w:pPr>
              <w:ind w:left="280"/>
              <w:spacing w:after="0" w:line="194" w:lineRule="exact"/>
              <w:rPr>
                <w:sz w:val="20"/>
                <w:szCs w:val="20"/>
                <w:color w:val="auto"/>
              </w:rPr>
            </w:pPr>
            <w:r>
              <w:rPr>
                <w:rFonts w:ascii="Times New Roman" w:cs="Times New Roman" w:eastAsia="Times New Roman" w:hAnsi="Times New Roman"/>
                <w:sz w:val="18"/>
                <w:szCs w:val="18"/>
                <w:color w:val="auto"/>
              </w:rPr>
              <w:t>compute basic and diluted net loss per share</w:t>
            </w: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5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(0.27)</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(0.76)</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-299720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-281940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-299720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-281940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-281940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are excluded from the computation of diluted net loss per share for the periods presented because including them would have been anti-dilutive: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244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640" w:type="dxa"/>
            <w:vAlign w:val="bottom"/>
          </w:tcPr>
          <w:p>
            <w:pPr>
              <w:spacing w:after="0"/>
              <w:rPr>
                <w:sz w:val="17"/>
                <w:szCs w:val="17"/>
                <w:color w:val="auto"/>
              </w:rPr>
            </w:pPr>
          </w:p>
        </w:tc>
        <w:tc>
          <w:tcPr>
            <w:tcW w:w="16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13,775,430</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13,775,430</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16,123,870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12,597,399</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6,611,125</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6,647,093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36,510,425</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33,019,922</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and License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Ono Collaboration and Option Agreement</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September 14, 2018, the Company entered into a Collaboration and Option Agreement (the Ono Agreement) with Ono Pharmaceutical Co., Ltd. (Ono) for the joint development and commercialization of two off-the-shelf, iPSC-derived CAR T-cell product candidates (Candidate 1 and Candidate 2). Pursuant to the terms of the Ono Agreement, the Company received an upfront, non-refundable and non-creditable payment of $10.0 million. Additionally, the Company was entitled to receive funding for the conduct of research and nonclinical development under a joint development plan, which fees were estimated to be $20.0 million in aggregate.</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December 2020, the Company entered into a letter agreement with Ono (the Ono Letter Agreement) pursuant to which Ono delivered proprietary antigen binding domains targeting an antigen expressed on certain solid tumors for incorporation into Candidate 2 and paid the Company a milestone fee of $10.0 million for further research and nonclinical development of Candidate 2. In addition, Ono terminated all further research and nonclinical development with respect to Candidate 1, and the Company retained all rights to research, develop and commercialize Candidate 1 throughout the world without any obligation to Ono.</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June 2022, the Company entered into an amendment with Ono to the Ono Agreement (the 2022 Ono Amendment). Pursuant to the 2022 Ono Amendment, the companies agreed to designate an additional antigen expressed on certain solid tumors for research and nonclinical development, and Ono agreed to contribute proprietary antigen binding domains targeting such additional solid tumor antigen (Candidate 3). Similar to Candidate 2, the Company granted to Ono, during a specified period of time, a nonclinical option (Candidate 3 Development Option) to obtain an exclusive license under certain intellectual property rights, subject to payment of an option exercise fee to the Company by Ono, to further develop and commercialize Candidate 3 in all territories of the world, where the Company retains rights to co-develop and co-commercialize Candidate 3 in the United States and Europe under a joint arrangement with Ono pursuant to which the Company is eligible to share at least 50% of the profits and losses. The Candidate 3 Development Option represents an option with no material right.</w:t>
      </w:r>
    </w:p>
    <w:p>
      <w:pPr>
        <w:spacing w:after="0" w:line="8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November 2022, Ono exercised its option to obtain a license to develop and commercialize Candidate 2 (the Candidate 2 Development Option). The Company exercised its option (the CDCC Option) to co-develop and co-commercialize Candidate 2 in the United States and Europe. The Company and Ono are proceeding under a joint development plan for the ongoing development of Candidate 2. The costs of this joint development plan are accounted for in accordance with ASC 808, and cost sharing payments to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1" w:name="page12"/>
    <w:bookmarkEnd w:id="11"/>
    <w:p>
      <w:pPr>
        <w:ind w:right="120"/>
        <w:spacing w:after="0" w:line="266" w:lineRule="auto"/>
        <w:rPr>
          <w:sz w:val="20"/>
          <w:szCs w:val="20"/>
          <w:color w:val="auto"/>
        </w:rPr>
      </w:pPr>
      <w:r>
        <w:rPr>
          <w:rFonts w:ascii="Times New Roman" w:cs="Times New Roman" w:eastAsia="Times New Roman" w:hAnsi="Times New Roman"/>
          <w:sz w:val="18"/>
          <w:szCs w:val="18"/>
          <w:color w:val="auto"/>
        </w:rPr>
        <w:t>Company from Ono are recorded net into research and development expenses. In addition, in connection with the ongoing joint development of Candidate 2, the Company is eligible to receive additional payments upon the achievement of certain clinical, regulatory, and commercial milestones (as further described below).</w:t>
      </w:r>
    </w:p>
    <w:p>
      <w:pPr>
        <w:spacing w:after="0" w:line="68"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In 2022, 2023, 2024 and 2025, the Company entered into amendments with Ono to the Ono Agreement (the Ono Amendments). Under the Ono Amendments, aggregate estimated research and nonclinical development fees payable by Ono to the Company for Candidate 3 were increased to a total estimated $44.5 million over the course of the joint development plan.</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June 30, 2026, the performance obligations related to the research and nonclinical development of Candidate 3 have been met. The Company has received all committed funding under the nonclinical joint development plan from Ono through June 2026. The Candidate 3 Development Option expires upon the achievement of the pre-defined clinical milestone under the joint development plan.</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Ono Agreement (as amended by the Ono Amendments), for Candidate 2 and for Candidate 3 (subject to exercise by Ono of its Candidate 3 Development Option), the Company is eligible to receive additional payments upon the achievement of certain clinical, regulatory and commercial milestones (the Ono Milestones) with respect to each Candidate in an amount up to $843.0 million in aggregate, with the applicable milestone payments for the United States and Europe subject to reduction by 50% if the Company elects to co-develop and co-commercialize the Candidate in the United States and Europe as described above. In addition, in those territories where Ono has exclusive rights of commercialization, the Company is eligible to receive tiered royalties (Royalties) ranging from the mid-single digits to the low-double digits based on annual net sales by Ono for each Candidate in such territories, with the Royalties subject to certain reductions.</w:t>
      </w:r>
    </w:p>
    <w:p>
      <w:pPr>
        <w:spacing w:after="0" w:line="8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Ono Agreement will terminate with respect to a Candidate if Ono does not exercise its development option for the applicable candidate within the option period, or in its entirety if Ono does not exercise any of its development options for the Candidates within their respective option periods. In addition, either party may terminate the Ono Agreement in the event of breach, insolvency or patent challenges by the other party; provided, that Ono may terminate the Ono Agreement in its sole discretion (x) on a Candidate-by-Candidate basis at any time after the second anniversary of the effective date of the Ono Agreement or (y) on a Candidate-by-Candidate or country-by-country basis at any time after the expiration of the development option period, subject to certain limitations. The Ono Agreement will expire on a Candidate-by-Candidate and country-by-country basis upon the expiration of the applicable royalty term, or in its entirety upon the expiration of all applicable payment obligations under the agreement.</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Company determined that the Ono Agreement, Ono Letter Agreement, and Ono Amendments (collectively, the Ono Arrangement) were within the scope of ASC 808 and applicable to such guidance. The Company concluded that certain units of account, specifically the grant of a research license to certain intellectual property and the performance of research and nonclinical development, within the Ono Arrangement represented a customer relationship and applied relevant guidance from ASC 606 to evaluate the appropriate accounting for those units of account. In accordance with this guidance, the Company identified its promised goods and services, including its grant of a research license to Ono to certain of its intellectual property subject to certain conditions, its conduct of research and nonclinical development services, and its participation in a joint steering committee. The Company determined that its grant of a research license to Ono to certain of its intellectual property was not distinct from its conduct of research and nonclinical development services and participation in a joint steering committee. Accordingly, the Company determined that the research license, the research and nonclinical development services, and the participation in a joint steering committee during the development option period, should be accounted for as one combined performance obligation, and that the combined performance obligation is transferred over the expected term of the conduct of the research and nonclinical development services, which was completed as of June 30, 2026. The Company also determined that, subject to the guidance of ASC 606, the license to develop and commercialize Candidate 2 upon exercise of the Candidate 2 Development Option was distinct and separable from the development and commercialization activities, which are accounted for under ASC 808. The termination of the Ono Agreement with respect to Candidate 1 did not impact this assessment.</w:t>
      </w:r>
    </w:p>
    <w:p>
      <w:pPr>
        <w:spacing w:after="0" w:line="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Company determined that the amended transaction price for research and nonclinical development under the Ono Arrangement equaled $54.5 million, consisting of the upfront, non-refundable and non-creditable payment of $10.0 million and the aggregate estimated research and nonclinical development fees of $44.5 million. Such fees were recognized as revenue as the research and nonclinical development services were delivered, all of which research and nonclinical development services have been completed as of June 30, 2026.</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recognized no collaboration revenue under the Ono Arrangement during the three months ended September 30, 2026, and recognized $3.4 million during the nine months ended September 30, 2026. During the three and nine months ended September 30, 2025, the Company recognized collaboration revenue of $1.7 million and $5.3 million, respectively. During the three and nine months ended September 30, 2026 and 2025, all of such revenue was associated with research and nonclinical development services.</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contra-research and development expense of $0.5 million and $2.4 million associated with the joint development of Candidate 2 under the Ono Arrangement for the three and nine months ended September 30, 2026, respectively. During the three and nine months ended September 30, 2025, the Company recognized contra-research and development expense of $1.3 million and $4.5 million,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Memorial Sloan Kettering Cancer Center License Agreement</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May 15, 2018, the Company entered into an Amended and Restated Exclusive License Agreement (the Amended MSKCC License) with Memorial Sloan Kettering Cancer Center (MSKCC). The Amended MSKCC License amends and restates the Exclusive License Agreement entered into between the Company and MSKCC on August 19, 2016 (the Original MSKCC License), pursuant to which the Company entered into an exclusive license agreement with MSKCC for rights relating to compositions and methods covering iPSC-derived cellular immunotherapy, including T-cells and NK-cells derived from iPSCs engineered with chimeric antigen receptors (CARs).</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Pursuant to the Amended MSKCC License, MSKCC granted to the Company additional licenses to certain patents and patent applications relating to new CAR constructs and off-the-shelf CAR T-cells, including the use of clustered regularly interspaced short palindromic repeat (CRISPR) and other innovative technologies for their production, in each case to research, develop, and commercialize licensed products in the field of all human therapeutic uses worldwide. The Company has the right to grant sublicenses to certain licensed rights in accordance with the terms of the Amended MSKCC License, in which case it is obligated to pay MSKCC a percentage of certain sublicense income received by the Company.</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is obligated to pay MSKCC an annual license maintenance fee during the term of the agreement, milestone payments upon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achievement of specified clinical, regulatory and commercial milestones for licensed products as well as royalty payments on net sales of licensed products.</w:t>
      </w:r>
    </w:p>
    <w:p>
      <w:pPr>
        <w:spacing w:after="0" w:line="9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event a licensed product achieves a specified clinical milestone, MSKCC is then eligible to receive certain milestone payments totaling up to $75.0 million based on the price of the Company’s common stock, where the amount of such payments owed to MSKCC is contingent upon certain increases in the price of the Company’s common stock following the date of achievement of such clinical milestone. These payments are based on common stock price multiples, with the numerator being the fair value of the ten-trading day trailing average closing price of the Company’s common stock and the denominator being the ten-trading day trailing average closing price of the Company’s common stock as of the effective date of the Amended MSKCC License, adjusted for any stock splits, cash dividends, stock dividends, other distributions, combinations, recapitalizations, or similar events. Under the terms of the Amended MSKCC License, upon a change of control of the Company, in certain circumstances, the Company may be required to pay a portion of these payments to MSKCC based on the price of the Company’s common stock in connection with such change of control.</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common stock multiples and the stock price appreciation milestone payments under the terms of the agreement:</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multiple</w:t>
            </w:r>
          </w:p>
        </w:tc>
        <w:tc>
          <w:tcPr>
            <w:tcW w:w="9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5.0x</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10.0x</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15.0x</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Ten-trading day trailing average common stock price</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50.18</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100.36</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 appreciation milestone payment (in millions)</w:t>
            </w:r>
          </w:p>
        </w:tc>
        <w:tc>
          <w:tcPr>
            <w:tcW w:w="9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4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r>
    </w:tbl>
    <w:p>
      <w:pPr>
        <w:spacing w:after="0" w:line="19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July 2021, the Company achieved the specified clinical milestone for a licensed product under the Amended MSKCC License and the Company’s ten-trading day trailing average common stock price exceeded the first, pre-specified threshold. As a result, the Company remitted the first milestone payment of $20.0 million to MSKCC during the year ended December 31, 2021.</w:t>
      </w:r>
    </w:p>
    <w:p>
      <w:pPr>
        <w:spacing w:after="0" w:line="68"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To determine the estimated fair value of the remaining stock price appreciation milestones, the Company uses a Monte Carlo simulation methodology which models future Company common stock prices based on the current stock price and several key variables.</w:t>
      </w:r>
    </w:p>
    <w:p>
      <w:pPr>
        <w:spacing w:after="0" w:line="54" w:lineRule="exact"/>
        <w:rPr>
          <w:sz w:val="20"/>
          <w:szCs w:val="20"/>
          <w:color w:val="auto"/>
        </w:rPr>
      </w:pPr>
    </w:p>
    <w:p>
      <w:pPr>
        <w:jc w:val="both"/>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key inputs to the Monte Carlo simulation to determine the fair value of the stock price appreciation milestones include the Company’s stock price as of the measurement date; the estimated term which is based in part on the last valid patent claim date; the expected volatility of the Company’s common stock, estimated using the Company’s historical common stock volatility as of the remeasurement date; and the risk-free rate based on the U.S. Treasury yield for the estimated term determined. Fair value measurements are highly sensitive to changes in these inputs and significant changes could result in a significantly higher or lower fair value and resulting expense or gain.</w:t>
      </w:r>
    </w:p>
    <w:p>
      <w:pPr>
        <w:spacing w:after="0" w:line="7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At each balance sheet date, the Company remeasures the fair value of the stock price appreciation milestones, with changes in fair value recognized as a component of other income (expense) in the unaudited condensed consolidated statements of operations and comprehensive loss. Amounts are included in current or non-current liabilities based on the estimated timeline associated with the individual potential payments. During the three and nine months ended September 30, 2026, the Company recorded $0.2 million of income and $0.5 million of expense, respectively, associated with the change in fair value of the stock price appreciation milestones. During the three and nine months ended September 30, 2025, the Company recorded $0.1 million of expense and $0.1 million of income, respectively, associated with the change in fair value of the stock price appreciation milestones. As of September 30, 2026 and December 31, 2025, the Company recorded a liability of $0.8 million and $0.3 million, respectively, associated with the stock price appreciation milestones for the Amended MSKCC License.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ind w:left="520" w:right="6660" w:hanging="512"/>
        <w:spacing w:after="0" w:line="377" w:lineRule="auto"/>
        <w:tabs>
          <w:tab w:leader="none" w:pos="37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California Institute for Regenerative Medicine Awards </w:t>
      </w:r>
      <w:r>
        <w:rPr>
          <w:rFonts w:ascii="Times New Roman" w:cs="Times New Roman" w:eastAsia="Times New Roman" w:hAnsi="Times New Roman"/>
          <w:sz w:val="18"/>
          <w:szCs w:val="18"/>
          <w:i w:val="1"/>
          <w:iCs w:val="1"/>
          <w:color w:val="auto"/>
        </w:rPr>
        <w:t>FT819-102 CIRM Award</w:t>
      </w:r>
    </w:p>
    <w:p>
      <w:pPr>
        <w:spacing w:after="0" w:line="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February 2024, the Company was awarded $7.9 million from the California Institute for Regenerative Medicine (CIRM) to support the conduct of the Company’s Phase 1 study of FT819 in patients with systemic lupus erythematosus and, in April 2024, the Company executed an award agreement with CIRM (the FT819-102 CIRM Award). Pursuant to the terms of the FT819-102 CIRM Award, the Company is eligible to receive five disbursements in varying amounts from CIRM, with one disbursement receivable upon the execution of the award and four disbursements receivable based upon the completion of certain development milestones throughout the period of the award, which is estimated to be from April 1, 2024 to March 31, 2028 (the Award Period). Under the FT819-102 CIRM Award, the Company has certain obligations of co-funding and is required to provide CIRM progress and financial update reports throughout the Award Period.</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Following the conclusion of the Award Period, the Company, in its sole discretion, has the option to treat the FT819-102 CIRM Award either as a loan or as a grant. If the Company does not elect to treat the FT819-102 CIRM Award as a loan within 10 years of the award date, the award will be considered a grant and the Company will be obligated to pay CIRM, on a quarterly basis, a low single-digit royalty on commercial sales of FT819-102 until such aggregate royalty payments equal nine times the total amount awarded to the Company under the FT819-102 CIRM Award.</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Since the Company may, at its election, repay some or all of the FT819-102 CIRM Award, the Company accounts for the award as a liability until the time of election. As of September 30, 2026, the Company has received four disbursements under the FT819-102 CIRM Award in the aggregate amount of $7.9 million, which amount is recorded as a liability on the accompanying consolidated balance sheets. As of September 30, 2026, the total amount received is recorded as a CIRM liability in the consolidated balance sheets, with $6.3 million classified as current and the remaining $1.6 million as non-current, based on the portion expected to be payable within twelve months from the balance sheet date.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FT836 CIRM Award</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January 2025, the Company was awarded $4.0 million from CIRM to support the conduct of nonclinical and Investigational New Drug (IND)-enabling activities for FT836, and in May 2025, the Company executed an award agreement with CIRM (the FT836 CIRM Award). Pursuant to the terms of the FT836 CIRM Award, the Company is eligible to receive four disbursements in varying amounts from CIRM, with one disbursement receivable upon the execution of the award and three disbursements receivable based upon the completion of certain development milestones throughout the period of the award, which lasted from May 1, 2025 to October 31, 2025 (the FT836 Award Period). Under the FT836 CIRM Award, the Company has certain obligations of co-funding and is required to provide CIRM progress and financial update reports throughout the FT836 Award Period.</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in its sole discretion, has the option to treat the FT836 CIRM Award either as a loan or as a grant. If the Company does not elect to treat the FT836 CIRM Award as a loan within 10 years of the award date, the award will be considered a grant and the Company will be obligated to pay CIRM, on a quarterly basis, a low single-digit royalty on commercial sales of FT836 until such aggregate royalty payments equal nine times the total amount awarded to the Company under the FT836 CIRM Award.</w:t>
      </w:r>
    </w:p>
    <w:p>
      <w:pPr>
        <w:spacing w:after="0" w:line="72"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Since the Company may, at its election, repay some or all of the FT836 CIRM Award, the Company accounts for the award as a liability until the time of election. As of September 30, 2026, the Company has received four disbursements under the FT836 CIRM Award in the aggregate amount of $4.0 million. As of September 30, 2026, the total amount received is recorded as a CIRM liability in the consolidated balance sheets, with $3.2 million classified as current and the remaining $0.8 million as non-current, based on the portion expected to be payable within twelve months from the balance sheet date.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FT819-201 CIRM Award</w:t>
      </w:r>
    </w:p>
    <w:p>
      <w:pPr>
        <w:spacing w:after="0" w:line="119"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In September 2026, the Company was awarded a $15.0 million grant from CIRM to support the clinical development of RECLAIM-LN, the Company's Phase 2 trial of FT819 off-the-shelf CAR T cell in patients with refractory moderate-to-severe Systemic Lupus Erythematosus (SLE) with Lupus Nephritis (LN). As of the date of this Quarterly Report, the award agreement has not been executed, and no funding has been recognized in connection with the award.</w:t>
      </w:r>
    </w:p>
    <w:p>
      <w:pPr>
        <w:spacing w:after="0" w:line="284"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invests portions of excess cash in United States treasuries, commercial paper, non-U.S. government securities, municipal securities, and corporate debt securities with maturities ranging from three to thirty-six months from the purchase date. These investments are accounted for as available-for-sale securities and are classified as short-term and long-term investments in the accompanying consolidated balance sheets based on each security’s contractual maturity date. There were no significant realized losses on available-for-sale securities during the three and nine months ended September 30, 2026. As of September 30, 2026, the unrealized losses are related to market interest rate changes and are not attributed to changes in credit. There are no securities which have been in an unrealized loss position for more than twelve months. As of September 30, 2026, the Company did not intend to sell the investments in an unrealized loss position and it was unlikely that the Company will be required to sell the investments before the recovery of their amortized cost basis.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investments accounted for as available-for-sale securities as of September 30, 2026 and December 31, 2025 (in thousands, except for maturity in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5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5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1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Classified as current assets: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Money market fund</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19,353</w:t>
            </w:r>
          </w:p>
        </w:tc>
        <w:tc>
          <w:tcPr>
            <w:tcW w:w="36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19,353</w:t>
            </w:r>
          </w:p>
        </w:tc>
        <w:tc>
          <w:tcPr>
            <w:tcW w:w="100" w:type="dxa"/>
            <w:vAlign w:val="bottom"/>
            <w:shd w:val="clear" w:color="auto" w:fill="CFF0FC"/>
          </w:tcPr>
          <w:p>
            <w:pPr>
              <w:spacing w:after="0"/>
              <w:rPr>
                <w:sz w:val="12"/>
                <w:szCs w:val="12"/>
                <w:color w:val="auto"/>
              </w:rPr>
            </w:pPr>
          </w:p>
        </w:tc>
      </w:tr>
      <w:tr>
        <w:trPr>
          <w:trHeight w:val="149"/>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U.S. Treasury debt securities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27,351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27,320</w:t>
            </w:r>
          </w:p>
        </w:tc>
        <w:tc>
          <w:tcPr>
            <w:tcW w:w="100" w:type="dxa"/>
            <w:vAlign w:val="bottom"/>
          </w:tcPr>
          <w:p>
            <w:pPr>
              <w:spacing w:after="0"/>
              <w:rPr>
                <w:sz w:val="12"/>
                <w:szCs w:val="12"/>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Non-US government securities</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3,893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3,889</w:t>
            </w:r>
          </w:p>
        </w:tc>
        <w:tc>
          <w:tcPr>
            <w:tcW w:w="100" w:type="dxa"/>
            <w:vAlign w:val="bottom"/>
            <w:shd w:val="clear" w:color="auto" w:fill="CFF0FC"/>
          </w:tcPr>
          <w:p>
            <w:pPr>
              <w:spacing w:after="0"/>
              <w:rPr>
                <w:sz w:val="12"/>
                <w:szCs w:val="12"/>
                <w:color w:val="auto"/>
              </w:rPr>
            </w:pPr>
          </w:p>
        </w:tc>
      </w:tr>
      <w:tr>
        <w:trPr>
          <w:trHeight w:val="148"/>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Corporate debt securities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30,962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30,914</w:t>
            </w:r>
          </w:p>
        </w:tc>
        <w:tc>
          <w:tcPr>
            <w:tcW w:w="100" w:type="dxa"/>
            <w:vAlign w:val="bottom"/>
          </w:tcPr>
          <w:p>
            <w:pPr>
              <w:spacing w:after="0"/>
              <w:rPr>
                <w:sz w:val="12"/>
                <w:szCs w:val="12"/>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paper</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55,534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55,462</w:t>
            </w:r>
          </w:p>
        </w:tc>
        <w:tc>
          <w:tcPr>
            <w:tcW w:w="100" w:type="dxa"/>
            <w:vAlign w:val="bottom"/>
            <w:shd w:val="clear" w:color="auto" w:fill="CFF0FC"/>
          </w:tcPr>
          <w:p>
            <w:pPr>
              <w:spacing w:after="0"/>
              <w:rPr>
                <w:sz w:val="12"/>
                <w:szCs w:val="12"/>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137,093</w:t>
            </w:r>
          </w:p>
        </w:tc>
        <w:tc>
          <w:tcPr>
            <w:tcW w:w="120" w:type="dxa"/>
            <w:vAlign w:val="bottom"/>
          </w:tcPr>
          <w:p>
            <w:pPr>
              <w:spacing w:after="0"/>
              <w:rPr>
                <w:sz w:val="12"/>
                <w:szCs w:val="12"/>
                <w:color w:val="auto"/>
              </w:rPr>
            </w:pP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(155)</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136,938</w:t>
            </w:r>
          </w:p>
        </w:tc>
        <w:tc>
          <w:tcPr>
            <w:tcW w:w="100" w:type="dxa"/>
            <w:vAlign w:val="bottom"/>
          </w:tcPr>
          <w:p>
            <w:pPr>
              <w:spacing w:after="0"/>
              <w:rPr>
                <w:sz w:val="12"/>
                <w:szCs w:val="12"/>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1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Classified as current assets:</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Money market fund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31,693</w:t>
            </w:r>
          </w:p>
        </w:tc>
        <w:tc>
          <w:tcPr>
            <w:tcW w:w="3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31,693</w:t>
            </w:r>
          </w:p>
        </w:tc>
        <w:tc>
          <w:tcPr>
            <w:tcW w:w="100" w:type="dxa"/>
            <w:vAlign w:val="bottom"/>
          </w:tcPr>
          <w:p>
            <w:pPr>
              <w:spacing w:after="0"/>
              <w:rPr>
                <w:sz w:val="12"/>
                <w:szCs w:val="12"/>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U.S. Treasury debt securities</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33,740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33,779</w:t>
            </w:r>
          </w:p>
        </w:tc>
        <w:tc>
          <w:tcPr>
            <w:tcW w:w="100" w:type="dxa"/>
            <w:vAlign w:val="bottom"/>
            <w:shd w:val="clear" w:color="auto" w:fill="CFF0FC"/>
          </w:tcPr>
          <w:p>
            <w:pPr>
              <w:spacing w:after="0"/>
              <w:rPr>
                <w:sz w:val="12"/>
                <w:szCs w:val="12"/>
                <w:color w:val="auto"/>
              </w:rPr>
            </w:pPr>
          </w:p>
        </w:tc>
      </w:tr>
      <w:tr>
        <w:trPr>
          <w:trHeight w:val="148"/>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Non-US government securities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3,247</w:t>
            </w:r>
          </w:p>
        </w:tc>
        <w:tc>
          <w:tcPr>
            <w:tcW w:w="100" w:type="dxa"/>
            <w:vAlign w:val="bottom"/>
          </w:tcPr>
          <w:p>
            <w:pPr>
              <w:spacing w:after="0"/>
              <w:rPr>
                <w:sz w:val="12"/>
                <w:szCs w:val="12"/>
                <w:color w:val="auto"/>
              </w:rPr>
            </w:pPr>
          </w:p>
        </w:tc>
      </w:tr>
      <w:tr>
        <w:trPr>
          <w:trHeight w:val="149"/>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Corporate debt securities</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86,167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86,238</w:t>
            </w:r>
          </w:p>
        </w:tc>
        <w:tc>
          <w:tcPr>
            <w:tcW w:w="100" w:type="dxa"/>
            <w:vAlign w:val="bottom"/>
            <w:shd w:val="clear" w:color="auto" w:fill="CFF0FC"/>
          </w:tcPr>
          <w:p>
            <w:pPr>
              <w:spacing w:after="0"/>
              <w:rPr>
                <w:sz w:val="12"/>
                <w:szCs w:val="12"/>
                <w:color w:val="auto"/>
              </w:rPr>
            </w:pPr>
          </w:p>
        </w:tc>
      </w:tr>
      <w:tr>
        <w:trPr>
          <w:trHeight w:val="148"/>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paper</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41,941</w:t>
            </w:r>
          </w:p>
        </w:tc>
        <w:tc>
          <w:tcPr>
            <w:tcW w:w="100" w:type="dxa"/>
            <w:vAlign w:val="bottom"/>
          </w:tcPr>
          <w:p>
            <w:pPr>
              <w:spacing w:after="0"/>
              <w:rPr>
                <w:sz w:val="12"/>
                <w:szCs w:val="12"/>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516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196,786</w:t>
            </w:r>
          </w:p>
        </w:tc>
        <w:tc>
          <w:tcPr>
            <w:tcW w:w="36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w:t>
            </w:r>
          </w:p>
        </w:tc>
        <w:tc>
          <w:tcPr>
            <w:tcW w:w="340" w:type="dxa"/>
            <w:vAlign w:val="bottom"/>
            <w:gridSpan w:val="3"/>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196,898</w:t>
            </w:r>
          </w:p>
        </w:tc>
        <w:tc>
          <w:tcPr>
            <w:tcW w:w="100" w:type="dxa"/>
            <w:vAlign w:val="bottom"/>
            <w:shd w:val="clear" w:color="auto" w:fill="CFF0FC"/>
          </w:tcPr>
          <w:p>
            <w:pPr>
              <w:spacing w:after="0"/>
              <w:rPr>
                <w:sz w:val="15"/>
                <w:szCs w:val="15"/>
                <w:color w:val="auto"/>
              </w:rPr>
            </w:pPr>
          </w:p>
        </w:tc>
      </w:tr>
      <w:tr>
        <w:trPr>
          <w:trHeight w:val="129"/>
        </w:trPr>
        <w:tc>
          <w:tcPr>
            <w:tcW w:w="51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Classified as non-current assets:</w:t>
            </w:r>
          </w:p>
        </w:tc>
        <w:tc>
          <w:tcPr>
            <w:tcW w:w="1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Corporate debt securities</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Greater than 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1,468</w:t>
            </w:r>
          </w:p>
        </w:tc>
        <w:tc>
          <w:tcPr>
            <w:tcW w:w="36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4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1,472</w:t>
            </w:r>
          </w:p>
        </w:tc>
        <w:tc>
          <w:tcPr>
            <w:tcW w:w="100" w:type="dxa"/>
            <w:vAlign w:val="bottom"/>
            <w:shd w:val="clear" w:color="auto" w:fill="CFF0FC"/>
          </w:tcPr>
          <w:p>
            <w:pPr>
              <w:spacing w:after="0"/>
              <w:rPr>
                <w:sz w:val="12"/>
                <w:szCs w:val="12"/>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long-term investments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1,468</w:t>
            </w:r>
          </w:p>
        </w:tc>
        <w:tc>
          <w:tcPr>
            <w:tcW w:w="36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4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1,472</w:t>
            </w:r>
          </w:p>
        </w:tc>
        <w:tc>
          <w:tcPr>
            <w:tcW w:w="100" w:type="dxa"/>
            <w:vAlign w:val="bottom"/>
          </w:tcPr>
          <w:p>
            <w:pPr>
              <w:spacing w:after="0"/>
              <w:rPr>
                <w:sz w:val="12"/>
                <w:szCs w:val="12"/>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-1328420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-1328420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-1328420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-342265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-325120</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-342265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-325120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-342265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-325120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-128270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-128270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-128270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$41.7 million and $39.9 million, respectively, of money market funds classified as cash and cash equivalents on the balance sheets.</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$0.4 million and $0.7 million, respectively, of accrued interest on investments recorded in prepaid expenses and other assets on the unaudited condensed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presents the Company’s financial assets and liabilities measured at fair value on a recurring basis as of September 30, 2026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55,462</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financial assets measured at fair value on a recurring basis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90,265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financial liabilities measured at fair value on a recurring basis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87,710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87,710</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198,370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132,898</w:t>
            </w:r>
          </w:p>
        </w:tc>
        <w:tc>
          <w:tcPr>
            <w:tcW w:w="2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financial liabilities measured at fair value on a recurring basis</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-2605405</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-2605405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-2605405</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-2605405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-2022475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-2022475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-2022475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-2022475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-607695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-591185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-607695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-591185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-607695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-591185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-607695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-591185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Level 1 assets consisted of money market funds and U.S. Treasury securities measured at fair value based on quoted prices in active markets as provided by the Company’s investment managers.</w:t>
      </w:r>
    </w:p>
    <w:p>
      <w:pPr>
        <w:spacing w:after="0" w:line="162"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Level 2 assets consisted of corporate debt securities, commercial paper, municipal securities, and non-U.S. government securities measured at fair value using standard observable inputs, including reported trades, broker/dealer quotes, and bids and/or offers. The Company validates the quoted market prices provided by its investment managers by comparing the investment managers’ assessment of the fair values of the Company’s investment portfolio balance against the fair values of the Company’s investment portfolio balance obtained from an independent source.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Level 3 assets held by the Company as of September 30, 2026.</w:t>
      </w:r>
    </w:p>
    <w:p>
      <w:pPr>
        <w:spacing w:after="0" w:line="2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Level 3 liabilities consisted of stock price appreciation milestones associated with the Amended MSKCC License as described in detail in Note 2.</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16" w:name="page17"/>
    <w:bookmarkEnd w:id="16"/>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fair value of the Company’s Level 3 stock price appreciation milestones liability for the nine months ended September 30, 2026 (in thousands):</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FF0FC"/>
          </w:tcPr>
          <w:p>
            <w:pPr>
              <w:spacing w:after="0"/>
              <w:rPr>
                <w:sz w:val="18"/>
                <w:szCs w:val="18"/>
                <w:color w:val="auto"/>
              </w:rPr>
            </w:pPr>
          </w:p>
        </w:tc>
      </w:tr>
      <w:tr>
        <w:trPr>
          <w:trHeight w:val="210"/>
        </w:trPr>
        <w:tc>
          <w:tcPr>
            <w:tcW w:w="62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200" w:type="dxa"/>
            <w:vAlign w:val="bottom"/>
            <w:tcBorders>
              <w:top w:val="single" w:sz="8" w:color="CFF0FC"/>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top w:val="single" w:sz="8" w:color="CFF0FC"/>
            </w:tcBorders>
          </w:tcPr>
          <w:p>
            <w:pPr>
              <w:spacing w:after="0"/>
              <w:rPr>
                <w:sz w:val="18"/>
                <w:szCs w:val="18"/>
                <w:color w:val="auto"/>
              </w:rPr>
            </w:pPr>
          </w:p>
        </w:tc>
      </w:t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FF0FC"/>
          </w:tcPr>
          <w:p>
            <w:pPr>
              <w:spacing w:after="0"/>
              <w:rPr>
                <w:sz w:val="18"/>
                <w:szCs w:val="18"/>
                <w:color w:val="auto"/>
              </w:rPr>
            </w:pPr>
          </w:p>
        </w:tc>
      </w:tr>
      <w:tr>
        <w:trPr>
          <w:trHeight w:val="20"/>
        </w:trPr>
        <w:tc>
          <w:tcPr>
            <w:tcW w:w="6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6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FF0FC"/>
          </w:tcPr>
          <w:p>
            <w:pPr>
              <w:spacing w:after="0"/>
              <w:rPr>
                <w:sz w:val="18"/>
                <w:szCs w:val="18"/>
                <w:color w:val="auto"/>
              </w:rPr>
            </w:pPr>
          </w:p>
        </w:tc>
      </w:tr>
      <w:tr>
        <w:trPr>
          <w:trHeight w:val="20"/>
        </w:trPr>
        <w:tc>
          <w:tcPr>
            <w:tcW w:w="6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-591185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-299720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fair value of the Company’s Level 3 stock price appreciation milestones liability for the three and nine months ended September 30, 2025 (in thousands):</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6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FF0FC"/>
          </w:tcPr>
          <w:p>
            <w:pPr>
              <w:spacing w:after="0"/>
              <w:rPr>
                <w:sz w:val="18"/>
                <w:szCs w:val="18"/>
                <w:color w:val="auto"/>
              </w:rPr>
            </w:pPr>
          </w:p>
        </w:tc>
      </w:tr>
      <w:tr>
        <w:trPr>
          <w:trHeight w:val="209"/>
        </w:trPr>
        <w:tc>
          <w:tcPr>
            <w:tcW w:w="62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200" w:type="dxa"/>
            <w:vAlign w:val="bottom"/>
            <w:tcBorders>
              <w:top w:val="single" w:sz="8" w:color="CFF0FC"/>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FF0FC"/>
            </w:tcBorders>
          </w:tcPr>
          <w:p>
            <w:pPr>
              <w:spacing w:after="0"/>
              <w:rPr>
                <w:sz w:val="18"/>
                <w:szCs w:val="18"/>
                <w:color w:val="auto"/>
              </w:rPr>
            </w:pP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18"/>
                <w:szCs w:val="18"/>
                <w:color w:val="auto"/>
              </w:rPr>
            </w:pPr>
          </w:p>
        </w:tc>
      </w:tr>
      <w:tr>
        <w:trPr>
          <w:trHeight w:val="209"/>
        </w:trPr>
        <w:tc>
          <w:tcPr>
            <w:tcW w:w="62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200" w:type="dxa"/>
            <w:vAlign w:val="bottom"/>
            <w:tcBorders>
              <w:top w:val="single" w:sz="8" w:color="CFF0FC"/>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FF0FC"/>
            </w:tcBorders>
          </w:tcPr>
          <w:p>
            <w:pPr>
              <w:spacing w:after="0"/>
              <w:rPr>
                <w:sz w:val="18"/>
                <w:szCs w:val="18"/>
                <w:color w:val="auto"/>
              </w:rPr>
            </w:pPr>
          </w:p>
        </w:tc>
      </w:tr>
      <w:tr>
        <w:trPr>
          <w:trHeight w:val="22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FF0FC"/>
          </w:tcPr>
          <w:p>
            <w:pPr>
              <w:spacing w:after="0"/>
              <w:rPr>
                <w:sz w:val="19"/>
                <w:szCs w:val="19"/>
                <w:color w:val="auto"/>
              </w:rPr>
            </w:pPr>
          </w:p>
        </w:tc>
      </w:tr>
      <w:tr>
        <w:trPr>
          <w:trHeight w:val="20"/>
        </w:trPr>
        <w:tc>
          <w:tcPr>
            <w:tcW w:w="6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-607695</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-316230</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9380" w:firstLine="8"/>
        <w:spacing w:after="0" w:line="378" w:lineRule="auto"/>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Accrued Expenses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accrued expenses consist of the following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other employee benefits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8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related costs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80" w:type="dxa"/>
            <w:vAlign w:val="bottom"/>
          </w:tcPr>
          <w:p>
            <w:pPr>
              <w:spacing w:after="0"/>
              <w:rPr>
                <w:sz w:val="18"/>
                <w:szCs w:val="18"/>
                <w:color w:val="auto"/>
              </w:rPr>
            </w:pPr>
          </w:p>
        </w:tc>
      </w:tr>
      <w:tr>
        <w:trPr>
          <w:trHeight w:val="216"/>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8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-170815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lease agreements for office, laboratory and manufacturing spaces that are classified as operating leases on the consolidated balance sheets. These leases have original terms varying from six to approximately sixteen years, with renewal options of up to ten years, as well as early termination options. Extension and termination options are included in the total lease term when the Company is reasonably certain to exercise them. The leases are subject to additional variable charges, including common area maintenance, property taxes, property insurance and other variable costs. Given the variable nature of such costs, they are recognized as expense as incurred. Additionally, some of the Company’s leases are subject to certain fixed fees which the Company has determined to be non-lease components. The Company has elected to combine and account for lease and non-lease components as a single-lease component for purposes of determining the total future lease payments.</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future undiscounted minimum contractual payments under the Company’s operating leases were $111.0 million, which will be paid over a remaining weighted-average lease term of 9.5 years. The weighted-average discount rate for the operating lease liabilities was 8.5%, which was the Company’s incremental borrowing rate at lease commencement, as the discount rates implicit in the leases could not be readily determined.</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Future undiscounted minimum lease payments under the Company’s operating leases as of September 30, 2026 are as follows (in thousands):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17" w:name="page18"/>
    <w:bookmarkEnd w:id="17"/>
    <w:tbl>
      <w:tblPr>
        <w:tblLayout w:type="fixed"/>
        <w:tblInd w:w="11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5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Lease Payments</w:t>
            </w:r>
          </w:p>
        </w:tc>
        <w:tc>
          <w:tcPr>
            <w:tcW w:w="100" w:type="dxa"/>
            <w:vAlign w:val="bottom"/>
          </w:tcPr>
          <w:p>
            <w:pPr>
              <w:spacing w:after="0"/>
              <w:rPr>
                <w:sz w:val="15"/>
                <w:szCs w:val="15"/>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2026</w:t>
            </w:r>
          </w:p>
        </w:tc>
        <w:tc>
          <w:tcPr>
            <w:tcW w:w="2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10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111,045</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(36,552)</w:t>
            </w:r>
          </w:p>
        </w:tc>
      </w:tr>
      <w:tr>
        <w:trPr>
          <w:trHeight w:val="20"/>
        </w:trPr>
        <w:tc>
          <w:tcPr>
            <w:tcW w:w="500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liability</w:t>
            </w:r>
          </w:p>
        </w:tc>
        <w:tc>
          <w:tcPr>
            <w:tcW w:w="2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-439420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-156845</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660" w:firstLine="8"/>
        <w:spacing w:after="0" w:line="377" w:lineRule="auto"/>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 and Stockholders’ Equity Convertible Preferred Stock</w:t>
      </w:r>
    </w:p>
    <w:p>
      <w:pPr>
        <w:spacing w:after="0" w:line="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November 2016, the Company completed a private placement of stock in which investors, including investors affiliated with the directors and officers of the Company, purchased convertible preferred stock and common stock of the Company (the November 2016 Placement). The Company issued 2,819,549 shares of Class A Convertible Preferred Stock, $0.001 par value per share (the Class A Preferred), at $13.30 per share, each of which is convertible into five shares of common stock upon certain conditions defined in the Certificate of Designation of Preferences, Rights and Limitations of the Class A Preferred filed with the Delaware Secretary of State on November 22, 2016 (the CoD). The Class A Preferred were purchased exclusively by entities affiliated with Redmile Group, LLC (collectively, Redmile). The terms of the CoD prohibited Redmile from converting the Class A Preferred into shares of the Company’s common stock if, as a result of conversion, Redmile, together with its affiliates, would own more than 9.99% of the Company’s common stock then issued and outstanding (the Redmile Percentage Limitation), which percentage could change at Redmile’s election upon 61 days’ notice to the Company to (i) any other number less than or equal to 19.99% or (ii) subject to approval of the Company’s stockholders to the extent required in accordance with the Nasdaq Global Market rules, any number in excess of 19.99%. On May 2, 2017, the Company’s stockholders approved the issuance of up to an aggregate of 14,097,745 shares of common stock upon the conversion of the outstanding shares of Class A Preferred. As a result, Redmile has the right to increase the Redmile Percentage Limitation to any percentage in excess of 19.99% at its election. The Company also issued 7,236,837 shares of common stock at $2.66 per share as part of the November 2016 Placement. In April 2023, the Company filed with the office of the Secretary of State of the State of Delaware a Certificate of Amendment to Certificate of Designation of Preferences, Rights and Limitations of Class A Convertible Preferred Stock which amends the definition of Beneficial Ownership Limitation to be 14.99% of the number of shares of the Company’s common stock outstanding immediately after giving effect to the issuance of shares of common stock pursuant to a Notice of Conversion. In April 2023, 33,441 shares of Class A Preferred were converted into 167,205 shares of the Company’s common stock. In December 2024, 6,022 shares of the Class A Preferred were converted into 30,110 shares of the Company’s common stock. In July 2025, Redmile provided the Company with notice of its intent to increase the Redmile Percentage Limitation from 9.99% to 14.99%, which became effective August 31, 2025.</w:t>
      </w:r>
    </w:p>
    <w:p>
      <w:pPr>
        <w:spacing w:after="0" w:line="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Class A Preferred are non-voting shares and are convertible into five shares of the Company’s common stock at a conversion price of $2.66 per share, which was the fair value of the Company’s common stock on the date of issuance. Holders of the Class A Preferred have the same dividend rights as holders of the Company’s common stock. Additionally, the liquidation preferences of the Class A Preferred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 holders of the Company’s common stock and holders of the Class A Preferred, pro rata based on the number of shares held by each such holder (treated for this purpose as if the Class A Preferred had been converted to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January 2021, in conjunction with a public offering, the Company issued pre-funded warrants, in lieu of common stock to certain investors, to purchase 257,310 shares of the Company’s common stock (the 2021 Pre-Funded Warrants). The purchase price for the 2021 Pre-Funded Warrants was $85.499 per pre-funded warrant, which equals the per share public offering price for the shares of common stock less the $0.001 exercise price for each such pre-funded warrant. Given that the 2021 Pre-Funded Warrants are indexed to the Company’s own shares of common stock (and otherwise meet the requirements to be classified in equity), the Company recorded the consideration received from the issuance of the warrants as additional paid-in capital on the Company’s consolidated balance sheets.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sectPr>
      </w:pPr>
    </w:p>
    <w:bookmarkStart w:id="18" w:name="page19"/>
    <w:bookmarkEnd w:id="18"/>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March 2024, in conjunction with a public offering, the Company issued in a private placement, in lieu of common stock to certain investors, pre-funded warrants to purchase 3,636,364 shares of the Company’s common stock (2024 Pre-Funded Warrants, and collectively with the 2021 Pre-Funded Warrants, the Pre-Funded Warrants). The purchase price for the 2024 Pre-Funded Warrants was $5.499 per pre-funded warrant, which equals the per share public offering price for the shares of common stock issued in the March 2024 public offering, less the $0.001 exercise price for each such pre-funded warrant. Given that the 2024 Pre-Funded Warrants are indexed to the Company’s own shares of common stock (and otherwise meet the requirements to be classified in equity), the Company recorded the consideration received from the issuance of the warrants as additional paid-in capital on the Company’s unaudited condensed consolidated balance sheets.</w:t>
      </w:r>
    </w:p>
    <w:p>
      <w:pPr>
        <w:spacing w:after="0" w:line="8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 date of issuance. A holder of Pre-Funded Warrants may not exercise the Pre-Funded Warrant if the holder, together with its affiliates, would beneficially own more than 9.99% of the number of shares of the Company’s common stock outstanding immediately after giving effect to such exercise. A holder of Pre-Funded Warrants may increase or decrease this percentage not in excess of 19.99% by providing at least 61 days’ prior notice to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2026, there were 3,893,674 Pre-Funded Warrants outstanding.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and Issuance of Common Stock under At-The-Market Offering</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a sales agreement with Jefferies LLC ("Jefferies"), pursuant to which the Company may, at its discretion, offer and sell shares of its common stock through an at-the-market offering program (the ATM). Under the sales agreement, Jefferies acts as the Company's sales agent for the issuance and sale of shares of common stock having an aggregate offering price of up to $100.0 million.</w:t>
      </w:r>
    </w:p>
    <w:p>
      <w:pPr>
        <w:spacing w:after="0" w:line="68"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sold 2,801,602 shares of common stock under the ATM program for gross proceeds of $8.0 million and net proceeds of $7.6 million, after deducting commissions and issuance costs.</w:t>
      </w:r>
    </w:p>
    <w:p>
      <w:pPr>
        <w:spacing w:after="0" w:line="54"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On or about the date hereof, the Company intends to enter into a sales agreement with Leerink Partners LLC providing for the offer and sale, from time to time, of up to $100.0 million in shares of its common stock in an at-the-market offering (the “Leerink ATM Shares”) and concurrently terminated its November 2023 sales agreement with Jefferies. The Company intends to file a prospectus supplement under its existing shelf registration statement on Form S-3 (File No. 333-275402) (the “2023 Shelf S-3”) covering the offer and sale of the Leerink ATM Shares pursuant to the 2023 Shelf S-3, which reaches the third anniversary of its effectiveness on November 27, 2026. Prior to such date, the Company intends to file a new shelf registration statement on Form S-3 (the “New Registration Statement”), which will include a prospectus covering the offer and sale of the Leerink ATM Shares. The Company will not be able to sell any securities, including the Leerink ATM Shares, pursuant to the New Registration Statement until it is declared effective by the SEC. Pending effectiveness of the New Registration Statement, the Company may continue to offer and sell securities under the 2023 Shelf S-3 in accordance with Rule 415(a)(5) under the Securities 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Restricted Stock Unit Awards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and related information under all equity plans for the period ended September 30, 2026:</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3"/>
        </w:trPr>
        <w:tc>
          <w:tcPr>
            <w:tcW w:w="6140" w:type="dxa"/>
            <w:vAlign w:val="bottom"/>
          </w:tcPr>
          <w:p>
            <w:pPr>
              <w:spacing w:after="0"/>
              <w:rPr>
                <w:sz w:val="15"/>
                <w:szCs w:val="15"/>
                <w:color w:val="auto"/>
              </w:rPr>
            </w:pPr>
          </w:p>
        </w:tc>
        <w:tc>
          <w:tcPr>
            <w:tcW w:w="12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80" w:type="dxa"/>
            <w:vAlign w:val="bottom"/>
          </w:tcPr>
          <w:p>
            <w:pPr>
              <w:spacing w:after="0"/>
              <w:rPr>
                <w:sz w:val="15"/>
                <w:szCs w:val="15"/>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12,400,620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4,730,659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(318,033)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(689,376)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8"/>
                <w:szCs w:val="18"/>
                <w:color w:val="auto"/>
              </w:rPr>
            </w:pP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16,123,870</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stock unit activity under all equity and stock option plans is summarized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3"/>
          </w:tcPr>
          <w:p>
            <w:pPr>
              <w:jc w:val="center"/>
              <w:ind w:right="138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2540" w:type="dxa"/>
            <w:vAlign w:val="bottom"/>
            <w:gridSpan w:val="5"/>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6,635,820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3,817,602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4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(3,054,540)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8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(787,757)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8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6,611,125</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82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19</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-933450</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-916305</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The allocation of stock-based compensation for all stock awards is as follows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Pr>
          <w:p>
            <w:pPr>
              <w:spacing w:after="0"/>
              <w:rPr>
                <w:sz w:val="18"/>
                <w:szCs w:val="18"/>
                <w:color w:val="auto"/>
              </w:rPr>
            </w:pPr>
          </w:p>
        </w:tc>
      </w:tr>
      <w:tr>
        <w:trPr>
          <w:trHeight w:val="229"/>
        </w:trPr>
        <w:tc>
          <w:tcPr>
            <w:tcW w:w="3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100" w:type="dxa"/>
            <w:vAlign w:val="bottom"/>
            <w:shd w:val="clear" w:color="auto" w:fill="CFF0FC"/>
          </w:tcPr>
          <w:p>
            <w:pPr>
              <w:spacing w:after="0"/>
              <w:rPr>
                <w:sz w:val="19"/>
                <w:szCs w:val="19"/>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-25400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 unrecognized compensation cost related to outstanding options was $5.6 million and is expected to be recognized as expense over a weighted-average period of approximately 1.8 years.</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 unrecognized compensation cost related to restricted stock units was $7.0 million which is expected to be recognized as expense over a weighted-average period of approximately 2.4 years.</w:t>
      </w:r>
    </w:p>
    <w:p>
      <w:pPr>
        <w:spacing w:after="0" w:line="5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in the Black-Scholes option pricing model to determine the fair value of the employee and nonemployee stock option grants were as follows:</w:t>
      </w:r>
    </w:p>
    <w:p>
      <w:pPr>
        <w:spacing w:after="0" w:line="155"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140" w:type="dxa"/>
        <w:tblCellMar>
          <w:top w:w="0" w:type="dxa"/>
          <w:left w:w="0" w:type="dxa"/>
          <w:bottom w:w="0" w:type="dxa"/>
          <w:right w:w="0" w:type="dxa"/>
        </w:tblCellMar>
      </w:tblPr>
      <w:tr>
        <w:trPr>
          <w:trHeight w:val="142"/>
        </w:trPr>
        <w:tc>
          <w:tcPr>
            <w:tcW w:w="60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09"/>
        </w:trPr>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w:t>
            </w:r>
          </w:p>
        </w:tc>
      </w:tr>
      <w:tr>
        <w:trPr>
          <w:trHeight w:val="216"/>
        </w:trPr>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FF0FC"/>
          </w:tcPr>
          <w:p>
            <w:pPr>
              <w:spacing w:after="0"/>
              <w:rPr>
                <w:sz w:val="18"/>
                <w:szCs w:val="18"/>
                <w:color w:val="auto"/>
              </w:rPr>
            </w:pPr>
          </w:p>
        </w:tc>
      </w:t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Consolidated Stockholders’ Equity Accounts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changes in stockholders’ equity accounts for the three and nine months ended September 30, 2026 (in thousands, except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680" w:type="dxa"/>
            <w:vAlign w:val="bottom"/>
            <w:gridSpan w:val="4"/>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220" w:type="dxa"/>
            <w:vAlign w:val="bottom"/>
          </w:tcPr>
          <w:p>
            <w:pPr>
              <w:spacing w:after="0"/>
              <w:rPr>
                <w:sz w:val="11"/>
                <w:szCs w:val="11"/>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16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8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Comprehensi</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680" w:type="dxa"/>
            <w:vAlign w:val="bottom"/>
            <w:tcBorders>
              <w:bottom w:val="single" w:sz="8" w:color="auto"/>
            </w:tcBorders>
            <w:gridSpan w:val="4"/>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Pr>
          <w:p>
            <w:pPr>
              <w:spacing w:after="0"/>
              <w:rPr>
                <w:sz w:val="12"/>
                <w:szCs w:val="1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81"/>
              </w:rPr>
              <w:t>ve</w:t>
            </w:r>
          </w:p>
        </w:tc>
        <w:tc>
          <w:tcPr>
            <w:tcW w:w="8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78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80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74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Gain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2025</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115,359,735</w:t>
            </w:r>
          </w:p>
        </w:tc>
        <w:tc>
          <w:tcPr>
            <w:tcW w:w="3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115</w:t>
            </w:r>
          </w:p>
        </w:tc>
        <w:tc>
          <w:tcPr>
            <w:tcW w:w="2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1,741,259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116</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(1,534,309)</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207,184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80" w:type="dxa"/>
            <w:vAlign w:val="bottom"/>
          </w:tcPr>
          <w:p>
            <w:pPr>
              <w:ind w:left="40"/>
              <w:spacing w:after="0" w:line="116"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912,778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0"/>
                <w:szCs w:val="10"/>
                <w:color w:val="auto"/>
              </w:rPr>
            </w:pPr>
          </w:p>
        </w:tc>
        <w:tc>
          <w:tcPr>
            <w:tcW w:w="74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3,929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3,929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(31,213)</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(31,213)</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March 31, 2026</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116,272,513</w:t>
            </w:r>
          </w:p>
        </w:tc>
        <w:tc>
          <w:tcPr>
            <w:tcW w:w="3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116</w:t>
            </w:r>
          </w:p>
        </w:tc>
        <w:tc>
          <w:tcPr>
            <w:tcW w:w="2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1,745,187</w:t>
            </w:r>
          </w:p>
        </w:tc>
        <w:tc>
          <w:tcPr>
            <w:tcW w:w="22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(77)</w:t>
            </w:r>
          </w:p>
        </w:tc>
        <w:tc>
          <w:tcPr>
            <w:tcW w:w="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(1,565,522)</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179,707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80" w:type="dxa"/>
            <w:vAlign w:val="bottom"/>
            <w:shd w:val="clear" w:color="auto" w:fill="CFF0FC"/>
          </w:tcPr>
          <w:p>
            <w:pPr>
              <w:ind w:left="40"/>
              <w:spacing w:after="0" w:line="116" w:lineRule="exact"/>
              <w:rPr>
                <w:sz w:val="20"/>
                <w:szCs w:val="20"/>
                <w:color w:val="auto"/>
              </w:rPr>
            </w:pPr>
            <w:r>
              <w:rPr>
                <w:rFonts w:ascii="Times New Roman" w:cs="Times New Roman" w:eastAsia="Times New Roman" w:hAnsi="Times New Roman"/>
                <w:sz w:val="13"/>
                <w:szCs w:val="13"/>
                <w:color w:val="auto"/>
              </w:rPr>
              <w:t>Exercise of stock options, net of issuance costs</w:t>
            </w:r>
          </w:p>
        </w:tc>
        <w:tc>
          <w:tcPr>
            <w:tcW w:w="78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293,409</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411</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412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128,184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3,518</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3,518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(30,159)</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(30,159)</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June 30, 2026</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116,694,106</w:t>
            </w:r>
          </w:p>
        </w:tc>
        <w:tc>
          <w:tcPr>
            <w:tcW w:w="3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117</w:t>
            </w:r>
          </w:p>
        </w:tc>
        <w:tc>
          <w:tcPr>
            <w:tcW w:w="2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1,749,116</w:t>
            </w:r>
          </w:p>
        </w:tc>
        <w:tc>
          <w:tcPr>
            <w:tcW w:w="22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(117)</w:t>
            </w:r>
          </w:p>
        </w:tc>
        <w:tc>
          <w:tcPr>
            <w:tcW w:w="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(1,595,681)</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153,438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580" w:type="dxa"/>
            <w:vAlign w:val="bottom"/>
            <w:shd w:val="clear" w:color="auto" w:fill="CFF0FC"/>
          </w:tcPr>
          <w:p>
            <w:pPr>
              <w:ind w:left="40"/>
              <w:spacing w:after="0" w:line="98" w:lineRule="exact"/>
              <w:rPr>
                <w:sz w:val="20"/>
                <w:szCs w:val="20"/>
                <w:color w:val="auto"/>
              </w:rPr>
            </w:pPr>
            <w:r>
              <w:rPr>
                <w:rFonts w:ascii="Times New Roman" w:cs="Times New Roman" w:eastAsia="Times New Roman" w:hAnsi="Times New Roman"/>
                <w:sz w:val="10"/>
                <w:szCs w:val="10"/>
                <w:color w:val="auto"/>
              </w:rPr>
              <w:t>Issuance of common stock from ATM offering, net of commissions</w:t>
            </w:r>
          </w:p>
        </w:tc>
        <w:tc>
          <w:tcPr>
            <w:tcW w:w="7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and issuance costs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2,801,602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7,595</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7,598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2,013,578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Exercise of stock options, net of issuance costs</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24,624</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2,698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(30,687)</w:t>
            </w:r>
          </w:p>
        </w:tc>
        <w:tc>
          <w:tcPr>
            <w:tcW w:w="14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(30,687)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September 30, 2026</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121,533,910</w:t>
            </w:r>
          </w:p>
        </w:tc>
        <w:tc>
          <w:tcPr>
            <w:tcW w:w="3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122</w:t>
            </w:r>
          </w:p>
        </w:tc>
        <w:tc>
          <w:tcPr>
            <w:tcW w:w="2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1,759,430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(155)</w:t>
            </w:r>
          </w:p>
        </w:tc>
        <w:tc>
          <w:tcPr>
            <w:tcW w:w="20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(1,626,368)</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133,032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-1757045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-1739265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-1757045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-1739265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-1757045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-1739265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-1757045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-1739265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-1757045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-1739265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-1757045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-1739265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-1757045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-1739265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-1388110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-1388110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-1388110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-1388110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-1388110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-1388110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-1388110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-839470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-839470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-839470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-839470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-839470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-839470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-839470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changes in stockholders’ equity accounts for the three and nine months ended September 30, 2025 (in thousands, except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660" w:type="dxa"/>
            <w:vAlign w:val="bottom"/>
            <w:gridSpan w:val="4"/>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220" w:type="dxa"/>
            <w:vAlign w:val="bottom"/>
          </w:tcPr>
          <w:p>
            <w:pPr>
              <w:spacing w:after="0"/>
              <w:rPr>
                <w:sz w:val="11"/>
                <w:szCs w:val="11"/>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40" w:type="dxa"/>
            <w:vAlign w:val="bottom"/>
          </w:tcPr>
          <w:p>
            <w:pPr>
              <w:spacing w:after="0"/>
              <w:rPr>
                <w:sz w:val="11"/>
                <w:szCs w:val="11"/>
                <w:color w:val="auto"/>
              </w:rPr>
            </w:pPr>
          </w:p>
        </w:tc>
        <w:tc>
          <w:tcPr>
            <w:tcW w:w="16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940" w:type="dxa"/>
            <w:vAlign w:val="bottom"/>
            <w:gridSpan w:val="3"/>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Comprehensiv</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Pr>
          <w:p>
            <w:pPr>
              <w:spacing w:after="0"/>
              <w:rPr>
                <w:sz w:val="12"/>
                <w:szCs w:val="1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w:t>
            </w:r>
          </w:p>
        </w:tc>
        <w:tc>
          <w:tcPr>
            <w:tcW w:w="8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8"/>
        </w:trPr>
        <w:tc>
          <w:tcPr>
            <w:tcW w:w="3540" w:type="dxa"/>
            <w:vAlign w:val="bottom"/>
          </w:tcPr>
          <w:p>
            <w:pPr>
              <w:spacing w:after="0"/>
              <w:rPr>
                <w:sz w:val="11"/>
                <w:szCs w:val="11"/>
                <w:color w:val="auto"/>
              </w:rPr>
            </w:pPr>
          </w:p>
        </w:tc>
        <w:tc>
          <w:tcPr>
            <w:tcW w:w="76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78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80" w:type="dxa"/>
            <w:vAlign w:val="bottom"/>
          </w:tcPr>
          <w:p>
            <w:pPr>
              <w:spacing w:after="0"/>
              <w:rPr>
                <w:sz w:val="11"/>
                <w:szCs w:val="11"/>
                <w:color w:val="auto"/>
              </w:rPr>
            </w:pPr>
          </w:p>
        </w:tc>
        <w:tc>
          <w:tcPr>
            <w:tcW w:w="68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5"/>
              </w:rPr>
              <w:t>Gain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2024</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113,928,279</w:t>
            </w:r>
          </w:p>
        </w:tc>
        <w:tc>
          <w:tcPr>
            <w:tcW w:w="3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114</w:t>
            </w:r>
          </w:p>
        </w:tc>
        <w:tc>
          <w:tcPr>
            <w:tcW w:w="2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1,716,335</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268</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(1,397,994)</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318,726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40" w:type="dxa"/>
            <w:vAlign w:val="bottom"/>
          </w:tcPr>
          <w:p>
            <w:pPr>
              <w:ind w:left="40"/>
              <w:spacing w:after="0" w:line="116"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675,631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280" w:type="dxa"/>
            <w:vAlign w:val="bottom"/>
          </w:tcPr>
          <w:p>
            <w:pPr>
              <w:spacing w:after="0"/>
              <w:rPr>
                <w:sz w:val="10"/>
                <w:szCs w:val="10"/>
                <w:color w:val="auto"/>
              </w:rPr>
            </w:pPr>
          </w:p>
        </w:tc>
        <w:tc>
          <w:tcPr>
            <w:tcW w:w="82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7,381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7,381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(37,621)</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(37,621)</w:t>
            </w:r>
          </w:p>
        </w:tc>
        <w:tc>
          <w:tcPr>
            <w:tcW w:w="0" w:type="dxa"/>
            <w:vAlign w:val="bottom"/>
          </w:tcPr>
          <w:p>
            <w:pPr>
              <w:spacing w:after="0"/>
              <w:rPr>
                <w:sz w:val="1"/>
                <w:szCs w:val="1"/>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March 31, 2025</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114,603,910</w:t>
            </w:r>
          </w:p>
        </w:tc>
        <w:tc>
          <w:tcPr>
            <w:tcW w:w="3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115</w:t>
            </w:r>
          </w:p>
        </w:tc>
        <w:tc>
          <w:tcPr>
            <w:tcW w:w="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1,723,715</w:t>
            </w:r>
          </w:p>
        </w:tc>
        <w:tc>
          <w:tcPr>
            <w:tcW w:w="140" w:type="dxa"/>
            <w:vAlign w:val="bottom"/>
          </w:tcPr>
          <w:p>
            <w:pPr>
              <w:spacing w:after="0"/>
              <w:rPr>
                <w:sz w:val="11"/>
                <w:szCs w:val="11"/>
                <w:color w:val="auto"/>
              </w:rPr>
            </w:pPr>
          </w:p>
        </w:tc>
        <w:tc>
          <w:tcPr>
            <w:tcW w:w="16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191</w:t>
            </w:r>
          </w:p>
        </w:tc>
        <w:tc>
          <w:tcPr>
            <w:tcW w:w="140" w:type="dxa"/>
            <w:vAlign w:val="bottom"/>
          </w:tcPr>
          <w:p>
            <w:pPr>
              <w:spacing w:after="0"/>
              <w:rPr>
                <w:sz w:val="11"/>
                <w:szCs w:val="11"/>
                <w:color w:val="auto"/>
              </w:rPr>
            </w:pPr>
          </w:p>
        </w:tc>
        <w:tc>
          <w:tcPr>
            <w:tcW w:w="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(1,435,615)</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288,409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40" w:type="dxa"/>
            <w:vAlign w:val="bottom"/>
            <w:shd w:val="clear" w:color="auto" w:fill="CFF0FC"/>
          </w:tcPr>
          <w:p>
            <w:pPr>
              <w:ind w:left="40"/>
              <w:spacing w:after="0" w:line="116" w:lineRule="exact"/>
              <w:rPr>
                <w:sz w:val="20"/>
                <w:szCs w:val="20"/>
                <w:color w:val="auto"/>
              </w:rPr>
            </w:pPr>
            <w:r>
              <w:rPr>
                <w:rFonts w:ascii="Times New Roman" w:cs="Times New Roman" w:eastAsia="Times New Roman" w:hAnsi="Times New Roman"/>
                <w:sz w:val="13"/>
                <w:szCs w:val="13"/>
                <w:color w:val="auto"/>
              </w:rPr>
              <w:t>Exercise of stock options, net of issuance costs</w:t>
            </w:r>
          </w:p>
        </w:tc>
        <w:tc>
          <w:tcPr>
            <w:tcW w:w="76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832</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50,325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7,154</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7,154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(34,070)</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(34,070)</w:t>
            </w:r>
          </w:p>
        </w:tc>
        <w:tc>
          <w:tcPr>
            <w:tcW w:w="0" w:type="dxa"/>
            <w:vAlign w:val="bottom"/>
          </w:tcPr>
          <w:p>
            <w:pPr>
              <w:spacing w:after="0"/>
              <w:rPr>
                <w:sz w:val="1"/>
                <w:szCs w:val="1"/>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June 30, 2025</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114,655,067</w:t>
            </w:r>
          </w:p>
        </w:tc>
        <w:tc>
          <w:tcPr>
            <w:tcW w:w="3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115</w:t>
            </w:r>
          </w:p>
        </w:tc>
        <w:tc>
          <w:tcPr>
            <w:tcW w:w="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1,730,869</w:t>
            </w:r>
          </w:p>
        </w:tc>
        <w:tc>
          <w:tcPr>
            <w:tcW w:w="140" w:type="dxa"/>
            <w:vAlign w:val="bottom"/>
          </w:tcPr>
          <w:p>
            <w:pPr>
              <w:spacing w:after="0"/>
              <w:rPr>
                <w:sz w:val="11"/>
                <w:szCs w:val="11"/>
                <w:color w:val="auto"/>
              </w:rPr>
            </w:pPr>
          </w:p>
        </w:tc>
        <w:tc>
          <w:tcPr>
            <w:tcW w:w="16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62</w:t>
            </w:r>
          </w:p>
        </w:tc>
        <w:tc>
          <w:tcPr>
            <w:tcW w:w="140" w:type="dxa"/>
            <w:vAlign w:val="bottom"/>
          </w:tcPr>
          <w:p>
            <w:pPr>
              <w:spacing w:after="0"/>
              <w:rPr>
                <w:sz w:val="11"/>
                <w:szCs w:val="11"/>
                <w:color w:val="auto"/>
              </w:rPr>
            </w:pPr>
          </w:p>
        </w:tc>
        <w:tc>
          <w:tcPr>
            <w:tcW w:w="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(1,469,685)</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261,364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40" w:type="dxa"/>
            <w:vAlign w:val="bottom"/>
            <w:shd w:val="clear" w:color="auto" w:fill="CFF0FC"/>
          </w:tcPr>
          <w:p>
            <w:pPr>
              <w:ind w:left="40"/>
              <w:spacing w:after="0" w:line="116"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681,630</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4,861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(32,250)</w:t>
            </w: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(32,250)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5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September 30, 2025</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115,336,697</w:t>
            </w:r>
          </w:p>
        </w:tc>
        <w:tc>
          <w:tcPr>
            <w:tcW w:w="3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115</w:t>
            </w:r>
          </w:p>
        </w:tc>
        <w:tc>
          <w:tcPr>
            <w:tcW w:w="2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1,735,730</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153</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(1,501,935)</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234,066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-1499870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-1482725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-1499870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-1482725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-1499870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-1482725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-1499870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-1482725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-1499870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-1482725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-1499870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-1482725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-1499870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-1482725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-1499870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-1482725</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-1130935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-1130935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-1130935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-1130935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-1130935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-1130935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-1130935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-1130935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-582295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-582295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-582295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-582295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-582295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-582295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-582295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-25400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-25400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-25400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Reporting</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 has one reportable segment relating to its operations. The segment derives its current revenues from research and development collaborations.</w:t>
      </w:r>
    </w:p>
    <w:p>
      <w:pPr>
        <w:spacing w:after="0" w:line="94"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(the CODM), its Chief Executive Officer, manages the Company’s operations on an integrated basis for the purposes of allocating resources. When evaluating the Company’s financial performance, the CODM reviews total revenues, total expenses and expenses by certain categories and makes decisions using this information.</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is a summary of the segment profit or loss, including significant segment expenses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5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20" w:type="dxa"/>
            <w:vAlign w:val="bottom"/>
            <w:shd w:val="clear" w:color="auto" w:fill="CFF0FC"/>
          </w:tcPr>
          <w:p>
            <w:pPr>
              <w:spacing w:after="0"/>
              <w:rPr>
                <w:sz w:val="18"/>
                <w:szCs w:val="18"/>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Personnel costs</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33,383</w:t>
            </w:r>
          </w:p>
        </w:tc>
        <w:tc>
          <w:tcPr>
            <w:tcW w:w="120" w:type="dxa"/>
            <w:vAlign w:val="bottom"/>
            <w:shd w:val="clear" w:color="auto" w:fill="CFF0FC"/>
          </w:tcPr>
          <w:p>
            <w:pPr>
              <w:spacing w:after="0"/>
              <w:rPr>
                <w:sz w:val="18"/>
                <w:szCs w:val="18"/>
                <w:color w:val="auto"/>
              </w:rPr>
            </w:pPr>
          </w:p>
        </w:tc>
      </w:tr>
      <w:tr>
        <w:trPr>
          <w:trHeight w:val="216"/>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Clinical programs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120" w:type="dxa"/>
            <w:vAlign w:val="bottom"/>
          </w:tcPr>
          <w:p>
            <w:pPr>
              <w:spacing w:after="0"/>
              <w:rPr>
                <w:sz w:val="18"/>
                <w:szCs w:val="18"/>
                <w:color w:val="auto"/>
              </w:rPr>
            </w:pPr>
          </w:p>
        </w:tc>
      </w:tr>
      <w:tr>
        <w:trPr>
          <w:trHeight w:val="216"/>
        </w:trPr>
        <w:tc>
          <w:tcPr>
            <w:tcW w:w="5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activities</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20" w:type="dxa"/>
            <w:vAlign w:val="bottom"/>
            <w:shd w:val="clear" w:color="auto" w:fill="CFF0FC"/>
          </w:tcPr>
          <w:p>
            <w:pPr>
              <w:spacing w:after="0"/>
              <w:rPr>
                <w:sz w:val="18"/>
                <w:szCs w:val="18"/>
                <w:color w:val="auto"/>
              </w:rPr>
            </w:pPr>
          </w:p>
        </w:tc>
      </w:tr>
      <w:tr>
        <w:trPr>
          <w:trHeight w:val="216"/>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Facilities costs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120" w:type="dxa"/>
            <w:vAlign w:val="bottom"/>
          </w:tcPr>
          <w:p>
            <w:pPr>
              <w:spacing w:after="0"/>
              <w:rPr>
                <w:sz w:val="18"/>
                <w:szCs w:val="18"/>
                <w:color w:val="auto"/>
              </w:rPr>
            </w:pPr>
          </w:p>
        </w:tc>
      </w:tr>
      <w:tr>
        <w:trPr>
          <w:trHeight w:val="216"/>
        </w:trPr>
        <w:tc>
          <w:tcPr>
            <w:tcW w:w="50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segment expenses (1)</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118,260</w:t>
            </w:r>
          </w:p>
        </w:tc>
        <w:tc>
          <w:tcPr>
            <w:tcW w:w="120" w:type="dxa"/>
            <w:vAlign w:val="bottom"/>
          </w:tcPr>
          <w:p>
            <w:pPr>
              <w:spacing w:after="0"/>
              <w:rPr>
                <w:sz w:val="18"/>
                <w:szCs w:val="18"/>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(32,247)</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(34,735)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(96,381)</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(112,983)</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20" w:type="dxa"/>
            <w:vAlign w:val="bottom"/>
            <w:shd w:val="clear" w:color="auto" w:fill="CFF0FC"/>
          </w:tcPr>
          <w:p>
            <w:pPr>
              <w:spacing w:after="0"/>
              <w:rPr>
                <w:sz w:val="18"/>
                <w:szCs w:val="18"/>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stock price appreciation milestones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r>
      <w:tr>
        <w:trPr>
          <w:trHeight w:val="216"/>
        </w:trPr>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FF0FC"/>
          </w:tcPr>
          <w:p>
            <w:pPr>
              <w:spacing w:after="0"/>
              <w:rPr>
                <w:sz w:val="18"/>
                <w:szCs w:val="18"/>
                <w:color w:val="auto"/>
              </w:rPr>
            </w:pPr>
          </w:p>
        </w:tc>
      </w:tr>
      <w:tr>
        <w:trPr>
          <w:trHeight w:val="210"/>
        </w:trPr>
        <w:tc>
          <w:tcPr>
            <w:tcW w:w="504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other income</w:t>
            </w:r>
          </w:p>
        </w:tc>
        <w:tc>
          <w:tcPr>
            <w:tcW w:w="7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120" w:type="dxa"/>
            <w:vAlign w:val="bottom"/>
            <w:tcBorders>
              <w:top w:val="single" w:sz="8" w:color="CFF0FC"/>
            </w:tcBorders>
          </w:tcPr>
          <w:p>
            <w:pPr>
              <w:spacing w:after="0"/>
              <w:rPr>
                <w:sz w:val="18"/>
                <w:szCs w:val="18"/>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(30,687)</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(32,250)</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(92,059)</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(103,941)</w:t>
            </w:r>
          </w:p>
        </w:tc>
      </w:tr>
      <w:tr>
        <w:trPr>
          <w:trHeight w:val="20"/>
        </w:trPr>
        <w:tc>
          <w:tcPr>
            <w:tcW w:w="50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-1156970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-1156970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-1156970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-316865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-316865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-316865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 stock compensation expense, depreciation, legal fees, general and administrative expenses, and corporate expenses.</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January 20, 2023, a purported stockholder of the company filed a securities class action lawsuit against the company and certain officers captioned Hadian v. Fate Therapeutics, Inc. et al. in the U.S. District Court for the Southern District of California (the Securities Action). On May 4, 2023, the court appointed a different purported stockholder of the company to serve as lead plaintiff in the Securities Action. On July 24, 2023, the lead plaintiff filed an amended complaint. The amended complaint alleged that the company violated the federal securities laws by making allegedly false and/or misleading statements and/or omissions in the public disclosures dating back to August 2020 relating to the collaboration agreement with Janssen Biotech, Inc. (the Janssen Agreement), potential product candidates subject to the Janssen Agreement, and the termination of the Janssen Agreement. On September 22, 2023, the Company filed a motion to dismiss the amended complaint. On September 19, 2024, the court granted the motion to dismiss the amended complaint, with leave for plaintiff to file a second amended complaint. On October 18, 2024, the lead plaintiff filed a second amended complaint alleging substantially similar facts and claims as in the prior amended complaint. The Company filed a motion to dismiss the second amended complaint on November 18, 2024. On September 22, 2025, the court granted the motion to dismiss the second amended complaint, with leave for plaintiff to file a third amended complaint. On October 17, 2025, the plaintiff filed a third amended complaint. The Company filed a motion to dismiss the third amended complaint on November 17, 2025. Plaintiff filed an opposition brief on December 18, 2025. On September 24, 2026, the court denied the motion to dismiss and permitted claims concerning four alleged misstatements made in 2022 to proceed. The Company filed an answer to the third amended complaint on October 8, 2026. The parties are currently in the early stages of discovery.</w:t>
      </w:r>
    </w:p>
    <w:p>
      <w:pPr>
        <w:spacing w:after="0" w:line="116"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On June 2, 2023, a derivative complaint, captioned Guarino v. Wolchko, et al., was filed by a purported stockholder of the Company in the U.S. District Court for the Southern District of California (the Guarino Action). On June 12, 2024, an additional derivative complaint, captioned Horrobin v. Wolchko, et al., was filed by a purported stockholder of the Company in the same district (the Horrobin Action). On December 2, 2024, the court entered an order consolidating the Guarino Action and the Horrobin Action under the caption In re Fate Therapeutics, Inc. Derivative Litigation (the Derivative Action) and staying the Derivative Action pending the court’s decision on the motion to dismiss the second amended complaint in the Securities Action. On September 22, 2025, the stay of the consolidated case automatically expired when the decision dismissing the second amended complaint in the Securities Action was issued. On October 24, 2025, the court extended the stay pending the court’s decision on the Company’s anticipated motion to dismiss the third amended complaint. On September 24, 2026, the renewed stay of the Derivative Action automatically expired when the decision denying the motion to dismiss the third amended complaint in the Securities Action was issued. On October 27, 2026, at the request of the parties, the court entered a further order staying that Derivative Action until the earliest of: (i) the public announcement of any settlement in the Securities Action or (ii) final resolution of the Securities Action and exhaustion of all related appeals. The Derivative Action names members of the board of directors and certain officers as defendants. We are also named as a nominal defendant. The plaintiffs in the Derivative Actions assert derivative claims arising out of substantially the same alleged facts and circumstances as the Securities Action. The Guarino complaint asserts claims for breach of fiduciary duty, unjust enrichment, abuse of control, gross mismanagement, waste of corporate assets, and violation of federal securities laws. The Horrobin complaint asserts substantially similar claims in addition to a claim of breach of fiduciary duty for insider trading.</w:t>
      </w:r>
    </w:p>
    <w:p>
      <w:pPr>
        <w:spacing w:after="0" w:line="1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December 17, 2025, a derivative complaint, captioned West v. Wolchko, et al., was filed by a purported stockholder of the Company in the Court of Chancery of the State of Delaware (the West Action). The West Action names certain current and former members of the board of directors and certain current and former officers as defendants. We are also named as a nominal defendant. The plaintiff in the West Action asserts derivative claims for breach of fiduciary duty and insider trading arising out of substantially the same alleged facts and circumstances as the Securities Action. On January 16, 2026, the court entered an order staying the West Action. On September 24, 2026, the stay of the West Action automatically expired when the decision denying the motion to dismiss the third amended complaint in the Securities Action was issued. On October 28, 2026, at the request of the parties, the court entered a further order staying the West Action until the earliest of: (i) the public announcement of any settlement in the Securities Action; (ii) final resolution of the Securities Action and exhaustion of all related appeals; or (iii) any of the parties giving ten (10) days’ written notice that they no longer consent to the stay.</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Given the uncertainty of litigation and the preliminary stage of the cases, an estimate cannot be made for the outcome of the foregoing actions or estimate the reasonable possible loss or range of loss that may result from the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2025 and the related Management’s Discussion and Analysis of Financial Condition and Results of Operations, which are contained in our Annual Report on Form 10-K filed with the Securities and Exchange Commission on February 26, 2026 (Annual Report).</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and Section 21E of the Securities Exchange Act of 1934, as amended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under Item 1A of Part II below and the section titled, “Forward-Looking Statements” in our Annual Report. Except as required by law, we undertake no obligation to update these forward-looking statements to reflect events or circumstances after the date of this report or to reflect actual outcomes.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bringing a transformative pipeline of off-the-shelf cellular immunotherapies to patients.</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have pioneered a therapeutic approach that we generally refer to as cellular programming: we create and engineer human induced pluripotent stem cells (iPSCs) to incorporate novel synthetic controls of cell function; after the engineering step that incorporates multiple functional elements into the iPSCs, we generate a clonal master iPSC line for use as a renewable source of starting materials for the manufacture of cell therapies; through the manufacturing process, we direct the fate of the clonal master iPSC line to produce our cell therapy product candidates that are uniform in composition. Analogous to master cell lines used to manufacture biopharmaceutical drug products such as monoclonal antibodies, we believe our proprietary clonal master iPSC lines can be used to mass produce multiplexed-engineered cellular immunotherapies which have off-the-shelf availability and on-demand availability, and that can be combined and administered alone or in combination with standard-of-care therapies, to make cell therapies accessible to all.</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Utilizing our iPSC product platform, we are developing off-the-shelf, multiplexed-engineered T-cell and natural killer (NK) cell product candidates which are selectively designed and incorporate novel synthetic controls of cell function to uniquely enhance the therapeutic capacity of the drug product to deliver multiple therapeutic mechanisms to patients. We have a pipeline of iPSC-derived, chimeric antigen receptor (CAR)-targeted T-cell and NK cell product candidates currently under development. In addition, we have entered into research collaborations and license agreements with academic institutions to support the development of our iPSC product platform and our off-the-shelf product candidates.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also entered into collaborations with pharmaceutical companies to research, develop and commercialize off-the-shelf, multiplexed-engineered, iPSC-derived CAR T-cell and CAR NK cell product candidates for the treatment of cancer. In September 2018, we entered into a collaboration and option agreement (Ono Agreement) with Ono Pharmaceutical Co., Ltd. (Ono), under which we have researched and developed, and continue to jointly develop with Ono, iPSC-derived CAR T-cell product candidates for the treatment of solid tumors.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in 2007 and are headquartered in San Diego, California. Since our inception in 2007, we have devoted substantially all of our resources to our cell programming approach and the research and development of our product candidates, the creation, licensing and protection of related intellectual property, and the provision of general and administrative support for these activities. To date, we have funded our operations primarily through the public and private sale of common stock and warrants, the private placement of preferred stock and convertible notes, commercial bank debt and revenues from collaboration activities and grants.</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never been profitable and have incurred net losses in each year since inception. Substantially all of our net losses resulted from costs incurred in connection with our research and development programs and from general and administrative costs associated with our operations. We expect to continue to incur operating losses for at least the foreseeable future. Our net losses may fluctuate significantly from quarter to quarter and year to year. We expect our expenses will remain significant in connection with our ongoing and planned activities as we:</w:t>
      </w:r>
    </w:p>
    <w:p>
      <w:pPr>
        <w:spacing w:after="0" w:line="72" w:lineRule="exact"/>
        <w:rPr>
          <w:sz w:val="20"/>
          <w:szCs w:val="20"/>
          <w:color w:val="auto"/>
        </w:rPr>
      </w:pPr>
    </w:p>
    <w:p>
      <w:pPr>
        <w:ind w:left="1020" w:right="10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and planned nonclinical studies and clinical trials of our product candidates, which may include higher clinical trial expenses associated with arrangements we may enter into with clinical research organizations (CROs) for the execution and management of certain clinical trials, including trials outside of the United States;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3" w:name="page24"/>
    <w:bookmarkEnd w:id="23"/>
    <w:p>
      <w:pPr>
        <w:ind w:left="1020" w:right="4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Good Manufacturing Practice (GMP) production, including through the use of contract manufacturing organizations (CMOs) for the conduct of some or all of the activities required for manufacturing our iPSC-derived cell product candidates, process and scale-up development and technology transfer activities for the manufacture of our product candidates, including those undergoing clinical investigation and Investigational New Drug (IND) application-enabling nonclinical development;</w:t>
      </w:r>
    </w:p>
    <w:p>
      <w:pPr>
        <w:spacing w:after="0" w:line="7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laboratory equipment, materials and supplies for the manufacture of our product candidates to support our clinical trials and the conduct of our research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development and manufacturing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prosecute, protect, expand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regulatory authorities for the development of, and seek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business operations at our corporate headquarters, including maintaining internal GMP production capabilities;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operating as a public company and support our operations.</w:t>
      </w:r>
    </w:p>
    <w:p>
      <w:pPr>
        <w:spacing w:after="0" w:line="11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do not expect to generate any meaningful revenues from product sales, royalties, or sales milestones unless and until we successfully complete development and obtain regulatory approval for one or more of our product candidates, which we expect will take a number of years. If we obtain regulatory approval for any of our product candidates, we expect to incur significant commercialization expenses related to product sales, marketing, manufacturing and distribution. Accordingly, we will seek to fund our operations through public or private equity or debt financings, collaboration arrangements, or other sources. However, we may be unable to raise additional funds or enter into such other arrangements when needed on favorable terms or at all. Our failure to raise capital or enter into such other arrangements when needed would have a negative effect on our financial condition and ability to develop our product candidates. We believe we have sufficient funding to operate for at least twelve months from the date of issuance of this Quarterly Report on Form 10-Q.</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conduct substantially all of our activities through Fate Therapeutics, Inc., a Delaware corporation, at our facilities headquartered in San Diego, California. Our results of operations include our operations and those of our consolidated subsidiaries. To date, the aggregate operations of our subsidiaries have not been significant and all intercompany transactions and balances have been eliminated in consolidation.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revenues from therapeutic product sales or royalties. Our revenues have been derived from collaboration agreements and government grants.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Agreement with Ono Pharmaceutical Co., Ltd.</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September 14, 2018, we entered into the Ono Agreement for the joint development and commercialization of two iPSC-derived CAR T-cell product candidates (Candidate 1 and Candidate 2). Pursuant to the terms of the Ono Agreement, we received an upfront, non-refundable and non-creditable payment of $10.0 million. Additionally, we were entitled to receive fees for the conduct of research and nonclinical development under a joint development plan, which fees were estimated to be $20.0 million in aggregate.</w:t>
      </w:r>
    </w:p>
    <w:p>
      <w:pPr>
        <w:spacing w:after="0" w:line="72"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7"/>
          <w:szCs w:val="17"/>
          <w:color w:val="auto"/>
        </w:rPr>
        <w:t>In December 2020, we entered into a letter agreement with Ono (the Ono Letter Agreement) pursuant to which Ono delivered proprietary antigen binding domains targeting an antigen expressed on certain solid tumors for incorporation into Candidate 2 and paid us a milestone fee of $10.0 million for further research and nonclinical development of Candidate 2. In addition, Ono terminated all further research and nonclinical development with respect to Candidate 1, and we retained all rights to research, develop and commercialize Candidate 1 throughout the world without any obligation to Ono.</w:t>
      </w:r>
    </w:p>
    <w:p>
      <w:pPr>
        <w:spacing w:after="0" w:line="5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June 2022, we entered into an amendment with Ono to the Ono Agreement (the 2022 Ono Amendment). Pursuant to the 2022 Ono Amendment, the companies agreed to designate an additional antigen expressed on certain solid tumors for research and nonclinical development, and Ono agreed to contribute proprietary antigen binding domains targeting such additional solid tumor antigen (Candidate 3). Similar to Candidate 2, we granted to Ono, during a specified period of time, a nonclinical option (Candidate 3 Development Option) to obtain an exclusive license under certain intellectual property rights, subject to payment of an option exercise fee to us by Ono, to further develop and commercialize Candidate 3 in all territories of the world, where we retain rights to co-develop and co-commercialize Candidate 3 in the United States and Europe under a joint arrangement with Ono pursuant to which we are eligible to share at least 50% of the profits and losses. The Candidate 3 Development Option represents an option with no material right.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November 2022, Ono exercised its option to obtain a license to develop and commercialize Candidate 2 (the Candidate 2 Development Option), and we exercised our option to co-develop and co-commercialize Candidate 2 in the United States and Europe. We and Ono are proceeding under a joint development plan for the ongoing development of Candidate 2, and, as such, we have initiated clinical studies for Candidate 2. The costs of this joint development plan are accounted for in accordance with ASC 808, and cost sharing payments to us from Ono are recorded as contra-research and development expenses.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2022, 2023, 2024, and 2025, we entered into amendments with Ono to the Ono Agreement (the Ono Amendments). Under the Ono Amendments, aggregate estimated research and nonclinical development fees payable by Ono to us for Candidate 3 were increased to a total estimated $44.5 million over the course of the joint development plan.</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June 30, 2026, the performance obligations related to the research and nonclinical development on Candidate 3 have been met. We have received all committed funding under the nonclinical joint development plan from Ono through June 2026. The Candidate 3 Development Option expires upon the achievement of the pre-defined clinical milestone under the joint development plan.</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account for the Ono Agreement, Ono Letter Agreement, and Ono Amendments (collectively, the Ono Arrangement) under ASC 808. We concluded that certain units of account, specifically the grant of a research license to certain intellectual property and the performance of research and nonclinical development, within the Ono Arrangement represented a customer relationship and applied relevant guidance from ASC 606 to evaluate the appropriate accounting for those units of account. The initial transaction price under the Ono Arrangement was determined to be $54.5 million, consisting of the upfront, non-refundable and non-creditable payment of $10.0 million, the aggregate estimated research and nonclinical development fees of $44.5 million. We identified our promised goods and services under the Ono Arrangement to include our grant to Ono of a research license to certain of our intellectual property subject to certain conditions, our conduct of research and nonclinical development services, and our participation in a joint steering committee. We determined that the promised goods and services should be accounted for as one combined performance obligation. We recognized revenue for the combined performance obligation over time as the research and nonclinical development services were performed, and such performance obligation was completed as of June 30, 2026.</w:t>
      </w:r>
    </w:p>
    <w:p>
      <w:pPr>
        <w:spacing w:after="0" w:line="8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Under the Ono Agreement, we recognized no collaboration revenue and $3.4 million of collaboration revenue during the three and nine months ended September 30, 2026, respectively, and recorded $0.5 million and $2.4 million of contra-research and development expense, respectively. During the three and nine months ended September 30, 2025, we recognized $1.7 million and $5.3 million of collaboration revenue, respectively, and recorded $1.3 million and $4.5 million of contra-research and development expense, respectively.</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the research, nonclinical development, process and scale-up development, manufacture and clinical development of our product candidates, the research and development of our cell programming technology including our iPSC product platform, and the performance of research and development activities under our collaboration agreements. These costs are expensed as incurred and include:</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employee-related costs, including stock-based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clinical trial agreements with investigative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nonclinical study and clinical trial materials, including our product candidates;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conducting, executing and managing our nonclinical, process and scale-up development, manufacturing, clinical and regulatory activities, including fees paid to third-party professional consultants, service providers and suppliers, including CROs;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for our research, development and manufacturing activities, including under our collaboration agreements;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laboratory equipment, materials and supplies for the manufacture of our product candidates to support our clinical trials and the conduct of our research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license and maintain intellectual property;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including allocated expenses for rent and maintenance of facilities.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5" w:name="page26"/>
    <w:bookmarkEnd w:id="25"/>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plan to continue to significantly invest in our current level of research and development activities for the foreseeable future as we continue the clinical and nonclinical development and manufacture of our product candidates, research and develop our iPSC product platform, and perform our obligations under collaboration agreements including under our agreements with Ono and the University of Minnesota. Our current planned research and development activities over the next twelve months consist primarily of the following:</w:t>
      </w:r>
    </w:p>
    <w:p>
      <w:pPr>
        <w:spacing w:after="0" w:line="72" w:lineRule="exact"/>
        <w:rPr>
          <w:sz w:val="20"/>
          <w:szCs w:val="20"/>
          <w:color w:val="auto"/>
        </w:rPr>
      </w:pPr>
    </w:p>
    <w:p>
      <w:pPr>
        <w:ind w:left="1020" w:right="3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trials of our product candidates, including through the engagement of CROs to manage various aspects of our clinical trials;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GMP production, process and scale-up development and technology transfer activities for the manufacture of our product candidates, including those undergoing clinical investigation and IND-enabling nonclinical development;</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laboratory equipment, materials and supplies for the manufacture of our product candidates and the conduct of our research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nonclinical and clinical research to investigate the therapeutic activity of our product candidates; and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research, development and manufacturing activities, including under our sponsored research and collaboration agreement with Ono.</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Due to the inherently unpredictable nature of nonclinical and clinical development and manufacture, and given our novel therapeutic approach and the current stage of development of our product candidates, we cannot determine and are unable to estimate with certainty the timelines we will require and the costs we will incur for the development and manufacture of our product candidates. Clinical and nonclinical development and manufacturing timelines and costs, and the potential of development and manufacturing success, can differ materially from expectations. In addition, we cannot forecast which product candidates may be subject to future collaborations, when such arrangements will be secured, if at all, and to what degree such arrangements would affect our development and manufacturing plans and capital requirements. We cannot predict the effects of the impact of global economic and market conditions, including wars and other armed conflicts, or any continued and prolonged public health emergency, on our business and operations, and our expenditures may be increased by delays or disruptions due to these or other factors, including as a result of actions we take in the near term to ensure business continuity and protect against possible supply chain shortages.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employee-related costs, including stock-based compensation, for our employees in executive, operational, finance and human resource functions; professional fees for accounting, legal and tax services; costs for obtaining, prosecuting, maintaining, and enforcing our intellectual property; and other costs and fees, including director and officer insurance premiums, to support our operations as a public company. We anticipate that our general and administrative expenses will remain significant in the future as we maintain our focus on innovation, supporting our research and development activities, maintaining compliance with exchange listing and SEC requirements, protecting and enforcing our intellectual property, and continuing to operate as a public company.</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consists of changes in the fair value of stock price appreciation milestones associated with the Amended and Restated Exclusive License Agreement dated May 15, 2018 (Amended MSKCC License) with MSKCC, interest income earned on cash and cash equivalents and interest income from investments (including the amortization of discounts and premiums).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California Institute for Regenerative Medicine Awards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FT819-102 CIRM Award</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February 2024, we were awarded $7.9 million from the California Institute for Regenerative Medicine (CIRM) to support the conduct of our Phase 1 study of FT819 in patients with systemic lupus erythematosus and, in April 2024, we executed an award agreement with CIRM (the FT819-102 CIRM Award). Pursuant to the terms of the FT819-102 CIRM Award, we are eligible to receive five disbursements in varying amounts from CIRM, with one disbursement receivable upon the execution of the award and four disbursements receivable based upon the completion of certain development milestones throughout the period of the award, which is estimated to be from April 1, 2024 to March 31, 2028 (the Award Period). Under the FT819-102 CIRM Award, we have certain obligations of co-funding and are required to provide CIRM progress and financial update reports throughout the Award Period.</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Following the conclusion of the Award Period, we, in our sole discretion, have the option to treat the FT819-102 CIRM Award either as a loan or as a grant. If we do not elect to treat the FT819-102 CIRM Award as a loan within 10 years of the award date, the award will be considered a grant and we will be obligated to pay CIRM, on a quarterly basis, a low single-digit royalty on commercial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sales of FT819 until such aggregate royalty payments equal nine times the total amount awarded to us under the FT819-102 CIRM Award.</w:t>
      </w:r>
    </w:p>
    <w:p>
      <w:pPr>
        <w:spacing w:after="0" w:line="11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Since we may, at our election, repay some or all of the FT819-102 CIRM Award, we account for the award as a liability until the time of election. As of September 30, 2026, we have received four disbursements under the award in the aggregate amount of $7.9 million, which is recorded as a liability on the accompanying consolidated balance sheets. As of September 30, 2026, the total amount received is recorded as a CIRM liability in the consolidated balance sheets, with $6.3 million classified as current and the remaining $1.6 million as non-current, based on the portion we expect to be payable within twelve months from the balance sheet date.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FT836 CIRM Award</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2025, we were awarded $4.0 million from CIRM to support the conduct of nonclinical and IND-enabling activities for FT836, and in May 2025, we executed an award agreement with CIRM (the FT836 CIRM Award). Pursuant to the terms of the FT836 CIRM Award, we are eligible to receive four disbursements in varying amounts from CIRM, with one disbursement receivable upon the execution of the award and three disbursements receivable based upon the completion of certain development milestones throughout the period of the award, which lasted from May 1, 2025 to October 31, 2025 (the FT836 Award Period). Under the FT836 CIRM Award, we have certain obligations of co-funding and are required to provide CIRM progress and financial update reports throughout the FT836 Award Period.</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in our sole discretion, have the option to treat the FT836 CIRM Award either as a loan or as a grant. If we do not elect to treat the FT836 CIRM Award as a loan within 10 years of the award date, the award will be considered a grant and we will be obligated to pay CIRM, on a quarterly basis, a low single-digit royalty on commercial sales of FT836 until such aggregate royalty payments equal nine times the total amount awarded to us under the FT836 CIRM Award.</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Since we may, at our election, repay some or all of the FT836 CIRM Award, we account for the award as a liability until the time of election. As of September 30, 2026, we have received four disbursements under the FT836 CIRM Award in the aggregate amount of $4.0 million. As of September 30, 2026, the total amount received is recorded as a CIRM liability in the consolidated balance sheets, with $3.2 million classified as current and the remaining $0.8 million as non-current, based on the portion we expect to be payable within twelve months from the balance sheet date.</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FT819-201 CIRM Award</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September 2026, we were awarded a $15.0 million grant from CIRM to support the clinical development of RECLAIM-LN, our Phase 2 trial of FT819 off-the-shelf CAR T cell in patients with refractory moderate-to-severe Systemic Lupus Erythematosus (SLE) with Lupus Nephritis (LN). As of the date of this Quarterly Report, the award agreement has not been executed, and no funding has been recognized in connection with the award.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unaudited condensed consolidated financial statements, which have been prepared in accordance with generally accepted accounting principles in the United States. The preparation of these unaudited condensed consolidated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the fair value of the stock price appreciation milestones for the Amended MSKCC License, contracts containing leases, accrued expenses, stock-based compensation, and the estimated total costs expected to be incurred under our collaboration agreements. We base our estimates on historical experience, known trends and events, financial models,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estimates and judgments involved in our accounting policies, as described in Item 7 of our Annual Report on Form 10-K for the year ended December 31, 2025, continue to be our critical accounting policies and there have been no other material changes to our critical accounting policies during the nine months ended September 30, 2026.</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See Note 1 to the unaudited condensed consolidated financial statements for a summary of critical accounting policies and information related to recent accounting pronouncements.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months ended September 30, 2026 and 2025 (in thousands):</w:t>
      </w:r>
    </w:p>
    <w:p>
      <w:pPr>
        <w:spacing w:after="0" w:line="219" w:lineRule="exact"/>
        <w:rPr>
          <w:sz w:val="20"/>
          <w:szCs w:val="20"/>
          <w:color w:val="auto"/>
        </w:rPr>
      </w:pPr>
    </w:p>
    <w:tbl>
      <w:tblPr>
        <w:tblLayout w:type="fixed"/>
        <w:tblInd w:w="238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80" w:type="dxa"/>
            <w:vAlign w:val="bottom"/>
          </w:tcPr>
          <w:p>
            <w:pPr>
              <w:spacing w:after="0"/>
              <w:rPr>
                <w:sz w:val="12"/>
                <w:szCs w:val="12"/>
                <w:color w:val="auto"/>
              </w:rPr>
            </w:pPr>
          </w:p>
        </w:tc>
      </w:tr>
      <w:tr>
        <w:trPr>
          <w:trHeight w:val="209"/>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   (1,741)</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25,838</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(1,623)</w:t>
            </w:r>
          </w:p>
        </w:tc>
      </w:tr>
      <w:tr>
        <w:trPr>
          <w:trHeight w:val="21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(2,606)</w:t>
            </w: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(925)</w:t>
            </w:r>
          </w:p>
        </w:tc>
      </w:tr>
    </w:tbl>
    <w:p>
      <w:pPr>
        <w:spacing w:after="0" w:line="17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Collaboration Revenue. </w:t>
      </w:r>
      <w:r>
        <w:rPr>
          <w:rFonts w:ascii="Times New Roman" w:cs="Times New Roman" w:eastAsia="Times New Roman" w:hAnsi="Times New Roman"/>
          <w:sz w:val="18"/>
          <w:szCs w:val="18"/>
          <w:color w:val="auto"/>
        </w:rPr>
        <w:t>During the three months ended September 30, 2026, we did not recognize collaboration revenue, and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we recognized $1.7 million of collaboration revenue under our collaboration agreement with Ono. The decrease was attributable to the completion of all performance obligations under the Ono Agreement as of June 30, 2026, after which no additional collaboration revenue was recognized.</w:t>
      </w:r>
    </w:p>
    <w:p>
      <w:pPr>
        <w:spacing w:after="0" w:line="72"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$24.2 million for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$25.8 million for the three months ended September 30, 2025. The decrease in research and development expenses was attributable primarily to the following:</w:t>
      </w:r>
    </w:p>
    <w:p>
      <w:pPr>
        <w:spacing w:after="0" w:line="67" w:lineRule="exact"/>
        <w:rPr>
          <w:sz w:val="20"/>
          <w:szCs w:val="20"/>
          <w:color w:val="auto"/>
        </w:rPr>
      </w:pPr>
    </w:p>
    <w:p>
      <w:pPr>
        <w:ind w:left="1020" w:right="8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decrease in employee compensation and benefits expense, including a $1.1 million decrease in employee stock-based compensation expense;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decrease in laboratory materials and supplies expenses relating to the manufacture of our product candidates; partially offset by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increase in clinical trial related expense.</w:t>
      </w:r>
    </w:p>
    <w:p>
      <w:pPr>
        <w:spacing w:after="0" w:line="11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$8.0 million for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$10.6 million for the three months ended September 30, 2025. The decrease in general and administrative expenses was attributable primarily to a $1.2 million decrease in employee compensation and benefits expense, including a $1.1 million decrease in employee stock-based compensation expense, a $0.5 million decrease in third-party professional consultant and advisory fees, and a $0.3 million decrease in patent and legal expenses.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was $1.6 million and $2.5 million for the three months ended September 30,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respectively. During the three months ended September 30, 2026, we recorded $0.2 million in other income attributable to the change in fair value of the stock price appreciation milestones under the Amended MSKCC License. Other income (expense), net for the three months ended September 30, 2026 also consisted of interest income earned on cash and cash equivalents and interest income from investments (including the amortization of discounts and premiums).</w:t>
      </w:r>
    </w:p>
    <w:p>
      <w:pPr>
        <w:spacing w:after="0" w:line="7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we recorded $0.1 million in other expense attributable to the change in fair value of the stock price appreciation milestones under the Amended MSKCC License. Other income (expense), net for the three months ended September 30, 2025 also consisted of interest income earned on cash and cash equivalents and interest income from investments (including the amortization of discounts and premiums).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nine months ended September 30, 2026 and 2025 (in thousands):</w:t>
      </w:r>
    </w:p>
    <w:p>
      <w:pPr>
        <w:spacing w:after="0" w:line="219" w:lineRule="exact"/>
        <w:rPr>
          <w:sz w:val="20"/>
          <w:szCs w:val="20"/>
          <w:color w:val="auto"/>
        </w:rPr>
      </w:pPr>
    </w:p>
    <w:tbl>
      <w:tblPr>
        <w:tblLayout w:type="fixed"/>
        <w:tblInd w:w="242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2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80" w:type="dxa"/>
            <w:vAlign w:val="bottom"/>
          </w:tcPr>
          <w:p>
            <w:pPr>
              <w:spacing w:after="0"/>
              <w:rPr>
                <w:sz w:val="12"/>
                <w:szCs w:val="12"/>
                <w:color w:val="auto"/>
              </w:rPr>
            </w:pPr>
          </w:p>
        </w:tc>
      </w:tr>
      <w:tr>
        <w:trPr>
          <w:trHeight w:val="21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   (1,896)</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82,404</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(9,099)</w:t>
            </w: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35,856</w:t>
            </w: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(9,399)</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(4,720)</w:t>
            </w:r>
          </w:p>
        </w:tc>
      </w:tr>
    </w:tbl>
    <w:p>
      <w:pPr>
        <w:spacing w:after="0" w:line="177"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Collaboration Revenue. </w:t>
      </w:r>
      <w:r>
        <w:rPr>
          <w:rFonts w:ascii="Times New Roman" w:cs="Times New Roman" w:eastAsia="Times New Roman" w:hAnsi="Times New Roman"/>
          <w:sz w:val="18"/>
          <w:szCs w:val="18"/>
          <w:color w:val="auto"/>
        </w:rPr>
        <w:t>During the nine months ended September 30, 2026 and 2025, we recognized revenue of $3.4 million and $5.3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under our collaboration agreement with Ono. The decrease was attributable to the completion of all performance obligations under the Ono Agreement as of June 30, 2026, after which no additional collaboration revenue was recognized.</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8" w:name="page29"/>
    <w:bookmarkEnd w:id="28"/>
    <w:p>
      <w:pPr>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$73.3 million for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$82.4 million for the nine months ended September 30, 2025. The decrease in research and development expenses was attributable primarily to the following:</w:t>
      </w:r>
    </w:p>
    <w:p>
      <w:pPr>
        <w:spacing w:after="0" w:line="67" w:lineRule="exact"/>
        <w:rPr>
          <w:sz w:val="20"/>
          <w:szCs w:val="20"/>
          <w:color w:val="auto"/>
        </w:rPr>
      </w:pPr>
    </w:p>
    <w:p>
      <w:pPr>
        <w:ind w:left="1020" w:right="8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million decrease in employee compensation and benefits expense, including a $4.7 million decrease in employee stock-based compensation expense;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decrease in third-party professional consultant and advisory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decrease in laboratory materials and supplies expenses relating to the manufacture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decrease in equipment depreciation; partially offset by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increase in clinical trial related expense.</w:t>
      </w:r>
    </w:p>
    <w:p>
      <w:pPr>
        <w:spacing w:after="0" w:line="11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$26.5 million for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$35.9 million for the nine months ended September 30, 2025. The decrease in general and administrative expenses was attributable primarily to a $4.5 million decrease in employee stock-based compensation expense, a $1.1 million decrease in third-party professional consultant and advisory fees, a $1.0 million decrease in patent and legal expenses, a $0.6 million decrease in local tax fees, and a $0.5 million decrease in insurance expense.</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was $4.3 million and $9.0 million for the nine months ended September 30,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respectively. During the nine months ended September 30, 2026, we recorded $0.5 million in other expense attributable to the change in fair value of the stock price appreciation milestones under the Amended MSKCC License. Other income (expense), net for the nine months ended September 30, 2026 also consisted of interest income earned on cash and cash equivalents and interest income from investments (including the amortization of discounts and premiums).</w:t>
      </w:r>
    </w:p>
    <w:p>
      <w:pPr>
        <w:spacing w:after="0" w:line="77"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we recorded $0.1 million in other income attributable to the change in fair value of the stock price appreciation milestones under the Amended MSKCC License. Other income (expense), net for the nine months ended September 30, 2025 also consisted of interest income earned on cash and cash equivalents and interest income from investments (including the amortization of discounts and premiums).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incurred losses and negative cash flows from operations since inception. As of September 30, 2026, we had an accumulated deficit of $1.6 billion and anticipate that we will continue to incur net losses for the foreseeable future. We expect that our cash, cash equivalents and short-term investments as of September 30, 2026 of $139.1 million will be sufficient to fund operations for at least the next twelve months from the date of issuance of these condensed consolidated financial statements.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net cash used in operating activities was $82.1 million and primarily consisted of a net loss of $92.1 million adjusted for non-cash items including stock-based compensation of $10.1 million and depreciation and amortization of $8.4 million.</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operating activities was $82.8 million and primarily consisted of a net loss of $103.9 million adjusted for non-cash items including stock-based compensation of $19.4 million and depreciation and amortization of $9.8 million.</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investing activities provided net cash of $65.0 million compared to cash provided by investing activities of $83.5 million during the nine months ended September 30, 2025. During the nine months ended September 30, 2026, we purchased $104.7 million of investments, which were offset by $170.0 million in maturities of investments. During the nine months ended September 30, 2025, we purchased $157.4 million of investments, which were offset by $245.6 million in maturities of investments. The remaining investing activities for the periods presented were primarily attributable to the purchase of property and equipment.</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financing activities provided cash of $9.4 million, which primarily consisted of proceeds from the sale and issuance of common stock under the ATM offering and the issuance of common stock from equity incentive plans pursuant to the exercise of employee stock options.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color w:val="auto"/>
        </w:rPr>
        <w:t>For the nine months ended September 30, 2025, financing activities provided cash of $3.8 million from proceeds of the FT836 CIRM award.</w:t>
      </w:r>
    </w:p>
    <w:p>
      <w:pPr>
        <w:spacing w:after="0" w:line="11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From our inception through September 30, 2026, we have funded our consolidated operations primarily through the public and private sale of common stock and pre-funded warrants, the private placement of preferred stock and convertible notes, commercial bank debt and revenues from collaboration activities and grants. As of September 30, 2026, we had aggregate cash and cash equivalents and short-term investments of $139.1 million.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Offerings Pursuant to Registration Statement on Form S-3 and Private Placement of Pre-Funded Warrants</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November 2023, the SEC declared effective our shelf registration statement on Form S-3 (File No. 333-275402). The shelf registration statement allows us to issue certain securities, including shares of our common stock, from time to time. The specific terms of any offering under the shelf registration statement would be established at the time of such offering. We were initially eligible to issue an aggregate of $300.0 million in securities under the shelf registration statement. Additionally, we entered into a sales agreement with Jefferies LLC (Jefferies) with respect to an at-the-market offering program (the ATM offering), under which we may offer and sell, from time to time at our sole discretion, shares of our common stock having an aggregate offering price of up to $100.0 million (which is included in the $300.0 million registered under the shelf registration statement) through Jefferies as the sales agent. As of September 30, 2026, we have sold an aggregate of 2,801,602 shares of common stock in accordance with the ATM offering program, resulting in gross proceeds of $8.0 million.</w:t>
      </w:r>
    </w:p>
    <w:p>
      <w:pPr>
        <w:spacing w:after="0" w:line="84"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In March 2024, we entered into an underwriting agreement with BofA Securities, Inc., Jefferies, and Leerink Partners LLC with respect to an underwritten public offering, under which we sold 14,545,454 shares of our common stock at a purchase price of $5.50 per share pursuant to the shelf registration statement.</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March 2024, concurrent with the underwritten public offering, we entered into a securities purchase agreement with a fund affiliated with Redmile Group, LLC under which we sold pre-funded warrants to purchase up to 3,636,364 shares of our common stock, at a purchase price of $5.499 per pre-funded warrant, in a private placement exempt from the registration requirements pursuant to Section 4(a)(2) of the Securities Act of 1933, as amended (the Securities Act). Pursuant to the terms of the purchase agreement, we agreed to register for resale the shares of common stock issuable upon the exercise of the pre-funded warrants (Warrant Shares). On April 18, 2024, we filed a resale registration statement on Form S-3 (File No. 333-278792), registering the Warrant Shares. The resale registration statement on Form S-3 was declared effective on April 29, 2024.</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or about the date hereof, we intend to enter into a sales agreement with Leerink Partners LLC (Leerink) providing for the offer and sale, from time to time, of up to $100.0 million in shares of our common stock in an at-the-market offering (the Leerink ATM Shares) and concurrently terminated the sales agreement with Jefferies. We intend to file a prospectus supplement under the shelf registration statement covering the offer and sale of the Leerink ATM Shares. The shelf registration statement reaches the third anniversary of its effectiveness on November 27, 2026, and prior to such date we intend to file a new shelf registration statement on Form S-3 (the New Registration Statement), which will include a prospectus covering the offer and sale of the Leerink ATM Shares. We will not be able to sell any securities, including the Leerink ATM Shares, pursuant to the New Registration Statement until it is declared effective by the SEC. Pending effectiveness of the New Registration Statement, we may continue to offer and sell securities under the shelf registration statement in accordance with Rule 415(a)(5) under the Securities Act.</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Capital Requirements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anticipate that we will continue to incur losses for the foreseeable future, and we expect the losses to remain significant as we continue the research, manufacture and development of, and seek regulatory approvals for, our product candidates and conduct additional research, manufacturing and development activities pursuant to our collaboration agreement with Ono. Our product candidates have not yet achieved regulatory approval and we may not be successful in achieving commercialization of our product candidates.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all the risks and uncertainties incident in the research, manufacture and development of therapeutic products, and cell therapy product candidates in particular. For example, the FDA or other regulatory authorities may require us to generate additional data or conduct additional nonclinical studies, manufacturing activities, or clinical trials, or may impose other requirements beyond those that we currently anticipate. Additionally, it is possible for a product candidate to show promising results in nonclinical studies or in clinical trials, but fail to establish sufficient safety and efficacy data necessary to obtain regulatory approvals. As a result of these and other risks and uncertainties and the probability of success, the duration and the cost of our research, manufacturing and development activities required to advance a product candidate cannot be accurately estimated and are subject to considerable variation. We may encounter difficulties, complications, delays and other unknown factors and unforeseen expenses in the course of our research, manufacturing and development activities, any of which may significantly increase our capital requirements and could adversely affect our liquidity.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firstLine="509"/>
        <w:spacing w:after="0" w:line="254" w:lineRule="auto"/>
        <w:rPr>
          <w:sz w:val="20"/>
          <w:szCs w:val="20"/>
          <w:color w:val="auto"/>
        </w:rPr>
      </w:pPr>
      <w:r>
        <w:rPr>
          <w:rFonts w:ascii="Times New Roman" w:cs="Times New Roman" w:eastAsia="Times New Roman" w:hAnsi="Times New Roman"/>
          <w:sz w:val="18"/>
          <w:szCs w:val="18"/>
          <w:color w:val="auto"/>
        </w:rPr>
        <w:t>We will require additional capital for the research, manufacture and development of our product candidates and to perform our obligations under our collaboration agreements, and we may need to seek additional funds sooner than expected due to any changes in our business, operations, financial condition or prospects, including any impacts of inflation rates and global economic conditions, and wars or other armed conflicts. For example, although we were awarded a $15.0 million grant from CIRM in September 2026 to support the clinical development of RECLAIM-LN, receipt of any funds under the grant is subject to the terms and conditions of the notice of award agreement, including our achievement of operational milestones therein, and we will not receive the anticipated funding unless and until the corresponding notice of award agreement has been executed, and unless and until we achieve the operational milestones set forth therein. Additionally, if Ono does not exercise the Candidate 3 Development Option before it expires, we will not recognize any additional revenue related to Candidate 3 under our collaboration agreement with Ono.</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expect to finance our capital requirements in the foreseeable future through the sale of public or private equity, debt securities, or through existing or future potential collaborations. However, additional capital may not be available to us on reasonable terms, if at all. If we are unable to raise additional capital in sufficient amounts or on terms acceptable to us, we may have to significantly delay, scale back or discontinue the research, manufacture or development of one or more of our product candidates. If we do raise additional funds through the issuance of additional equity or debt securities, it could result in dilution to our existing stockholders, increased fixed payment obligations and the existence of securities with rights that may be senior to those of our common stock. Additionally, if we incur indebtedness, we may become subject to financial or other covenants that could adversely restrict, impair or affect our ability to conduct our business, such as requiring us to relinquish rights to certain of our product candidates or technologies or limiting our ability to acquire, sell or license intellectual property rights or incur additional debt. Any of these events could significantly harm our business, operations, financial condition and prospects. In addition, the full impact of inflation rates, global political and economic instability, a continued and prolonged public health emergency, and wars and other armed conflicts, on our business, operations, financial condition and prospects, and on the global economy, are currently unknown and difficult to predict, and these events could materially and adversely affect our ability to raise capital through equity or debt financings in the future.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firstLine="509"/>
        <w:spacing w:after="0" w:line="258" w:lineRule="auto"/>
        <w:rPr>
          <w:sz w:val="20"/>
          <w:szCs w:val="20"/>
          <w:color w:val="auto"/>
        </w:rPr>
      </w:pPr>
      <w:r>
        <w:rPr>
          <w:rFonts w:ascii="Times New Roman" w:cs="Times New Roman" w:eastAsia="Times New Roman" w:hAnsi="Times New Roman"/>
          <w:sz w:val="18"/>
          <w:szCs w:val="18"/>
          <w:color w:val="auto"/>
        </w:rPr>
        <w:t>Our forecast of the period of time through which our existing cash, cash equivalents, and investments will be adequate to support our operations is a forward-looking statement and involves significant risks and uncertainties. We have based this forecast on assumptions that may prove to be wrong, and actual results could vary materially from our expectations, which may adversely affect our capital resources and liquidity. We could utilize our available capital resources sooner than we currently expect. The amount and timing of future funding requirements, both near- and long-term, will depend on many factors, including, but not limited to:</w:t>
      </w:r>
    </w:p>
    <w:p>
      <w:pPr>
        <w:spacing w:after="0" w:line="75" w:lineRule="exact"/>
        <w:rPr>
          <w:sz w:val="20"/>
          <w:szCs w:val="20"/>
          <w:color w:val="auto"/>
        </w:rPr>
      </w:pPr>
    </w:p>
    <w:p>
      <w:pPr>
        <w:ind w:left="1020" w:right="5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size, duration, costs and results of our clinical trials and nonclinical studies for our product candidates, including the timing and costs of manufacturing activities to support such clinical trials and nonclinical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the nature of product candidates that we pursue;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maintaining internal GMP production capabilities to support the clinical and potential commercial manufacture of our product candidates at our corporate headquarters;</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GMP production, process and scale-up development and technology transfer activities for the manufacture of our product candidates, including the cost of laboratory equipment, materials and supplies to support these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cost and outcome of seeking and obtaining regulatory approvals;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MSKCC in connection with the stock price appreciation milestones;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milestones are achieved under our collaboration agreement with Ono, and any other strategic partnership or collaboration agreements that we may enter into in the future, and the time to achievement of such milestones and our receipt of any associated milestone payments;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 and the cost of enforcing any of our other contractual rights;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 including our need and ability to hire additional employees and procure additional equipment, materials and supplies;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continuation of collaborations and strategic alliances;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in-licensing and out-licensing transactions;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manufacturing and distribution capabilities for, and the pricing and reimbursement of, any products for which we may receive regulatory approval.</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we are closely monitoring inflation rates and global political and economic conditions, including the impact of tariffs, wars and other armed conflicts, and evaluating adjustments to our business and operations, which may negatively impact our financial condition and prospects and our operating results. We will continue to assess our operating capital requirements and may make adjustments to our business and operations if circumstances warrant. If we cannot continue or expand our research, manufacturing and development operations, or otherwise capitalize on our business opportunities, because we lack sufficient capital, our business, operations, financial condition and prospects could be materially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lease certain office, laboratory, and manufacturing space under non-cancelable operating leases. In addition to rent, our leases are subject to certain fixed amenities fees. These leases are also subject to additional variable charges for common area maintenance, property taxes, property insurance and other variable costs. See Note 7 to the unaudited condensed consolidated financial statements for additional detail.</w:t>
      </w:r>
    </w:p>
    <w:p>
      <w:pPr>
        <w:spacing w:after="0" w:line="68"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We entered into a license agreement with MSKCC under which we obtained rights relating to compositions and methods covering iPSC-derived cellular immunotherapy, including T-cells and NK-cells derived from iPSCs engineered with CARs. In the event a licensed product achieves a specified clinical milestone, MSKCC is then eligible to receive certain milestone payments totaling up to $75.0 million based on the price of our common stock, where the amount of such payments owed to MSKCC are contingent upon certain increases in the price of our common stock following the date of achievement of such clinical milestone. In July 2021, we achieved the specified clinical milestone for a licensed product under the Amended MSKCC License and our ten-trading day trailing average common stock price exceeded the first, pre-specified threshold. As a result, we remitted payment to MSKCC for the first milestone payment of $20.0 million. See Note 2 to the unaudited condensed consolidated financial statements for additional detail surrounding our stock price appreciation milestone obligations.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2" w:name="page33"/>
    <w:bookmarkEnd w:id="32"/>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have no material contractual obligations not fully recorded on our unaudited condensed consolidated balance sheets or fully disclosed in the notes to the financial statements.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340" w:firstLine="509"/>
        <w:spacing w:after="0" w:line="276" w:lineRule="auto"/>
        <w:rPr>
          <w:sz w:val="20"/>
          <w:szCs w:val="20"/>
          <w:color w:val="auto"/>
        </w:rPr>
      </w:pPr>
      <w:r>
        <w:rPr>
          <w:rFonts w:ascii="Times New Roman" w:cs="Times New Roman" w:eastAsia="Times New Roman" w:hAnsi="Times New Roman"/>
          <w:sz w:val="17"/>
          <w:szCs w:val="17"/>
          <w:color w:val="auto"/>
        </w:rPr>
        <w:t>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15d-15(e)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cost-benefit relationship of possible controls and procedures. Based on this evaluation, our principal executive officer and principal financial officer concluded that our disclosure controls and procedures were effective at the reasonable assurance level as of September 30, 2026.</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latest fiscal quarter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60" w:firstLine="509"/>
        <w:spacing w:after="0" w:line="252" w:lineRule="auto"/>
        <w:rPr>
          <w:sz w:val="20"/>
          <w:szCs w:val="20"/>
          <w:color w:val="auto"/>
        </w:rPr>
      </w:pPr>
      <w:r>
        <w:rPr>
          <w:rFonts w:ascii="Times New Roman" w:cs="Times New Roman" w:eastAsia="Times New Roman" w:hAnsi="Times New Roman"/>
          <w:sz w:val="18"/>
          <w:szCs w:val="18"/>
          <w:color w:val="auto"/>
        </w:rPr>
        <w:t>On January 20, 2023, a purported stockholder of our company filed a securities class action lawsuit against us and certain of our officers captioned Hadian v. Fate Therapeutics, Inc. et al. in the U.S. District Court for the Southern District of California (the Securities Action). On May 4, 2023, the court appointed a different purported stockholder of our company to serve as lead plaintiff in the Securities Action. On July 24, 2023, the lead plaintiff filed an amended complaint. The amended complaint alleged that we violated the federal securities laws by making allegedly false and/or misleading statements and/or omissions in our public disclosures dating back to August 2020 relating to our collaboration agreement with Janssen Biotech, Inc. (the Janssen Agreement), potential product candidates subject to the Janssen Agreement, and the termination of the Janssen Agreement. On September 22, 2023, we filed a motion to dismiss the amended complaint. On September 19, 2024, the court granted our motion to dismiss the amended complaint, with leave for plaintiff to file a second amended complaint. On October 18, 2024, the lead plaintiff filed a second amended complaint alleging substantially similar facts and claims as in the prior amended complaint. We filed a motion to dismiss the second amended complaint on November 18, 2024. On September 22, 2025, the court granted our motion to dismiss the second amended complaint, with leave for plaintiff to file a third amended complaint. On October 17, 2025, the plaintiff filed a third amended complaint. We filed a motion to dismiss the third amended complaint on November 17, 2025. Plaintiff filed an opposition brief on December 18, 2025. On September 24, 2026, the court denied our motion to dismiss and permitted claims concerning four alleged misstatements made in 2022 to proceed. We filed an answer to the third amended complaint on October 8, 2026. The parties are currently in the early stages of discovery. We intend to continue to vigorously defend against this action.</w:t>
      </w:r>
    </w:p>
    <w:p>
      <w:pPr>
        <w:spacing w:after="0" w:line="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June 2, 2023, a derivative complaint, captioned Guarino v. Wolchko, et al., was filed by a purported stockholder of our company in the U.S. District Court for the Southern District of California (the Guarino Action). On June 12, 2024, an additional derivative complaint, captioned Horrobin v. Wolchko, et al., was filed by a purported stockholder of our company in the same district (the Horrobin Action). On December 2, 2024, the court entered an order consolidating the Guarino Action and the Horrobin Action under the caption In re Fate Therapeutics, Inc. Derivative Litigation (the Derivative Action) and staying the Derivative Action pending the court’s decision on our motion to dismiss the second amended complaint in the Securities Action. On September 22, 2025, the stay of the consolidated case automatically expired when the decision dismissing the second amended complaint in the Securities Action was issued. On October 24, 2025, the court extended the stay pending the court’s decision on our anticipated motion to dismiss the third amended complaint. On September 24, 2026, the renewed stay of the Derivative Action automatically expired when the decision denying our motion to dismiss the third amended complaint in the Securities Action was issued. On October 27, 2026, at the request of the parties, the court entered a further order staying that Derivative Action until the earliest of (i) the public announcement of any settlement in the Securities Action or (ii) final resolution of the Securities Action and exhaustion of all related appeals. The Derivative Action names members of our board of directors and certain officers as defendants. We are also named as a nominal defendant. The plaintiffs in the Derivative Actions assert derivative claims arising out of substantially the same alleged facts and circumstances as the Securities Action. The Guarino complaint asserts claims for breach of fiduciary duty, unjust enrichment, abuse of control, gross mismanagement, waste of corporate assets, and violation of federal securities laws. The Horrobin complaint asserts substantially similar claims in addition to a claim of breach of fiduciary duty for insider trading. We intend to vigorously defend against the Derivative Action.</w:t>
      </w:r>
    </w:p>
    <w:p>
      <w:pPr>
        <w:spacing w:after="0" w:line="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December 17, 2025, a derivative complaint, captioned West v. Wolchko, et al., was filed by a purported stockholder of our company in the Court of Chancery of the State of Delaware (the West Action). The West Action names certain current and former members of our board of directors and certain current and former officers as defendants. We are also named as a nominal defendant. The plaintiff in the West Action asserts derivative claims for breach of fiduciary duty and insider trading arising out of substantially the same alleged facts and circumstances as the Securities Action. On January 16, 2026, the court entered an order staying the West Action. On September 24, 2026, the stay of the West Action automatically expired when the decision denying our motion to dismiss the third amended complaint in the Securities Action was issued. On October 28, 2026, at the request of the parties, the court entered a further order staying the West Action until the earliest of: (i) the public announcement of any settlement in the Securities Action; (ii) final resolution of the Securities Action and exhaustion of all related appeals; or (iii) any of the parties giving ten (10) days’ written notice that they no longer consent to the stay. We intend to vigorously defend against the West Action.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From time to time, we may be subject to various other legal proceedings and claims that arise in the ordinary course of our business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as well as the other information in this Quarterly Report on Form 10-Q,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Regulation of Our Product Candidates</w:t>
      </w:r>
    </w:p>
    <w:p>
      <w:pPr>
        <w:spacing w:after="0" w:line="225"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complete the nonclinical or clinical development of, or to obtain regulatory approval for, our product candidates, our business would be significantly harmed.</w:t>
      </w:r>
    </w:p>
    <w:p>
      <w:pPr>
        <w:spacing w:after="0" w:line="9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All of our product candidates are currently in research or clinical development. We have not completed clinical development of or obtained regulatory approval for any of our product candidates. As certain of our product candidates advance through clinical development, the operational, regulatory, manufacturing, and clinical challenges we face may evolve. Only a small percentage of research and development programs ultimately result in commercially successful products, and we cannot assure you that any of our product candidates will demonstrate the safety, purity and potency, or efficacy profiles necessary to support further nonclinical study, clinical development or regulatory approval. In addition, we have historically focused on the development of cell therapies for cancer. We have limited experience in developing treatments for autoimmune diseases, and there are no cell therapies approved in the United States to treat autoimmune diseases.</w:t>
      </w:r>
    </w:p>
    <w:p>
      <w:pPr>
        <w:spacing w:after="0" w:line="8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delays in, or pause or cancel our ongoing and planned clinical development activities or research and development activities for any of our product candidates for a variety of reasons, including:</w:t>
      </w:r>
    </w:p>
    <w:p>
      <w:pPr>
        <w:spacing w:after="0" w:line="54" w:lineRule="exact"/>
        <w:rPr>
          <w:sz w:val="20"/>
          <w:szCs w:val="20"/>
          <w:color w:val="auto"/>
        </w:rPr>
      </w:pPr>
    </w:p>
    <w:p>
      <w:pPr>
        <w:ind w:left="1020" w:right="14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optimizing the right dose and dosing schedule for our product candidates, which might result in a determination that a product candidate is ineffective, causes harmful side effects, or otherwise presents unacceptable safety risks during clinical trials or has an unfavorable toxicity profile in nonclinical studies or clinical trials to support initiating or continuing clinical investigation;</w:t>
      </w:r>
    </w:p>
    <w:p>
      <w:pPr>
        <w:spacing w:after="0" w:line="6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or distributing a product candidate, including the inability to manufacture and distribute a product candidate in a sufficient quantity, suitable form, or in a cost-effective manner, or under protocols and processes and with materials and facilities acceptable to the U.S. Food and Drug Administration (FDA) or comparable foreign regulatory authorities for the conduct of clinical trials or for marketing approval;</w:t>
      </w:r>
    </w:p>
    <w:p>
      <w:pPr>
        <w:spacing w:after="0" w:line="7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making arrangements with various medical divisions across hospitals or with other treatment centers for administration of our product candidates, including with treatment centers and relevant hospital divisions to perform infusion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prioritization of certain of our product candidates for advancement or the emergence of competing products or product candidates developed by others, including a decision to cease research and development of any existing product candidate due to its potential obsolescence by a competing product or product candidate or our determination that another of our existing or future product candidates has greater potential for clinical development, regulatory approval, or commercialization, including potentially greater therapeutic benefit, a more favorable safety or efficacy profile, a more consistent or more cost effective manufacturing process, or a more favorable commercial profile, including greater market acceptance or commercial potential, or more advantageous intellectual property position;</w:t>
      </w:r>
    </w:p>
    <w:p>
      <w:pPr>
        <w:spacing w:after="0" w:line="79"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and delays in trial execution which may result from our testing of multiple product candidates in the same indication in different clinical trials, as well as competition from biotechnology and pharmaceutical companies, universities, and other research institutions for patients, qualified investigators and clinical trial sites;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third parties, which may preclude us from developing, manufacturing or commercializing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that a product candidate may be uneconomical to develop, manufacture, or commercialize;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market acceptance or third-party coverage and an adequate pricing and reimbursement profile;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or maintain relationships with strategic partners that may be necessary for advancement of a product candidate into or through clinical development, regulatory approval and commercialization in any particular indication(s) or geographic territory(ies);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p>
      <w:pPr>
        <w:ind w:left="1020" w:right="1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establishing predictive nonclinical models for demonstration of safety and efficacy of a product candidate in one or more potential therapeutic areas for clinical development.</w:t>
      </w:r>
    </w:p>
    <w:p>
      <w:pPr>
        <w:spacing w:after="0" w:line="54"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Additionally, we will only be able to obtain regulatory approval to market a product candidate if we can demonstrate, to the satisfaction of the FDA or comparable foreign regulatory authorities, in well-designed and conducted clinical trials that such product candidate is manufactured in accordance with applicable regulatory requirements, is safe, pure and potent, or effective, and otherwise meets the appropriate standards required for approval for a particular indication. Our ability to obtain regulatory approval of our product candidates depends on, among other things, completion of additional nonclinical studies, process development and manufacturing activities, and clinical trials, whether our clinical trials demonstrate statistically significant efficacy with safety profiles that do not potentially outweigh the therapeutic benefit, and whether regulatory agencies agree that the trial study design, conduct of, and the data from our clinical trials and our manufacturing operations are sufficient to support approval. In addition, the approval by the FDA of new products in the same indications that we are studying may change the standard of care, and this may result in the FDA or other regulatory agencies requesting that we conduct additional studies to show that our product candidate is superior to the new standard of care. Securing regulatory approval also requires the submission of information about product manufacturing operations to, and inspection of manufacturing facilities by, the relevant regulatory authority. The results of our current and future clinical trials may not meet the FDA’s or other regulatory agencies’ requirements to approve a product candidate for marketing, and the regulatory agencies may otherwise determine that our manufacturing operations are insufficient to support approval. We may need to conduct nonclinical studies and clinical trials that we currently do not anticipate, including as a result of changes in FDA policies or regulations or in the standard of care. If we fail to complete nonclinical or clinical development of, or obtain regulatory approval for, our product candidates, we will not be able to generate any revenues from product sales and our ability to receive milestone or other payments under any collaboration agreements may be impaired, which will harm our business, prospects, financial condition and results of operations.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face delays in initiating, conducting or completing our clinical trials, and we may not be able to initiate, conduct or complete them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w:t>
      </w:r>
    </w:p>
    <w:p>
      <w:pPr>
        <w:spacing w:after="0" w:line="13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heavily dependent on our ability to complete the clinical development of, and obtain regulatory approval for, our product candidates. We have not completed the clinical trials necessary to support an application for approval to market any of our product candidates. We, or any investigators who initiate or conduct clinical trials of our product candidates, may experience delays in our current or future clinical trials, and we do not know whether we or our investigators will be able to initiate, enroll patients in, or complete, clinical trials of our product candidates on time, if at all.</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August 2026, we initiated RECLAIM-LN, our Phase 2 clinical trial of FT819 in patients with refractory moderate-to-severe systemic lupus erythematosus with lupus nephritis, which we believe may potentially support registration of FT819. Although the design of RECLAIM-LN was developed following interactions with the FDA, there can be no assurance that the results of RECLAIM-LN will be sufficient to support submission or approval of a BLA for FT819. The FDA may determine that the design, size, patient population, endpoints, or results of RECLAIM-LN are insufficient to support regulatory approval and may require us to enroll additional patients, conduct additional trials, or generate additional safety, efficacy, or other data. Any such requirement could significantly delay or prevent regulatory approval of FT819 and increase our development costs.</w:t>
      </w:r>
    </w:p>
    <w:p>
      <w:pPr>
        <w:spacing w:after="0" w:line="7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Current and future clinical trials of our product candidates may be delayed, unsuccessful or terminated, or not initiated at all, as a result of many factors, including factors related to:</w:t>
      </w:r>
    </w:p>
    <w:p>
      <w:pPr>
        <w:spacing w:after="0" w:line="54" w:lineRule="exact"/>
        <w:rPr>
          <w:sz w:val="20"/>
          <w:szCs w:val="20"/>
          <w:color w:val="auto"/>
        </w:rPr>
      </w:pPr>
    </w:p>
    <w:p>
      <w:pPr>
        <w:ind w:left="1020" w:right="2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recruiting eligible patients for participation in clinical trials of our product candidates, including pediatric patients who need parental consent;</w:t>
      </w:r>
    </w:p>
    <w:p>
      <w:pPr>
        <w:spacing w:after="0" w:line="53"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enrolling a sufficient number of suitable patients to conduct clinical trials of our product candidates, including difficulties resulting from limits on the availability of patients in sufficiently close proximity to clinical sites, patients enrolling in studies of therapeutic product candidates sponsored by us or our competitors and difficulties resulting from patient availability as a result of any measures taken by governmental authorities, hospitals, or clinical trial sites in response to any future public health crises or other serious disasters or similar events;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determining suitable doses and schedules of our novel cell product candidates for evaluation in clinical trials;</w:t>
      </w:r>
    </w:p>
    <w:p>
      <w:pPr>
        <w:spacing w:after="0" w:line="117" w:lineRule="exact"/>
        <w:rPr>
          <w:rFonts w:ascii="Times New Roman" w:cs="Times New Roman" w:eastAsia="Times New Roman" w:hAnsi="Times New Roman"/>
          <w:sz w:val="18"/>
          <w:szCs w:val="18"/>
          <w:color w:val="auto"/>
        </w:rPr>
      </w:pPr>
    </w:p>
    <w:p>
      <w:pPr>
        <w:jc w:val="both"/>
        <w:ind w:left="1020" w:right="46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agreement from regulatory authorities on study endpoints and/or study duration, achieving study endpoints, the amount and sufficiency of data demonstrating efficacy and safety, and completing data analysis in clinical trials for any of our product candidates;</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an Investigational New Drug (IND) application or IND amendment with the FDA to initiate or amend clinical trials of our current product candidates and any other product candidates that we may identify;</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agreement with regulatory authorities on the nonclinical safety and efficacy data, the manufacturing requirements, and the clinical trial design and parameters necessary for an IND application to go into effect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ind w:left="503"/>
        <w:spacing w:after="0"/>
        <w:rPr>
          <w:sz w:val="20"/>
          <w:szCs w:val="20"/>
          <w:color w:val="auto"/>
        </w:rPr>
      </w:pPr>
      <w:r>
        <w:rPr>
          <w:rFonts w:ascii="Times New Roman" w:cs="Times New Roman" w:eastAsia="Times New Roman" w:hAnsi="Times New Roman"/>
          <w:sz w:val="18"/>
          <w:szCs w:val="18"/>
          <w:color w:val="auto"/>
        </w:rPr>
        <w:t>to initiate and conduct clinical trials for any of our current product candidates and any other product candidates that we may develop;</w:t>
      </w:r>
    </w:p>
    <w:p>
      <w:pPr>
        <w:spacing w:after="0" w:line="117" w:lineRule="exact"/>
        <w:rPr>
          <w:sz w:val="20"/>
          <w:szCs w:val="20"/>
          <w:color w:val="auto"/>
        </w:rPr>
      </w:pPr>
    </w:p>
    <w:p>
      <w:pPr>
        <w:ind w:left="503" w:right="24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unexpected safety issues or adverse events in any ongoing or future clinical trials of our product candidates, including in trials of our product candidates conducted by investigator-sponsors;</w:t>
      </w:r>
    </w:p>
    <w:p>
      <w:pPr>
        <w:spacing w:after="0" w:line="53" w:lineRule="exact"/>
        <w:rPr>
          <w:rFonts w:ascii="Times New Roman" w:cs="Times New Roman" w:eastAsia="Times New Roman" w:hAnsi="Times New Roman"/>
          <w:sz w:val="18"/>
          <w:szCs w:val="18"/>
          <w:color w:val="auto"/>
        </w:rPr>
      </w:pPr>
    </w:p>
    <w:p>
      <w:pPr>
        <w:jc w:val="both"/>
        <w:ind w:left="503" w:right="28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and maintaining the support of clinical investigators and investigational sites, including investigators and sites who may conduct clinical trials under an investigator-sponsored IND with our financial support, and obtaining institutional review board (IRB) approval at each site for the conduct of our clinical trials;</w:t>
      </w:r>
    </w:p>
    <w:p>
      <w:pPr>
        <w:spacing w:after="0" w:line="67" w:lineRule="exact"/>
        <w:rPr>
          <w:rFonts w:ascii="Times New Roman" w:cs="Times New Roman" w:eastAsia="Times New Roman" w:hAnsi="Times New Roman"/>
          <w:sz w:val="18"/>
          <w:szCs w:val="18"/>
          <w:color w:val="auto"/>
        </w:rPr>
      </w:pPr>
    </w:p>
    <w:p>
      <w:pPr>
        <w:ind w:left="503" w:right="58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third-party service providers and clinical trial sites, the terms of which can be subject to extensive negotiation and may vary significantly among different service providers and clinical trial sites;</w:t>
      </w:r>
    </w:p>
    <w:p>
      <w:pPr>
        <w:spacing w:after="0" w:line="53"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certain of our product candidates consistently, and at acceptable quality levels and costs, in accordance with our protocol-specified manufacturing requirements and applicable regulatory requirements;</w:t>
      </w:r>
    </w:p>
    <w:p>
      <w:pPr>
        <w:spacing w:after="0" w:line="53" w:lineRule="exact"/>
        <w:rPr>
          <w:rFonts w:ascii="Times New Roman" w:cs="Times New Roman" w:eastAsia="Times New Roman" w:hAnsi="Times New Roman"/>
          <w:sz w:val="18"/>
          <w:szCs w:val="18"/>
          <w:color w:val="auto"/>
        </w:rPr>
      </w:pPr>
    </w:p>
    <w:p>
      <w:pPr>
        <w:ind w:left="503" w:hanging="503"/>
        <w:spacing w:after="0" w:line="261"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delays in obtaining sufficient quantities of suitable raw materials, components, and equipment necessary for the conduct of our clinical trials or the manufacture of any product candidate, including any inability to obtain materials as a result of supply chain issues related to any future public health crises or other serious disasters or ongoing or emerging global geopolitical tensions, including wars and other armed conflicts, or other factors;</w:t>
      </w:r>
    </w:p>
    <w:p>
      <w:pPr>
        <w:spacing w:after="0" w:line="71" w:lineRule="exact"/>
        <w:rPr>
          <w:rFonts w:ascii="Times New Roman" w:cs="Times New Roman" w:eastAsia="Times New Roman" w:hAnsi="Times New Roman"/>
          <w:sz w:val="18"/>
          <w:szCs w:val="18"/>
          <w:color w:val="auto"/>
        </w:rPr>
      </w:pPr>
    </w:p>
    <w:p>
      <w:pPr>
        <w:ind w:left="503" w:right="80" w:hanging="503"/>
        <w:spacing w:after="0" w:line="261"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delays by us or by our clinical sites to obtain sufficient quantities of components and supplies necessary for the conduct of our clinical trials, including any inability to obtain agents such as cyclophosphamide or fludarabine which may be required to condition patients for treatment with our product candidates, or certain monoclonal antibodies which are intended for administration to patients in combination with many of our product candidates in certain of our clinical trials;</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distributing our product candidates to clinical trial sites, or failure to establish effective protocols for the supply and transport of our product candidates;</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conducting clinical trials or manufacturing of our product candidates being greater than we anticipate, including due to rising inflation rates, or the timelines for these activities being longer than we anticipate;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investigators, third-party service providers, or clinical trial sites, to ensure the proper and timely conduct of and analysis of data from clinical trials of our product candidates;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 on clinical trial design and parameters with regulatory authorities, investigators, and IRBs;</w:t>
      </w:r>
    </w:p>
    <w:p>
      <w:pPr>
        <w:spacing w:after="0" w:line="117" w:lineRule="exact"/>
        <w:rPr>
          <w:rFonts w:ascii="Times New Roman" w:cs="Times New Roman" w:eastAsia="Times New Roman" w:hAnsi="Times New Roman"/>
          <w:sz w:val="18"/>
          <w:szCs w:val="18"/>
          <w:color w:val="auto"/>
        </w:rPr>
      </w:pPr>
    </w:p>
    <w:p>
      <w:pPr>
        <w:ind w:left="503" w:right="20" w:hanging="503"/>
        <w:spacing w:after="0" w:line="255"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or triggering of protocol-defined stopping rules, by data monitoring committees or regulatory agencies for a number of reasons, including after review of an IND submission or amendment, or equivalent application or amendment, as a result of a new safety finding that presents unreasonable risk to clinical trial participants, a negative finding from an inspection of our clinical trial operations or trial sites, developments in trials conducted by us or our competitors that raise concerns about the safety risk to patients of novel therapeutics derived from pluripotent or genome edited therapies and/or negative public perception of the same, or if the FDA or other foreign regulatory authorities find that the investigational protocol or plan is clearly deficient to meet its stated objectives;</w:t>
      </w:r>
    </w:p>
    <w:p>
      <w:pPr>
        <w:spacing w:after="0" w:line="80"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clinical trials of product candidates in oncology indications, the serious, life-threatening diseases of the patients in our oncology clinical trials, who may die or suffer adverse medical events during the course of the trials for reasons that may not be related to our product candidates;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patients to complete participation in a clinical trial or adhere to study protocols;</w:t>
      </w:r>
    </w:p>
    <w:p>
      <w:pPr>
        <w:spacing w:after="0" w:line="117"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competitive agents or changes in the standard of care or treatment landscape on which a clinical development plan was based, which may require new or additional trials, or render our product candidates or clinical trial designs obsolete;</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503" w:hanging="503"/>
        <w:spacing w:after="0" w:line="261"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including any delays due to limitations on the availability of governmental and regulatory agency personnel to review regulatory filings, conduct site inspections or engage in discussions with us as a result of government shutdowns, any future public health crisis or other serious disaster or similar events, failure to obtain regulatory approval, or uncertainty or changes in U.S. or foreign regulatory requirements, policy or guidelines;</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staffing and resources at our clinical trial sites to support our trials on a timely basis; and</w:t>
      </w:r>
    </w:p>
    <w:p>
      <w:pPr>
        <w:spacing w:after="0" w:line="117"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clinical trial conduct at our clinical trial sites resulting from prioritization of hospital and other medical resources toward other efforts, such as any future public health crisis or other serious disaster or similar events, policies</w:t>
      </w:r>
    </w:p>
    <w:p>
      <w:pPr>
        <w:spacing w:after="0" w:line="162"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93" w:right="359" w:bottom="1440" w:gutter="0" w:footer="0" w:header="0"/>
        </w:sectPr>
      </w:pPr>
    </w:p>
    <w:bookmarkStart w:id="37" w:name="page38"/>
    <w:bookmarkEnd w:id="37"/>
    <w:p>
      <w:pPr>
        <w:ind w:left="1020" w:right="460"/>
        <w:spacing w:after="0" w:line="266" w:lineRule="auto"/>
        <w:rPr>
          <w:sz w:val="20"/>
          <w:szCs w:val="20"/>
          <w:color w:val="auto"/>
        </w:rPr>
      </w:pPr>
      <w:r>
        <w:rPr>
          <w:rFonts w:ascii="Times New Roman" w:cs="Times New Roman" w:eastAsia="Times New Roman" w:hAnsi="Times New Roman"/>
          <w:sz w:val="18"/>
          <w:szCs w:val="18"/>
          <w:color w:val="auto"/>
        </w:rPr>
        <w:t>and procedures implemented at clinical sites with respect to the conduct of clinical trials including those relating to site initiation, study monitoring, and data collection and analysis, and other precautionary measures taken in treating patients or in practicing medicine in response to various public health concerns.</w:t>
      </w:r>
    </w:p>
    <w:p>
      <w:pPr>
        <w:spacing w:after="0" w:line="68"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If there are delays in initiating or conducting any clinical trials of our product candidates or any of these clinical trials are suspended or terminated before completion, the commercial prospects of our product candidates will be harmed. In addition, any delays in initiating, conducting or completing our clinical trials or adjustments to certain of our study protocols and procedures, including as a result of any shortage of materials or agents necessary to conduct our studies or as a result of any future public health crisis or other public health concerns or other factors, will increase our costs, slow down our product candidate development and regulatory approval process, and jeopardize our ability to gain regulatory approval, commence product sales and generate revenues. Furthermore, many of the factors that cause, or lead to, a delay in the initiation, conduct or completion of clinical trials may also ultimately lead to the denial of regulatory approval of our product candidates. Any of these occurrences would significantly harm our business, prospects, financial condition, results of operations, and market price of shares of our common stock.</w:t>
      </w:r>
    </w:p>
    <w:p>
      <w:pPr>
        <w:spacing w:after="0" w:line="8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may announce the expected timing of various scientific, clinical, regulatory, or other product development milestones. These milestones may include the filing or submission of regulatory filings, such as an IND or equivalent application, the commencement or expansion of clinical trials, or the development or release of data from our clinical trials. These milestones are and will be based on a variety of assumptions. If any of the foregoing factors impairs our ability to meet the announced timing of these milestones, we may experience significant harm to our business, prospects, financial condition, results of operations, and market price of shares of our common stock.</w:t>
      </w:r>
    </w:p>
    <w:p>
      <w:pPr>
        <w:spacing w:after="0" w:line="179"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manufacture and distribution of our cell product candidates, particularly our induced pluripotent stem cell (iPSC)-derived cell product candidates, is complex and subject to a multitude of risks. These risks could substantially increase our costs and limit the clinical and commercial supply of our product candidates, and the development and commercialization of our product candidates could be substantially delayed or restricted if the FDA or other regulatory authorities impose additional requirements on our manufacturing operations or if we are required to change our manufacturing operations to comply with regulatory requirements.</w:t>
      </w:r>
    </w:p>
    <w:p>
      <w:pPr>
        <w:spacing w:after="0" w:line="11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manufacture and supply of our cell product candidates involves novel processes that are more complex than those required for most small molecule drugs and other cellular immunotherapies, and accordingly present significant challenges and are subject to multiple risks. For our iPSC-derived product candidates, these complex processes include reprogramming human fibroblasts to obtain iPSCs, genetically engineering these iPSCs, and differentiating the iPSCs to obtain the desired cell product candidate. As a result of the complexities in manufacturing biologics and distributing cell therapies, the cost to manufacture and distribute biologics and cell therapies in general, and our cell product candidates in particular, is generally higher than for traditional small molecule chemical compounds. In addition, our cost of goods development is at an early stage. The actual cost to manufacture and process our product candidates could be greater than we expect and could materially and adversely affect our clinical trials and the commercial viability of our product candidates.</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limited experience in the manufacture of cell-based therapies. We are still developing optimized and reproducible manufacturing processes for clinical and commercial-scale manufacturing of our product candidates, and none of our manufacturing processes have been validated for commercial production of our product candidates. We may face multiple challenges as we scale our manufacturing for large-scale clinical trials or commercial-scale including, among others, cost overruns, potential problems with process scale-up, process reproducibility, stability issues, compliance with good manufacturing practices, lot consistency and timely availability of raw materials. In addition, we are continuing to optimize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 In May 2026, we announced that the FDA selected FT819 for participation in the Chemistry, Manufacturing and Controls (CMC) Development and Readiness Pilot (CDRP) Program for treatment of moderate to severe systemic lupus erythematosus (SLE). Participation in the CDRP Program is intended to accelerate product development by enabling enhanced, product-specific FDA engagement on chemistry, manufacturing and controls (CMC) related matters. The program provides increased communication with the FDA, including additional CMC-focused Type B meetings to help clarify development strategies, address key questions, and support manufacturing readiness. While the program is intended to accelerate product development, our participation may not result in any acceleration of our product development or manufacturing readiness.</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may make changes or be required by the FDA or other regulatory authorities to make changes to our manufacturing processes, including materials and equipment used in manufacturing our product candidates, as we continue to develop and refine the manufacturing and distribution processes for our product candidates for advanced clinical trials and commercialization, and we cannot be sure that even minor changes in these processes, materials, and equipment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nonclinical or comparability studies, or to collect additional clinical data from patients prior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right="500"/>
        <w:spacing w:after="0" w:line="282" w:lineRule="auto"/>
        <w:rPr>
          <w:sz w:val="20"/>
          <w:szCs w:val="20"/>
          <w:color w:val="auto"/>
        </w:rPr>
      </w:pPr>
      <w:r>
        <w:rPr>
          <w:rFonts w:ascii="Times New Roman" w:cs="Times New Roman" w:eastAsia="Times New Roman" w:hAnsi="Times New Roman"/>
          <w:sz w:val="18"/>
          <w:szCs w:val="18"/>
          <w:color w:val="auto"/>
        </w:rPr>
        <w:t>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16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manufacturing processes for any products that we may develop are subject to FDA and foreign regulatory authority approval requirements, and we and any contract manufacturing organizations (CMOs) or other third-party manufacturers that we may engage for manufacturing our product candidates will need to meet all applicable FDA and foreign regulatory authority requirements on an ongoing basis. Our existing product candidates are currently manufactured by us and our current manufacturing operations, including protocols, processes, materials, and facilities, may not support regulatory approval of our existing product candidates. We may be required to identify alternative protocols, processes, materials or facilities for the manufacture of any of these product candidates in compliance with applicable regulatory requirements. In addition, we may be required to make changes to our protocols for the supply and transport of our product candidates to enable effective distribution of our product candidates. Any modifications to our manufacturing and supply protocols, processes, materials or facilities, and any delays in, or inability to, establish acceptable manufacturing and supply operations for our product candidates could require us to incur additional development costs or result in delays to our clinical development. If we or any CMOs or other third-party manufacturers that we may engage for manufacturing our product candidates are unable to reliably produce products to specifications acceptable to the FDA or other regulatory authorities, we may not obtain or maintain the regulatory approvals we need to commercialize such products. Even if we obtain regulatory approval for any of our product candidates, there is no assurance that either we or any CMOs or other third-party manufacturers that we may engage for manufacturing our product candidates will be able to manufacture the approved product to specifications acceptable to the FDA or other regulatory authorities, to produce it in sufficient quantities and on the requisite timelines to meet the requirements for the potential launch of the product, or to meet potential future demand. Additionally, changes in regulatory requirements may require us or any third-party manufacturers that we may engage for manufacturing our product candidates to perform additional studies or to modify protocols, processes, materials or facilities for the manufacture of our product candidates or any components thereof. Any of these challenges could delay initiation or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prospects.</w:t>
      </w:r>
    </w:p>
    <w:p>
      <w:pPr>
        <w:spacing w:after="0" w:line="187"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to our manufacturing operations, or the inability by us or our third-party suppliers or manufacturers to manufacture sufficient quantities of our product candidates at acceptable quality levels or costs, or at all, would materially and adversely affect our business.</w:t>
      </w:r>
    </w:p>
    <w:p>
      <w:pPr>
        <w:spacing w:after="0" w:line="9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Developing manufacturing processes to support clinical studies and commercialization requirements is a difficult and uncertain task, and there are risks associated with scaling to the level required for clinical trials or commercialization, including, among others, cost overruns, potential problems with process scale-out, process reproducibility, stability and purity issues, lot consistency, and timely availability of acceptable reagents and raw materials. If we are unable to scale to the level required for the conduct of clinical trials or commercialization, we may not be able to produce our product candidates in a sufficient quantity to conduct our ongoing and planned clinical trials, or to meet demand if any product candidates are approved for commercialization. We have not yet caused any of our product candidates to be manufactured or processed on a commercial scale and may not be able to do so for any of our product candidates.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substantially dependent on our own internal manufacturing facilities in San Diego, California for the production of our product candidates, and we rely, and expect to continue to rely, on third parties for the manufacture of certain components to manufacture our product candidates for use in conducting clinical trials. The facilities used to manufacture our product candidates, including our own facilities, must be evaluated by the FDA or other foreign regulatory agencies pursuant to inspections that will be conducted after we submit an application to the FDA or other foreign regulatory agencies. If the FDA or a comparable foreign regulatory authority finds deficiencies with or does not approve these facilities for the manufacture of our product candidates or if it later finds deficiencies or withdraws any such approval in the future, we may not be able to locate additional or replacement facilities to produce such product candidates or materials in a timely manner and on commercially reasonable terms, or at all. This would significantly impact our ability to develop, obtain regulatory approval for or market our product candidates, if approved.</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we rely on our own manufacturing facilities to produce our product candidates and on third parties for the manufacture of certain components, we are required to transfer certain manufacturing process know-how and certain intermediates to third parties, including larger-scale facilities operated by a CMO or by us, to facilitate manufacture of our product candidates for clinical trials and commercialization. Transferring manufacturing testing and processes and know-how is complex and involves review and incorporation of both documented and undocumented processes that may have evolved over time. In addition, transferring production to different facilities may require utilization of new or different processes to meet the specific requirements of a given facility. We and any CMOs or third parties that we engage to manufacture our product candidates will need to conduct significant development work to transfer these processes and manufacture each of our product candidates for clinical trials and commercialization. In addition, we may be required to demonstrate the comparability of material generated by any CMO or third parties that we engage for manufacturing our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right="280"/>
        <w:spacing w:after="0" w:line="282" w:lineRule="auto"/>
        <w:rPr>
          <w:sz w:val="20"/>
          <w:szCs w:val="20"/>
          <w:color w:val="auto"/>
        </w:rPr>
      </w:pPr>
      <w:r>
        <w:rPr>
          <w:rFonts w:ascii="Times New Roman" w:cs="Times New Roman" w:eastAsia="Times New Roman" w:hAnsi="Times New Roman"/>
          <w:sz w:val="18"/>
          <w:szCs w:val="18"/>
          <w:color w:val="auto"/>
        </w:rPr>
        <w:t>product candidates with material previously produced and used in testing. Any inability to manufacture comparable drug product by us or any CMOs or third parties that we engage to manufacture our product candidates could delay the continued development of our product candidates.</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to relying on third parties for the manufacture of certain components used in the manufacture of our product candidates, we manufacture our product candidates ourselves, including all of the clinical supply of our iPSC-derived NK-cell and T-cell product candidates for our ongoing and planned clinical trials. We will need to scale up our own manufacturing operations, as we do not currently have the infrastructure or capability internally to manufacture sufficient quantities of each of our product candidates to support commercialization of each of our product candidates, if approved. Accordingly, we will be required to make significant investments to maintain and expand our existing Good Manufacturing Practice (GMP) manufacturing capabilities and facilities, establish additional GMP manufacturing facilities, conduct GMP production, and process and scale up development and technology transfer activities for the manufacture of our product candidates, and our efforts to scale our own manufacturing operations may not succeed.</w:t>
      </w:r>
    </w:p>
    <w:p>
      <w:pPr>
        <w:spacing w:after="0" w:line="18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Even if we are successful in developing manufacturing capabilities sufficient for clinical and commercial supply, problems with our manufacturing operations or those of the third-party manufacturers upon which we rely, including difficulties with production costs and yields, quality control, stability of the product, quality assurance testing, operator error, shortages of qualified personnel, shortages of materials and supplies, facility shutdowns, global pandemics or other public health concerns, global geopolitical tensions, including wars and other armed conflicts, natural disasters (including due to the effects of climate change) or other reasons, as well as compliance with strictly enforced federal, state and foreign regulations, could result in product defects or manufacturing failures that result in lot failures, product recalls, product liability claims or insufficient supplies of our product candidates for our ongoing and planned clinical trials or eventual commercialization. Further, delays in regulatory inspections, commissioning and receiving regulatory approvals for our manufacturing capabilities or facilities, including any new facilities could delay our development plans, including the initiation and conduct of our ongoing and planned clinical trials. In addition, we and our third-party manufacturers may have limited manufacturing capacity for certain product candidates or components used in manufacturing our product candidates, and we may fail to locate suitable additional or replacement manufacturing capacity, including for the manufacture of our product candidates in compliance with current GMP (cGMP) or current Good Tissue Practice (cGTP), on a reasonable basis or at all. Any such failure could be the basis for the FDA or other regulatory authorities to issue a FDA Form 483, warning letter, withdraw approvals for product candidates previously granted to us, or take other regulatory or legal action, including recall or seizure of outside supplies of the product candidate, total or partial suspension of production, suspension of ongoing clinical trials, refusal to approve pending applications or supplemental applications, detention of product, refusal to permit the import or export of products, injunction or imposing civil and criminal penalties.</w:t>
      </w:r>
    </w:p>
    <w:p>
      <w:pPr>
        <w:spacing w:after="0" w:line="19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Furthermore, certain of the components currently used in manufacturing our product candidates are research-grade only, and we may encounter problems obtaining or achieving adequate quantities and quality of clinical grade materials that meet FDA, European Medicines Agency, or other standards or specifications applicable in the United States or in other countries with consistent and acceptable production yields and costs. In addition, if contaminants are discovered in our supply of product candidates or in our manufacturing facilities or those of our third-party suppliers and manufacturers, such manufacturing facilities may be closed for an extended period of time to investigate and remedy the contamination. Any such events could delay or prevent our ability to obtain regulatory approval for or commercialize our product candidates, which would adversely affect our business, prospects, financial condition and results of operations.</w:t>
      </w:r>
    </w:p>
    <w:p>
      <w:pPr>
        <w:spacing w:after="0" w:line="185" w:lineRule="exact"/>
        <w:rPr>
          <w:sz w:val="20"/>
          <w:szCs w:val="20"/>
          <w:color w:val="auto"/>
        </w:rPr>
      </w:pPr>
    </w:p>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approach to the development of product candidates is based on novel and unproven technologies, it is subject to a substantial degree of technological uncertainty and we may not succeed in developing any of our product candidates.</w:t>
      </w:r>
    </w:p>
    <w:p>
      <w:pPr>
        <w:spacing w:after="0" w:line="9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All of our current product candidates are based on our novel iPSC platform, and some of our product candidates utilize novel genome editing technologies. To date, no iPSC-derived therapeutic product candidates have been approved in the United States or worldwide, and there have been only a limited number of regulatory approvals of genome edited therapeutics, and similarly a limited number of clinical trials involving the use of a therapeutic product candidate manufactured using a master iPSC line or genome edited cells. Additionally, in July 2026, we obtained FDA clearance to proceed with clinical research of FT839, a next-generation, off-the-shelf CAR T-cell product candidate uniquely engineered with dual CARs targeting CD19 and CD38 to target aberrant and pathogenic immune cells such as B cells, plasma cells, macrophages and activated T cells, as well as hematologic cancer cells of lymphoma, leukemia and myeloma origin. We may not be able to demonstrate that our candidates are tolerable or effective for their intended purposes. The development of such complex cell therapies is a relatively new and emerging field, and the scientific research that forms the basis of our efforts to discover and develop iPSC-derived and genome edited cellular immunotherapies is ongoing; this is particularly true in relation to the development of cell therapies for the treatment of autoimmune diseases where there is limited clinical data available and where we have limited prior experience. We may determine to incorporate information learned from this research into the design of our ongoing Phase 1 clinical trials of our iPSC product candidates, as well as our planned future clinical trials, which could delay or impair our clinical development activities. We may ultimately discover that our product candidates do not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0" w:name="page41"/>
    <w:bookmarkEnd w:id="40"/>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possess certain properties required for therapeutic effectiveness or protection from toxicity in our target patient populations, or they may exhibit undesirable side effects as more patient data become available. In addition, our product candidates may demonstrate different chemical and pharmacological properties in patients than they do in laboratory studies. It may take many years before we develop a full understanding of the pharmacological properties of our product candidates, and we may never know precisely how they function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As with any new biologic or drug product developed using novel technologies, our product candidates have an unknown immunogenicity profile. As a result, our cellular immunotherapy product candidates may trigger immune responses that inhibit their therapeutic effects or cause adverse side effects. In addition, one or more of our product candidates may:</w:t>
      </w:r>
    </w:p>
    <w:p>
      <w:pPr>
        <w:spacing w:after="0" w:line="81"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found ineffective or cause harmful side effects during nonclinical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receive necessary regulatory approvals on a timely basis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precluded from commercialization by proprietary rights of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difficult to manufacture on a large scale;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uneconomical to commercialize or fail to achieve market acceptance.</w:t>
      </w:r>
    </w:p>
    <w:p>
      <w:pPr>
        <w:spacing w:after="0" w:line="22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Any such problems that affect one of our product candidates may have an unfavorable impact on all of our product candidates. As a result, we may never succeed in developing a marketable product and we may never become profitable, which would have an adverse effect on our business, prospects, financial condition, results of operations, and market price of shares of our common stock.</w:t>
      </w:r>
    </w:p>
    <w:p>
      <w:pPr>
        <w:spacing w:after="0" w:line="172" w:lineRule="exact"/>
        <w:rPr>
          <w:sz w:val="20"/>
          <w:szCs w:val="20"/>
          <w:color w:val="auto"/>
        </w:rPr>
      </w:pPr>
    </w:p>
    <w:p>
      <w:pPr>
        <w:ind w:right="3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our current product candidates and any future product candidates may be used in combination with third-party drugs or biologics, some of which may still be in development, and we have limited or no control over the supply, regulatory status, or regulatory approval of such drugs or biologics.</w:t>
      </w:r>
    </w:p>
    <w:p>
      <w:pPr>
        <w:spacing w:after="0" w:line="10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Certain of our product candidates are being developed for use in combination with one or more other therapies, such as monoclonal antibodies, and other current or future product candidates may be used in combination with other biologics or drugs, both approved and unapproved, such as fludarabine. Our ability to develop and ultimately commercialize our current product candidates and any future product candidates used in combination with another drug or biologic will depend on our ability, or the ability of third-party clinical trial sites on which we rely, to access such drugs or biologics on commercially reasonable terms for the clinical trials and their availability for use with the commercialized product, if approved. We cannot be certain that we, or third-party clinical trial sites on which we rely, will be able to secure a steady supply of such drugs or biologics on commercially reasonable terms or at all.</w:t>
      </w:r>
    </w:p>
    <w:p>
      <w:pPr>
        <w:spacing w:after="0" w:line="18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Any failure by us, or by third-party clinical trial sites on which we rely, to secure a steady supply of such drugs or biologics may delay our development timelines, increase our costs and jeopardize our ability to develop our current product candidates and any future product candidates as commercially viable therapies. If any of these occur, our business, financial condition, results of operations, stock price and prospects may be materially harmed.</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Moreover, the development of product candidates for use in combination with another product or product candidate may present challenges that are not faced for single agent product candidates. For example,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combination therapy and not our current product candidates or any of our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marketing approval. Such developments may include changes to the other product’s safety or efficacy profile, changes to the availability of the approved product, quality, manufacturing and supply issues, and changes to the standard of care.</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the event that any collaborator or supplier cannot continue to supply their products on commercially reasonable terms, we would need to identify alternatives for accessing such products. Additionally, should the supply of products from any collaborator or supplier be interrupted, delayed or otherwise be unavailable, our clinical trials may be delayed. In the event we are unable to source an alternative supply or are unable to do so on commercially reasonable terms, our business, financial condition, results of operations, stock price and prospects may be materially harmed.</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extent a third-party clinical trial site on which we rely sources a combination therapy itself and does not submit the costs of such therapy to government programs or patients’ insurance, the costs of such therapy may be passed on to us, which could harm our business, financial condition, results of operations, stock price and prospects.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both"/>
        <w:ind w:right="42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encounter difficulties enrolling patients in our clinical trials, including as a result of challenges in identifying and recruiting eligible patients to participate in our trials or competition for patients, our clinical development activities could be delayed or otherwise adversely affected.</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required to identify and enroll a sufficient number of patients with the disease under investigation for each of our ongoing and planned clinical trials of our product candidates, and we may not be able to identify and enroll a sufficient number of patients, or those with required or desired characteristics and who meet certain criteria, in a timely manner. In addition, we will be competing with other clinical trials of product candidates being developed by our competitors in the same therapeutic areas, and potential patients who might be eligible for enrollment in one of our clinical trials may instead choose to enroll in a trial being conducted by one of our competitors. We may also face an unwillingness of sites to participate in our clinical trials. A number of cell therapy companies have recently commenced clinical trials for the treatment of autoimmune diseases, which has increased competition for investigators and for patients for our ongoing and any future clinical trials that we may initiate for the treatment of autoimmune diseases.</w:t>
      </w:r>
    </w:p>
    <w:p>
      <w:pPr>
        <w:spacing w:after="0" w:line="18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ability, and the ability of investigators, to enroll patients in our ongoing and planned clinical trials of our product candidates is affected by factors including:</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clinical trial sites and recruit clinical trial investigators with the appropriate capabilities, competencies and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solicit and recruit a sufficient number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and whether the FDA and other foreign regulatory agencies agree to the design and implementation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small size and nature of the patient populations for certain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clinical trials in question;</w:t>
      </w:r>
    </w:p>
    <w:p>
      <w:pPr>
        <w:spacing w:after="0" w:line="117"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and parents’ (for pediatric patients) perceptions as to the potential risks and benefits of the product candidate under study in relation to other available therapies, including any perceived risks associated with our iPSC-derived product candidates, which we believe are the first ever iPSC-derived cell therapies cleared by the FDA for clinical investigation in the United States, or with our chimeric antigen receptor (CAR) T-cell therapies broadly following FDA’s investigation into reports of T-cell malignancies for B-cell maturation antigen (BCMA)- and CD19-directed autologous CAR T-cell therapies, and perceived risks associated with the novel use of cell therapies for the treatment of autoimmune diseases, where there are no FDA-approved cell therapies and limited clinical precedent;</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medical practice patterns or guidelines related to the indications we are investigating;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therapies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time and resources at the limited number of institutions at which our clinical trials are or will be conducted, including any constraints on resources, or policies and procedures implemented, at hospitals and clinical trial sites as a result of any natural disaster or public health crisis;</w:t>
      </w:r>
    </w:p>
    <w:p>
      <w:pPr>
        <w:spacing w:after="0" w:line="6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components and agents necessary to enroll and treat prospective patients in our clinical trials, including agents which may be required to condition patients or monoclonal antibodies which are intended for administration to patients in combination with our product candidates, in certain of our clinical trials;</w:t>
      </w:r>
    </w:p>
    <w:p>
      <w:pPr>
        <w:spacing w:after="0" w:line="6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including through remote monitoring if required as a result of precautionary changes implemented at clinical trial sites as a result of any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Moreover, development of certain of our product candidates as treatment for autoimmune diseases represents a novel approach, and no cell therapies have been approved for commercial use for the treatment of autoimmune diseases. As a consequence, use of cell therapies such as our product candidates for the treatment of autoimmune diseases may not gain the acceptance of the public or medical community. Our ability to enroll patients in our clinical trials for treatment of autoimmune diseases will depend upon the treatment practices of physicians who specialize in the treatment of autoimmune diseases targeted by our product candidates,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2" w:name="page43"/>
    <w:bookmarkEnd w:id="42"/>
    <w:p>
      <w:pPr>
        <w:ind w:right="320"/>
        <w:spacing w:after="0" w:line="256" w:lineRule="auto"/>
        <w:rPr>
          <w:sz w:val="20"/>
          <w:szCs w:val="20"/>
          <w:color w:val="auto"/>
        </w:rPr>
      </w:pPr>
      <w:r>
        <w:rPr>
          <w:rFonts w:ascii="Times New Roman" w:cs="Times New Roman" w:eastAsia="Times New Roman" w:hAnsi="Times New Roman"/>
          <w:sz w:val="18"/>
          <w:szCs w:val="18"/>
          <w:color w:val="auto"/>
        </w:rPr>
        <w:t>enrollment in our clinical trials may be impaired if physicians are reluctant to enroll patients into our clinical trials in lieu of, or in addition to, using existing treatments with which they are more familiar and for which more clinical data may be available. In addition, patient populations targeted for autoimmune diseases by our product candidates are typically not at risk of near-term death, even if they may suffer life-threatening symptoms, so these patients will need to deem the potential benefits of our cell therapy product candidates to be worth the risk of unknown potential adverse side effects. Furthermore, autoimmune disease patients and their physicians may choose to use conventional therapies, such as corticosteroids or systemic immunosuppressive medications, rather than participate in our clinical trials.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that are in the same therapeutic areas as our product candidates. This competition will reduce the number of clinical trial sites and patients available to us because some clinical trial sites and patients may opt to participate in a trial being conducted by a competitor rather than participate in our clinical trials. If we have difficulty enrolling a sufficient number of patients to conduct our clinical trials as planned, we may need to delay or terminate ongoing or planned clinical trials, either of which would have an adverse effect on our business, prospects, financial condition, results of operations, and market price of shares of our common stock.</w:t>
      </w:r>
    </w:p>
    <w:p>
      <w:pPr>
        <w:spacing w:after="0" w:line="179"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clinical development of our product candidates could be substantially delayed if we are required to conduct unanticipated studies, including nonclinical studies or clinical trials, or if the FDA or other regulatory authorities impose other requirements or restrictions, including on the manufacture, of our product candidates.</w:t>
      </w:r>
    </w:p>
    <w:p>
      <w:pPr>
        <w:spacing w:after="0" w:line="10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FDA or other regulatory authorities may require us to generate additional nonclinical, product, manufacturing, or clinical data as a condition to continuing our current clinical trials, or initiating and conducting any future clinical trials of our current product candidates or other cell product candidates that we may identify. Additionally, the FDA or other regulatory authorities may in the future have comments, or impose requirements, on the conduct of our clinical trials or the initiation of clinical trials or any of our other iPSC-derived cell product candidates, including the protocols, processes, materials and facilities we use to manufacture our product candidates and potential future product candidates in support of clinical trials. Any requirements to generate additional data, or redesign or modify our protocols, processes, materials or facilities, or other additional comments, requirements or impositions by the FDA or other regulatory authorities, may cause delays in the initiation or conduct of current or future clinical trials for our product candidates and subsequent development activities for our product candidates, and could require us to incur additional development or manufacturing costs and resources, seek funding for these increased costs or resources or delay our timeline for, or cease, our nonclinical or clinical development activities for our product candidates, or could create uncertainty and additional complexity in our ability to obtain regulatory approval for our product candidates.</w:t>
      </w:r>
    </w:p>
    <w:p>
      <w:pPr>
        <w:spacing w:after="0" w:line="19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Further, if the results of our clinical trials are inconclusive, or if there are safety concerns or adverse events associated with our existing product candidates or any other product candidates we may identify, we may:</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unable to obtain, regulatory approval for such product candidates;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amend the protocols for our clinical trials, perform additional nonclinical studies or clinical trials to support approval or be subject to additional post-marketing testing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or contraindications; or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product candidate is approved, have regulatory authorities withdraw their approval of the product or impose restrictions on its use.</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our current and planned clinical trials are successful, we will need to conduct additional clinical trials, which may include registrational trials, trials in additional patient populations or under different treatment conditions, and trials using different manufacturing protocols, processes, materials or facilities or under different manufacturing conditions, before we are able to seek approvals for our product candidates from the FDA and regulatory authorities outside the United States to market and sell these product candidates. In addition, changes in regulatory policies under current or future U.S. presidential administrations may result in delays in the regulatory review and approval process and cause uncertainty regarding approval pathways. If we fail to meet the requirements to support continued clinical development, our clinical development activities for any of our product candidates are delayed or suspended, or we fail to obtain or maintain regulatory approvals with an acceptable scope, our business, prospects, financial condition and results of operations will be harmed.</w:t>
      </w:r>
    </w:p>
    <w:p>
      <w:pPr>
        <w:spacing w:after="0" w:line="188"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pursuing multiple programs and product candidates in our novel cell therapy development pipeline using an approach designed to enable rapid incorporation of new product features. If we elect to incorporate these new features into next-generation product candidates, this may render our existing product candidates obsolete, and we may devote our limited resources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3" w:name="page44"/>
    <w:bookmarkEnd w:id="43"/>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pursuit of a particular program for which there is a greater potential for success and fail to capitalize on development opportunities or product candidates that may be more advanced in development.</w:t>
      </w:r>
    </w:p>
    <w:p>
      <w:pPr>
        <w:spacing w:after="0" w:line="9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focus on the development of programmed cellular immunotherapies for patients, including off-the-shelf NK- and T-cell product candidates derived from clonal master engineered iPSC lines. Because our iPSC product platform is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We have also expanded our research and development efforts into areas outside of our initial focus in oncology, such as autoimmune diseases, where we have limited experience. Due to these factors, our spending on current and future research and development programs and product candidates and the scientific innovation arising from these expenditures, may not yield commercially viable product candidates.</w:t>
      </w:r>
    </w:p>
    <w:p>
      <w:pPr>
        <w:spacing w:after="0" w:line="184"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During the conduct of clinical trials, patients may report changes in their health, including illnesses, injuries and discomforts, to their doctor. Often, it is not possible to determine whether or not the product candidate being studied caused these conditions. Regulatory authorities may draw different conclusions and may require us to pause our clinical trials or require additional testing to confirm these determinations, if they occur. Drug-related side effects could also affect patient recruitment or the ability of enrolled patients to complete the trial or result in potential product liability claims.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may be reported by subjects or patients. Many times, drug-related side effects are only detectable after investigational products are tested in large-scale pivotal trials or, in some cases, after they are made available to patients on a commercial scale after approval.</w:t>
      </w:r>
    </w:p>
    <w:p>
      <w:pPr>
        <w:spacing w:after="0" w:line="183"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Currently approved CAR T-cell therapies and those under development have shown frequent rates of adverse events, some fatal, including infection, cytokine release syndrome (CRS), and Immune Effector Cell-Associated Neurotoxicity Syndrome (ICANS), and some adverse events have resulted in patient deaths. In clinical trials of our current product candidates, adverse events have occurred and there is a possibility that our current or future product candidates could cause similarly life threatening or fatal serious adverse events such as CRS and ICANS. Additionally, preconditioning regimens, such as those currently implemented in certain regimens of our clinical trials, may increase the risk of occurrence and severity of adverse side effects including infection, prolonged or persistent cytopenias, and ICANS. Patients in our clinical trials receiving preconditioning treatment may experience increased or more severe adverse effects specifically related to the preconditioning regimen, including allergic reactions, shortness of breath, fevers, infections, low blood counts, development of certain cancers, loss of fertility, temporary hair loss, and organ dysfunction. Furthermore, because certain autoimmune diseases we seek to treat may be less serious than the later stage cancers traditionally being treated with cell therapies or other immunotherapy products, we believe the FDA and other regulatory authorities will apply a different benefit-risk threshold such that any potential harmful side effects may outweigh the benefits of our product candidates and require us to cease clinical trials or result in denial of regulatory approval of our product candidates in autoimmune disease indications. Tolerance for adverse events in the autoimmune disease patient populations being pursued with cell-based therapies, such as in patients in our FT819 clinical trial for the treatment of SLE and other autoimmune disease indications, is expected to be lower than it is in oncology, and the risks of negative impacts from these toxicities may therefore be greater for our autoimmune programs than for our oncology programs or the oncology programs of others. Medical personnel using our product candidates may also need additional training to understand the potential side effect profile and potential toxicities associated with treatment with cellular immunotherapies, including FT819, and to appropriately recognize and manage any side effects that may occur in our clinical trials. Inadequate management of the potential side effects could result in patient deaths. Undesirable side effects, whether associated with our product candidate or with a preconditioning regimen, or with other companies’ similar candidates or products, may delay patient enrollment in our clinical trials, or cause us or regulatory authorities to interrupt, delay, or halt clinical trials. Any undesirable side effects could result in changes to our clinical trial design and development strategy, a more restrictive label, or the delay, denial, or revocation of regulatory approval by the FDA or foreign regulatory authorities or with other companies’ similar candidates or products. Any such delay or failure as a result of undesirable side effects would harm our business, financial condition, results of operations and prospects.</w:t>
      </w:r>
    </w:p>
    <w:p>
      <w:pPr>
        <w:spacing w:after="0" w:line="202" w:lineRule="exact"/>
        <w:rPr>
          <w:sz w:val="20"/>
          <w:szCs w:val="20"/>
          <w:color w:val="auto"/>
        </w:rPr>
      </w:pPr>
    </w:p>
    <w:p>
      <w:pPr>
        <w:jc w:val="both"/>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be adversely affected by investigators’ limited experience with CAR-T cell therapies, including lack of familiarity with CAR-T-specific safety profiles and adverse events, which could impact patient safety, safety reporting, and the interpretation of clinical trial results.</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4" w:name="page45"/>
    <w:bookmarkEnd w:id="44"/>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Our product candidates are CAR-T cell therapies, which are associated with unique and potentially severe or fatal safety risks, including CRS, ICANS, prolonged cytopenias, infections, and other immune-mediated or delayed adverse events. In September 2026, Novartis announced suspension of multiple studies of a CAR-T candidate after three patients who received the therapy suffered fatal cases of immune effector cell-associated hemophagocytic syndrome. Bristol Myers Squibb also paused clinical trials of a CAR-T candidate after observing transient and reversible inflammatory events.</w:t>
      </w:r>
    </w:p>
    <w:p>
      <w:pPr>
        <w:spacing w:after="0" w:line="164"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identification, grading, management, and timely reporting of these adverse events require specialized training and experience that differ significantly from those required for traditional therapies.</w:t>
      </w:r>
    </w:p>
    <w:p>
      <w:pPr>
        <w:spacing w:after="0" w:line="16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Many clinical trial investigators, site personnel, and institutions have limited prior experience conducting clinical trials involving CAR-T cell therapies or managing their associated toxicities, and these risks may be heightened as we evaluate the administration of certain of our product candidates, including FT819, in outpatient and community-based treatment settings. Although patients have been treated with FT819 in outpatient settings, our experience with outpatient and community-based administration remains limited. As we expand administration of FT819 to additional outpatient and community-based treatment settings, investigators, site personnel, and institutions may have varying levels of experience with CAR-T cell therapies and associated adverse events. As a result, investigators or site staff may not promptly recognize, accurately grade, or appropriately manage CAR-T-related adverse events, or may inconsistently apply applicable grading criteria, management guidelines, or reporting requirements. Inadequate or delayed identification and reporting of safety events could increase risks to patients, lead to incomplete or inconsistent safety data, serious safety risks, or result in inaccurate characterization of the safety profile of our product candidates.</w:t>
      </w:r>
    </w:p>
    <w:p>
      <w:pPr>
        <w:spacing w:after="0" w:line="18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In addition, variability in investigator experience with CAR-T therapies may contribute to inconsistent safety monitoring, delayed intervention, protocol deviations, or incomplete adverse event documentation across trial sites. These factors could complicate data interpretation, limit comparability across study cohorts or sites, and negatively affect discussions with regulatory authorities. Addressing such issues may require additional investigator training, increased monitoring, site remediation, or the replacement of clinical trial sites, which could increase costs, delay trial timelines, and divert management resources.</w:t>
      </w:r>
    </w:p>
    <w:p>
      <w:pPr>
        <w:spacing w:after="0" w:line="1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ensure that investigators and site personnel have sufficient expertise in the administration of CAR-T cell therapies and the management and reporting of CAR-T-associated adverse events, our clinical trials may be delayed, suspended, or terminated, regulatory approvals may be delayed or denied, and the commercial prospects for our product candidates could be materially adversely affected.</w:t>
      </w:r>
    </w:p>
    <w:p>
      <w:pPr>
        <w:spacing w:after="0" w:line="172"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are being developed for the treatment of patient populations with significant comorbidities, particularly in the case of oncology patients, that may result in deaths or serious adverse events or unacceptable side effects and require us to abandon or limit our clinical development activities.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Patients treated with our current product candidates, particularly in our clinical trials in oncology indications, may also receive chemotherapy, radiation, and/or other high dose or myeloablative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In particular, the oncology diseases we are studying have complex comorbidities and the patients enrolled in those studies are often critically ill.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 and the value of our common stock would decline.</w:t>
      </w:r>
    </w:p>
    <w:p>
      <w:pPr>
        <w:spacing w:after="0" w:line="184" w:lineRule="exact"/>
        <w:rPr>
          <w:sz w:val="20"/>
          <w:szCs w:val="20"/>
          <w:color w:val="auto"/>
        </w:rPr>
      </w:pPr>
    </w:p>
    <w:p>
      <w:pPr>
        <w:jc w:val="both"/>
        <w:ind w:right="1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product candidates are based on novel technologies, it is difficult to predict the regulatory approval process and the time, the cost and our ability to successfully initiate, conduct and complete clinical development, and obtain the necessary regulatory and reimbursement approvals, required for commercialization of our product candidates, if approved.</w:t>
      </w:r>
    </w:p>
    <w:p>
      <w:pPr>
        <w:spacing w:after="0" w:line="1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cell programming technology and platform for generating cell therapy products using iPSCs represent novel therapeutic approaches, and to our knowledge there are currently no iPSC-derived cell products approved anywhere in the world for commercial sale. As such, it is difficult to accurately predict the type and scope of challenges we may incur during development of our product candidates, and we face uncertainties associated with the nonclinical and clinical development, manufacture and regulatory requirements for the initiation and conduct of clinical trials, regulatory approval, and reimbursement required for successful commercialization of these product candidates. In addition, because our iPSC-derived cell product candidates are all in the clinical or nonclinical stage, we are currently assessing safety in humans and have not yet been able to assess the long-term effects of treatment. Animal models and assays may not accurately predict the safety and efficacy of our product candidates in our target patient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240"/>
        <w:spacing w:after="0" w:line="282" w:lineRule="auto"/>
        <w:rPr>
          <w:sz w:val="20"/>
          <w:szCs w:val="20"/>
          <w:color w:val="auto"/>
        </w:rPr>
      </w:pPr>
      <w:r>
        <w:rPr>
          <w:rFonts w:ascii="Times New Roman" w:cs="Times New Roman" w:eastAsia="Times New Roman" w:hAnsi="Times New Roman"/>
          <w:sz w:val="18"/>
          <w:szCs w:val="18"/>
          <w:color w:val="auto"/>
        </w:rPr>
        <w:t>populations, and appropriate models and assays may not exist for demonstrating the safety and purity of our product candidates, as required by the FDA and other regulatory authorities for ongoing clinical development and regulatory approval.</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nonclinical and clinical development, manufacture, and regulatory requirements for approval of novel product candidates such as ours can be more expensive and take longer than for other more well-known or extensively studied pharmaceutical or biopharmaceutical product candidates due to a lack of prior experiences on the side of both developers and regulatory agencies. Cellular immunotherapies, and iPSC-derived cell therapies in particular, represent relatively new therapeutic areas, and the FDA has cautioned consumers about potential safety risks associated with cell therapies. For example, in January 2024, the FDA determined that new safety information related to T-cell malignancies should be included in the labeling with boxed warning language on these malignancies for all BCMA- and CD19-directed genetically modified autologous T-cell immunotherapies. To date, there are relatively few approved cell therapies as treatments for cancer, and no cell-based therapies have been approved for commercial use for the treatment of an autoimmune disease. Currently, all approved CAR T-cell immunotherapies are in oncology indications, and there can be no assurance that the FDA will find the risks of treatment with cell therapy acceptable in other indications, such as autoimmune diseases. Additionally, due to the uncertainties associated with the nonclinical and clinical development, manufacture, and regulatory requirements for approval of our product candidates, we may be required to modify or change our nonclinical and clinical development plans or our manufacturing activities and plans, or be required to meet stricter regulatory requirements for approval. Any such modifications or changes could delay or prevent our ability to develop, manufacture, obtain regulatory approval or commercialize our product candidates, which would adversely affect our business, financial condition and results of operations.</w:t>
      </w:r>
    </w:p>
    <w:p>
      <w:pPr>
        <w:spacing w:after="0" w:line="183"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obtain regulatory approval from the FDA or comparable foreign regulatory authorities for our product candidates, which would prevent or delay commercialization and adversely affect our business.</w:t>
      </w:r>
    </w:p>
    <w:p>
      <w:pPr>
        <w:spacing w:after="0" w:line="15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development, testing, manufacture and commercialization of our product candidates are subject to extensive regulation by the FDA and comparable foreign regulatory authorities. The regulatory approval process for novel product candidates such as ours is particularly uncertain and may be more expensive and take longer than the approval process for cell therapy product candidates based on other, better known or more extensively studied technologies and therapeutic approaches. As a result, we cannot assure that any of our product candidates will receive regulatory approval in the United States or in any other jurisdiction.</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candidates could fail to receive regulatory approval from the FDA or a comparable foreign regulatory authority for many reasons, including:</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conduct of our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a favorable benefit-risk profile for a product candidate for its proposed 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stability, safety, purity and potency of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sites to conduct studies in accordance with applicable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studies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nonclinical studies or clinical studies;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data collected from clinical studies to support the submission, filing or approval of a biologics license application (BLA) or other regulatory submission;</w:t>
      </w:r>
    </w:p>
    <w:p>
      <w:pPr>
        <w:spacing w:after="0" w:line="53" w:lineRule="exact"/>
        <w:rPr>
          <w:rFonts w:ascii="Times New Roman" w:cs="Times New Roman" w:eastAsia="Times New Roman" w:hAnsi="Times New Roman"/>
          <w:sz w:val="18"/>
          <w:szCs w:val="18"/>
          <w:color w:val="auto"/>
        </w:rPr>
      </w:pPr>
    </w:p>
    <w:p>
      <w:pPr>
        <w:ind w:left="1020" w:right="460" w:hanging="503"/>
        <w:spacing w:after="0" w:line="312" w:lineRule="auto"/>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reach agreement with the FDA or comparable foreign regulatory authorities on the methodologies for, and assessment of, comparability of different versions of a product candidate used in non-pivotal studies, pivotal studies and for intended commercial use;</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our manufacturing processes or of our own manufacturing facilities;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inconsistencies in requested or required methodologies, statistical analyses, specification criteria or regulatory submission requirements for a product candidate, including changes to, or inconsistencies with, applicable industry practice or precedent; or</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approval policies or regulations, or changes in positions, guidance or feedback communicated by the FDA or comparable foreign regulatory authorities, that render our nonclinical or clinical data insufficient to support approval or otherwise negatively impact the potential approval of a product candidate.</w:t>
      </w:r>
    </w:p>
    <w:p>
      <w:pPr>
        <w:spacing w:after="0" w:line="176"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Regulatory requirements in the United States and in other countries governing the development of cell therapy products and therapeutic products created with gene editing technology have changed frequently and the FDA or other regulatory bodies may change the requirements, or identify different regulatory pathways, for approval for any of our product candidates. For example, as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6" w:name="page47"/>
    <w:bookmarkEnd w:id="46"/>
    <w:p>
      <w:pPr>
        <w:ind w:right="20"/>
        <w:spacing w:after="0" w:line="253" w:lineRule="auto"/>
        <w:rPr>
          <w:sz w:val="20"/>
          <w:szCs w:val="20"/>
          <w:color w:val="auto"/>
        </w:rPr>
      </w:pPr>
      <w:r>
        <w:rPr>
          <w:rFonts w:ascii="Times New Roman" w:cs="Times New Roman" w:eastAsia="Times New Roman" w:hAnsi="Times New Roman"/>
          <w:sz w:val="18"/>
          <w:szCs w:val="18"/>
          <w:color w:val="auto"/>
        </w:rPr>
        <w:t>regulatory expectations regarding cell therapy products and products created with gene editing technology continue to evolve, the FDA could require additional testing or new testing of products created with gene editing technology, including our product candidates, and any such additional FDA requirements for approval for any of our product candidates may adversely impact or slow development of our product candidates. The FDA previously established the Office of Tissues and Advanced Therapies (OTAT) within the Center for Biologics Evaluation and Research (CBER) to consolidate the review of cell therapy and related products, and to advise CBER on its review. In September 2022, the FDA announced retitling of OTAT to the Office of Therapeutic Products (OTP) and elevation of OTP to a “Super Office” to meet its growing cell and gene therapy workload and new commitments under the Prescription Drug User Fee Act agreement for fiscal years 2023-2027. It is possible that over time and with new leadership direction at the FDA that new or different divisions may be established or be granted the responsibility for regulating cell and/or gene therapy products, including iPSC-derived cell products made with gene editing technology, such as ours. The regulatory review divisions and committees, and any new guidelines they promulgate, may lengthen the regulatory review process, require us to perform additional studies or clinical trials, and delay or prevent development, approval, and commercialization of our product candidates.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market any product outside of the United States, we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must obtain the necessary approvals by the comparable foreign regulatory authorities before commencing clinical trials or marketing of the product in those countries or jurisdictions. For example, the process governing approval of medicinal products in the European Union generally follows the same lines as in the United States but can differ in significant ways. It entails the satisfactory completion of nonclinical studies and adequate and well-controlled clinical trials to establish the safety and efficacy of the product for each proposed indication. It also requires the submission of a marketing authorization application to the relevant competent authorities and the granting of a marketing authorization by those authorities before the product can be marketed and sold in the European Union.</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result, we may be required to change our regulatory strategy or to modify our applications for regulatory approval, which could delay and impair our ability to complete the nonclinical and clinical development and manufacture of, and obtain regulatory approval for, our product candidates. Changes in regulatory authorities and advisory groups, or any new requirements or guidelines they promulgate, may lengthen the regulatory review process, require us to perform additional studies, increase our development and manufacturing costs, lead to changes in regulatory pathways, positions and interpretations, delay or prevent approval and commercialization of our product candidates or lead to significant post-approval limitations or restrictions. As we advance our product candidates, we will be required to consult with the FDA and other regulatory authorities, and our product candidates will likely be reviewed by an FDA advisory committee. Any guidance we receive from the FDA or other foreign regulatory authorities is subject to change. These regulatory authorities could change their position, including on the acceptability of our clinical trial designs or the clinical endpoints selected in our clinical trials, which may require us to complete additional clinical trials or result in stricter conditions for obtaining regulatory approval for our product candidates. We also must comply with applicable requirements, and if we fail to do so, we may be required to delay or discontinue development of our product candidates. Delays or unexpected costs in obtaining, or the failure to obtain, the regulatory approval necessary to bring a potential product to market could impair our ability to generate sufficient product revenues to maintain our business.</w:t>
      </w:r>
    </w:p>
    <w:p>
      <w:pPr>
        <w:spacing w:after="0" w:line="186"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Preliminary data and interim results we disclose may change as more patient data becomes available or as we make changes to our protocols or manufacturing processes, and such interim results and results from earlier studies may not be predictive of the final results, or of later studies or future clinical trials.</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disclose results from nonclinical testing or preliminary data or interim results from clinical studies of our product candidates. Such results from nonclinical testing, process development and manufacturing activities, and clinical studies, including interim clinical trial results as of specified data cutoff dates and results of earlier clinical studies with similar product candidates, are not necessarily predictive of future results, including later clinical trial results.</w:t>
      </w:r>
    </w:p>
    <w:p>
      <w:pPr>
        <w:spacing w:after="0" w:line="1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results of our current and future clinical trials may differ from results achieved in earlier nonclinical and clinical studies for a variety of reasons, including:</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demonstrate the potency and efficacy benefits observed in previous studies;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efforts to improve, standardize and automate the manufacture and supply of our product candidates and any resulting deviations in the manufacture of our product candidates, may adversely affect the safety, purity, potency, stability, or efficacy of such product candidates;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study design, including differences in conditioning regimens, eligibility criteria, and patient populations;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the standard of care may affect our ability to demonstrate efficacy or achieve study endpoints in our current or future clinical trials;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or adverse events in patients who enroll in our current or future clinical trials.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some of the data from clinical trials of our product candidates performed to date were generated from open-label studies, and these studies are being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treatment regimen patients have received and may interpret the information of the treated group more favorably given this knowledge. Accordingly, the preliminary data from our clinical trials of our product candidates may not be predictive of future clinical trial results for these or other future product candidates when studied in a controlled environment or larger patient populations.</w:t>
      </w:r>
    </w:p>
    <w:p>
      <w:pPr>
        <w:spacing w:after="0" w:line="19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also publish interim, “top-line,” or preliminary data from our clinical studies based on a preliminary analysis of then-available data. Preliminary or interim data from clinical trials that we are conducting are subject to the risk that one or more of the clinical outcomes may materially change as patient enrollment continues, the duration of treatment increases and more patient data become available. For example, although we have, from time to time, reported positive interim clinical data for certain of our clinical programs, we may encounter dose-limiting toxicities or unacceptable side effects for these product candidates as dose escalation and expansion progresses in our clinical trials and additional patient data become available. Our preliminary or interim results and related conclusions also are subject to change following a more comprehensive review of the data related to the particular study or trial.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 financial condition and results of operations.</w:t>
      </w:r>
    </w:p>
    <w:p>
      <w:pPr>
        <w:spacing w:after="0" w:line="190"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clinical testing of any of our existing or future product candidates may fail to show the necessary safety and efficacy required for regulatory approval.</w:t>
      </w:r>
    </w:p>
    <w:p>
      <w:pPr>
        <w:spacing w:after="0" w:line="15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of our product candidates, we must complete nonclinical development and then conduct extensive clinical trials to demonstrate the safety and efficacy in humans of any such product candidates. Clinical testing is expensive, difficult to design and implement, can take many years to complete, and is uncertain as to outcome. A failure of one or more clinical trials can occur at any stage of testing. The outcome of nonclinical testing and early clinical trials may not be predictive of the success of later clinical trials, and interim results of a clinical trial do not necessarily predict final results. Our product candidates have a limited history of being evaluated in human clinical trials. Any of our product candidates may fail to show the desired safety and efficacy in later stages of clinical development despite having successfully advanced through initial clinical trials.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nonclinical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8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our product candidates are ultimately not approved for any reason, our business, prospects, results of operations and financial condition would be adversely affected. In addition, the standard of care may change with the approval of new products for the same indications that we are studying.</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regulatory scrutiny.</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protocols, processes, materials and facilities, qualification testing, post-approval clinical data, labeling and promotional activities for such product, will be subject to continual and additional requirements of the FDA and other regulatory authorities. These requirements include submissions of safety and other post-marketing information, reports, registration and listing requirements, requirements relating to cGMP, applicable product tracking and tracing requirements, quality control, quality assurance and corresponding maintenance of records and documents, and recordkeeping. Even if marketing approval of a product candidate is granted, the approval may be subject to limitations on the indicated uses for which the product may be marketed or to conditions of approval, or contain requirements for costly post-marketing testing and surveillance to monitor the safety or efficacy of the product. Additionally, sponsors of approved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spacing w:after="0" w:line="255" w:lineRule="auto"/>
        <w:rPr>
          <w:sz w:val="20"/>
          <w:szCs w:val="20"/>
          <w:color w:val="auto"/>
        </w:rPr>
      </w:pPr>
      <w:r>
        <w:rPr>
          <w:rFonts w:ascii="Times New Roman" w:cs="Times New Roman" w:eastAsia="Times New Roman" w:hAnsi="Times New Roman"/>
          <w:sz w:val="18"/>
          <w:szCs w:val="18"/>
          <w:color w:val="auto"/>
        </w:rPr>
        <w:t>drugs and biologics must provide six months’ notice to the FDA of any changes in marketing status or for discontinuing or interrupting the supply of certain drugs, including the withdrawal of a drug. Failure to do so could result in a letter citing such failure to comply and public postings of such letter and a redacted response from the sponsor, which could damage the sponsor’s reputation.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our product candidates, manufacturing operations, or failure to comply with regulatory requirements, may lead to various adverse conditions, including significant delays in bringing our product candidates to market and/or being precluded from manufacturing or selling our product candidates, any of which could significantly harm our business.</w:t>
      </w:r>
    </w:p>
    <w:p>
      <w:pPr>
        <w:spacing w:after="0" w:line="185"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Regenerative Medicine Advanced Therapy (RMAT) designation by the FDA for FT819 and our participation in the FDA's Chemistry, Manufacturing, and Controls (CMC) Development and Readiness Pilot (“the CDRP”) Program may not actually lead to a faster development or regulatory review or approval process and does not increase the likelihood that FT819 or any future product candidate that may receive this designation or is selected for the CDRP Program will receive regulatory approval, and we may be unable to obtain or maintain the benefits associated with such designation or approval.</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have received RMAT designation from the FDA for FT819 for the treatment of active moderate to severe systemic lupus erythematosus (SLE), including lupus nephritis, and may seek additional RMAT designations in the future for current or future product candidates. A product candidate is eligible for RMAT designation if: (1) it is a cell therapy, therapeutic tissue engineering product, human cell or tissue product, or a combination product using any such therapies or products, with limited exceptions; (2) it is intended to treat, modify, reverse, or cure a serious or life-threatening disease or condition; and (3) there is preliminary clinical evidence that indicates that the product candidate has the potential to address unmet medical needs for such disease or condition. This program is intended to facilitate efficient development and expedite review of RMATs.</w:t>
      </w:r>
    </w:p>
    <w:p>
      <w:pPr>
        <w:spacing w:after="0" w:line="18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 biologics license application (BLA) for a product candidate with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Further, under FDORA, the FDA must specify the conditions for any post-approval trials by the date of accelerated approval and the agency has flexibility in setting forth such conditions, which may include enrollment targets, clinical trial protocols and milestones – including the target date of trial completion. The FDA may also require, as appropriate, that certain confirmatory trials be underway prior to accelerated approval or within a specified time from the date of approval. Accelerated approval sponsors must submit progress reports every six months on required post-approval trials.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w:t>
      </w:r>
    </w:p>
    <w:p>
      <w:pPr>
        <w:spacing w:after="0" w:line="19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 product candidate that has RMAT designation and is subsequently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the FT819-201 study has been selected by the FDA to participate in its CDRP Program, a voluntary program which is intended to facilitate expedited CMC development of investigational drugs and biologics that have accelerated clinical development pathways by increasing communication with the FDA on CMC development. The program is intended to facilitate expedited CMC development through increased communication between sponsors and the FDA regarding CMC development.</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RMAT designation and participation in the CDRP Program are within the discretion of the FDA. Accordingly, even if we believe one of our product candidates or development programs meets the criteria for RMAT designation or the CDRP Program, the FDA may disagree and instead determine not to grant such designation or program acceptance. In any event, the receipt of RMAT designation for a product candidate or participation in the CDRP Program for a development program may not result in a faster development process, review or approval compared to product candidates considered for approval under conventional FDA procedures and does not assure ultimate approval by the FDA. Even though we obtained RMAT designation for FT819 in April 2025 and were accepted into the CDRP Program in May 2026, such designation and acceptance does not change the standards for product approval, and there is no assurance that this designation or acceptance will result in expedited review or approval or that the approved indication will not be narrower than the indication covered by the RMAT designation. In addition, even if one or more of our product candidates qualifies for RMAT designation, the FDA may rescind RMAT designation if it believes the product no longer meets the conditions for qualification. Similarly, the FDA may remove FT819, or any other product candidate which may be selected for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participation, from the CDRP Program if it believes that the designation is no longer supported by data from the respective clinical development program.</w:t>
      </w:r>
    </w:p>
    <w:p>
      <w:pPr>
        <w:spacing w:after="0" w:line="221"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orphan drug status to develop and commercialize certain of our product candidates, but orphan drug designations may not confer marketing exclusivity or other expected commercial benefits and we may not be able to obtain orphan drug designations for our other product candidates.</w:t>
      </w:r>
    </w:p>
    <w:p>
      <w:pPr>
        <w:spacing w:after="0" w:line="1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rely on orphan drug exclusivity for product candidates that we may develop. Orphan drug status confers seven years of marketing exclusivity in the United States under the Federal Food, Drug, and Cosmetic Act, and up to ten years of marketing exclusivity in Europe for a particular product in a specified indication, subject to certain conditions. However, we may be unable to obtain orphan drug designations for any of our product candidates that we are currently developing or may pursue. Even if we do obtain orphan drug designations and are the first to obtain marketing approval of our product candidates for the applicable indications, we will not be able to rely on these designations to exclude other companies from manufacturing or selling biological products using the same principal molecular structural features for the same indication beyond these time frames. Furthermore, any marketing exclusivity in Europe can be reduced from ten years to six years if the initial designation criteria have significantly changed since the market authorization of the orphan product.</w:t>
      </w:r>
    </w:p>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For any product candidate for which we may be granted orphan drug designation in a particular indication, it is possible that another company also holding orphan drug designation for the same product candidate will receive marketing approval for the same indication before we do. If that were to happen, our applications for that approved use or indication may not be approved until the competing company’s period of exclusivity expires. Even if we are the first to obtain marketing authorization for an orphan drug use or indication in the United States, there are circumstances under which a competing product may be approved for the same approved use or indication during the seven-year period of marketing exclusivity, such as if the later product is shown to be clinically superior to our orphan product, or if the later product is deemed a different product than ours. Further, the seven-year marketing exclusivity would not prevent competitors from obtaining approval of the same product candidate as ours for approved uses or indications other than those in which we have been granted orphan drug designation, or for the use of other types of products in the same indications as our orphan product.</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 Orphan drug designation neither shortens the development time or regulatory review time of a drug nor gives the drug any advantage in the regulatory review or approval process. While we may seek orphan drug designation for certain of our product candidates, we may never receive such designations.</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Even if we do receive such designations, there is no guarantee that we will enjoy the benefits of those designations. In addition,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6"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cell programming technology as a designated platform technology, but we might not receive such designation, and even if we do, such designation may not lead to a faster development or regulatory review or approval process.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seek designation for our cell programming technology as designated platform technology. Under FDORA, a platform technology incorporated within or utilized by a drug or biological product is eligible for designation as a designated platform technology if (1) the platform technology is incorporated in, or utilized by, a drug approved under a BLA or New Drug Application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or NDA for a drug or biological product that uses or incorporates the platform technology. Even if we believe our cell programming technology meets the criteria for such designation, the FDA may disagree and instead determine not to grant such designation. In addition, the receipt of such designation for a platform technology does not ensure that a drug will be developed more quickly or lead to a faster FDA review or approval process and does not assure ultimate FDA approval of a drug. Moreover, the FDA may revoke a designation if the FDA</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0" w:name="page51"/>
    <w:bookmarkEnd w:id="50"/>
    <w:p>
      <w:pPr>
        <w:ind w:right="240"/>
        <w:spacing w:after="0" w:line="261" w:lineRule="auto"/>
        <w:rPr>
          <w:sz w:val="20"/>
          <w:szCs w:val="20"/>
          <w:color w:val="auto"/>
        </w:rPr>
      </w:pPr>
      <w:r>
        <w:rPr>
          <w:rFonts w:ascii="Times New Roman" w:cs="Times New Roman" w:eastAsia="Times New Roman" w:hAnsi="Times New Roman"/>
          <w:sz w:val="18"/>
          <w:szCs w:val="18"/>
          <w:color w:val="auto"/>
        </w:rPr>
        <w:t>determines that a designated platform technology no longer meets the criteria for such designation. For example, in July 2025, the FDA revoked Sarepta Therapeutics Inc.’s platform technology designation for AAVrh74 given new safety information suggested the preliminary evidence on which the designation was based was insufficient to demonstrate that its platform technology had the potential to be incorporated in, or utilized by, more than one drug without an adverse effect on safety.</w:t>
      </w:r>
    </w:p>
    <w:p>
      <w:pPr>
        <w:spacing w:after="0" w:line="176"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of one or more of our product candidates into real-time oncology review (RTOR). This program may not lead to a faster regulatory review or approval process and does not increase the likelihood that our product candidate(s) will receive marketing approval.</w:t>
      </w:r>
    </w:p>
    <w:p>
      <w:pPr>
        <w:spacing w:after="0" w:line="15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Participation in RTOR is voluntary. Our acceptance into RTOR does not guarantee or influence approval of our application, which is subject to the same statutory and regulatory requirements for approval as applications that are not included in RTOR. Although early approvals have occurred with applications selected for RTOR, this may not be the case for our application even if it is selected for RTOR. If at any time the FDA determines our participation in RTOR, if selected, is no longer appropriate, the FDA may rescind our acceptance and instruct us to follow routine submission procedures for marketing approval.</w:t>
      </w:r>
    </w:p>
    <w:p>
      <w:pPr>
        <w:spacing w:after="0" w:line="179"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regulations, including federal and state healthcare fraud and abuse laws, physician payment transparency laws, anti-bribery and anti-corruption laws and health information privacy and security laws. Any actual or perceived failure to comply with these regulations could have a material adverse effect on our business and financial condition.</w:t>
      </w:r>
    </w:p>
    <w:p>
      <w:pPr>
        <w:spacing w:after="0" w:line="1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healthcare laws, including, without limitation, fraud and abuse laws, false claims laws, data privacy and security laws, as well as transparency laws regarding payments or other items of value provided to healthcare providers. These laws may impact, among other things, our proposed sales, marketing and education programs. Additionally, we may be subject to state and foreign equivalents of such healthcare laws and regulations, some of which may be broader in scope and may apply regardless of the payor, as well as patient privacy regulation by both the federal government and the states in which we conduct our business. 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If our operations, including our arrangements with physicians and other healthcare providers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(such as Medicare and Medicaid), and imprisonment,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 For more information, please see “Business—Government Regulation—Other Healthcare Laws and Compliance Requirements” in our Annual Report.</w:t>
      </w:r>
    </w:p>
    <w:p>
      <w:pPr>
        <w:spacing w:after="0" w:line="19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scope and enforcement of these laws are uncertain and subject to rapid change in the current environment of healthcare reform, especially in light of the lack of applicable precedent and regulations. Federal and state enforcement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(EU). The provision of benefits or advantages to physicians is also governed by the national anti-bribery laws of European Union Member States, such as the UK Bribery Act 2010. Infringement of these laws could result in substantial fines and individual imprisonment.</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individual imprisonment.</w:t>
      </w:r>
    </w:p>
    <w:p>
      <w:pPr>
        <w:spacing w:after="0" w:line="183"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1" w:name="page52"/>
    <w:bookmarkEnd w:id="51"/>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plan to develop and potentially commercialize our product candidates worldwide. Accordingly, we expect that we will be subject to additional risks related to operating in foreign countries, including:</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difficulties in managing the logistics and transportation of storing and shipping product candidates produced in the United States and shipping the product candidate to the patient abroad;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requirements and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data privacy regulations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U.S. Foreign Corrupt Practices Act or comparable foreign regulations;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ongoing and emerging geopolitical tensions, including wars, armed conflicts or acts of terrorism.</w:t>
      </w:r>
    </w:p>
    <w:p>
      <w:pPr>
        <w:spacing w:after="0" w:line="225"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potential international operations may materially adversely affect our ability to attain or maintain profitable operations, which could have a material adverse effect on our business and results of operations.</w:t>
      </w:r>
    </w:p>
    <w:p>
      <w:pPr>
        <w:spacing w:after="0" w:line="15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and expect to continue to conduct clinical trials for some of our product candidates outside the United States, and the FDA may not accept data from trials conducted in such locations.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conduct and expect to continue to conduct one or more of our clinical trials or include sites in current or future clinical trials outside the United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w:t>
      </w:r>
    </w:p>
    <w:p>
      <w:pPr>
        <w:spacing w:after="0" w:line="207"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7"/>
          <w:szCs w:val="17"/>
          <w:color w:val="auto"/>
        </w:rPr>
        <w:t>Although the FDA may accept data from sites or clinical trials outside the United States, acceptance of these data is subject to conditions imposed by the FDA.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w:t>
      </w:r>
    </w:p>
    <w:p>
      <w:pPr>
        <w:spacing w:after="0" w:line="2" w:lineRule="exact"/>
        <w:rPr>
          <w:sz w:val="20"/>
          <w:szCs w:val="20"/>
          <w:color w:val="auto"/>
        </w:rPr>
      </w:pPr>
    </w:p>
    <w:p>
      <w:pPr>
        <w:ind w:firstLine="8"/>
        <w:spacing w:after="0" w:line="251" w:lineRule="auto"/>
        <w:tabs>
          <w:tab w:leader="none" w:pos="2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while these clinical trials or trial sites are subject to the applicable local laws where the trials are conducted, FDA acceptance of the data will depend on its determination that the trials or trial sites also complied with all applicable U.S. laws and regulations. There can be no assurance that the FDA will accept data from trials conducted outside the United States. If the FDA does not accept the data from any trial or trial site outside the United States, we would likely need to conduct additional trials, which would be costly and time-consuming and could delay or halt our development of the applicable product candidates. Recently, the FDA has signaled increased scrutiny of foreign clinical trial data submitted in support of marketing applications, indicating plans for increased foreign site inspections and increased transparency of inspection results. If access to clinical trial sites or documentation is delayed or restricted, including for geopolitical reasons, the FDA may not accept such data in support of a marketing application which would adversely affect our development and approval plans. Additionally, policy proposals in the United States may make acceptance by the FDA or inclusion in a marketing application of foreign data more difficult or costly.</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52" w:name="page53"/>
    <w:bookmarkEnd w:id="52"/>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regulatory policies may change, and additional government regulations may be enacted that could prevent, limit or delay regulatory approval of our product candidates.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June 2024, the U.S. Supreme Court overruled the Chevron doctrine, which required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25"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ongoing and planned operations, including the development of our product candidates, will require substantial additional funding, without which we will be unable to complete nonclinical or clinical development of or obtain regulatory approval for, or achieve commercialization of, our product candidates.</w:t>
      </w:r>
    </w:p>
    <w:p>
      <w:pPr>
        <w:spacing w:after="0" w:line="67"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are currently advancing multiple product candidates through clinical development, and conducting nonclinical research and development activities in other programs. Drug development is expensive, and we expect our research and development expenses to remain significant in connection with our ongoing activities, particularly as we advance our current product candidates in clinical trials and seek to initiate clinical development for additional product candidates.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of September 30, 2026, our cash, cash equivalents, and investments were $139.1 million. We intend to use our cash, cash equivalents, and investments primarily to fund the advancement and clinical development of our current product candidates and our ongoing nonclinical, discovery and research programs, and for working capital and general corporate purposes.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and licensing arrangements or a combination of these approaches. For example, although we were awarded a $15.0 million grant from CIRM in September 2026 to support the clinical development of FT819 in the RECLAIM-LN clinical trial, receipt of any funds under the grant is subject to the terms and conditions of the notice of award agreement, including our achievement of operational milestones therein, and we will not receive the anticipated funding unless and until the corresponding award agreement has been executed, and unless and until we achieve the operational milestones set forth therein. Additionally, if Ono Pharmaceutical Co. Ltd. (Ono) does not exercise the Candidate 3 Development Option before it expires, we will not recognize any additional revenue related to Candidate 3 under our collaboration agreement with Ono. In any event, we will require additional capital to obtain regulatory approval for, and achieve commercialization of, our existing product candidates and any other product candidates we may identify and develop. Even if we believe we have sufficient funds for our current or future operating plans, we may seek additional capital if market conditions are favorable or if we have specific strategic considerations. Our future capital requirements will depend on many factors, including, but not limited to:</w:t>
      </w:r>
    </w:p>
    <w:p>
      <w:pPr>
        <w:spacing w:after="0" w:line="89" w:lineRule="exact"/>
        <w:rPr>
          <w:sz w:val="20"/>
          <w:szCs w:val="20"/>
          <w:color w:val="auto"/>
        </w:rPr>
      </w:pPr>
    </w:p>
    <w:p>
      <w:pPr>
        <w:ind w:left="1020" w:right="5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size, timing and costs of our ongoing and planned clinical trials, and any additional clinical trials we may initiate, conduct or support for our product candidates;</w:t>
      </w:r>
    </w:p>
    <w:p>
      <w:pPr>
        <w:spacing w:after="0" w:line="53"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size, timing and costs of our nonclinical, process development and manufacturing studies, and activities necessary to initiate and conduct clinical trials for our product candidates and to establish and maintain manufacturing capabilities necessary to support such trials;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progress in our research and development programs, including nonclinical studies, process development, manufacturing and other research activities that may be necessary in order for an IND application to go into effect for a prospective clinical development candidate, as well as potential future clinical trials of any additional product candidates we may identify for development;</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Memorial Sloan Kettering Cancer Center (MSKCC) in connection with the stock price appreciation milestones;</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investigators to initiate and conduct, and the progress, results, size, timing and costs of, clinical trials of our product candidates that will be necessary to support any application for regulatory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3" w:name="page54"/>
    <w:bookmarkEnd w:id="53"/>
    <w:p>
      <w:pPr>
        <w:ind w:left="1020" w:right="2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or enter into arrangements with third parties for the manufacture of our existing product candidates, as well as potential future clinical development candidates, both for clinical development and commercialization, and the timing and costs associated with such manufacture;</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or other costs we may incur, in connection with the licensing,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distribution, and commercialization activities and arrangements, including the manufacturing of our product candidates, establishment of effective protocols for the supply and transport of our product candidates, and the establishment of a sales and marketing organization either internally or in partnership with a third party;</w:t>
      </w:r>
    </w:p>
    <w:p>
      <w:pPr>
        <w:spacing w:after="0" w:line="67" w:lineRule="exact"/>
        <w:rPr>
          <w:rFonts w:ascii="Times New Roman" w:cs="Times New Roman" w:eastAsia="Times New Roman" w:hAnsi="Times New Roman"/>
          <w:sz w:val="18"/>
          <w:szCs w:val="18"/>
          <w:color w:val="auto"/>
        </w:rPr>
      </w:pPr>
    </w:p>
    <w:p>
      <w:pPr>
        <w:ind w:left="1020" w:right="120" w:hanging="503"/>
        <w:spacing w:after="0" w:line="312" w:lineRule="auto"/>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strategic arrangements and alliances with third-party collaborators including our existing collaborations with Ono and the University of Minnesota to advance the research, development and commercialization of therapeutic products; and</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eligibility to receive funding under existing grant awards from governmental agencies or to qualify for additional grant awards.</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and interest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 different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while the overall impacts of the ongoing and emerging geopolitical tensions, including wars and other armed conflicts, on the global economy remain unknown and difficult to predict, these events have caused significant disruptions and created uncertainties in the global financial markets, and the economic impacts of these and other similar global events could materially and adversely affect our ability to raise capital through equity or debt financings in the future.</w:t>
      </w:r>
    </w:p>
    <w:p>
      <w:pPr>
        <w:spacing w:after="0" w:line="7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If we cannot raise additional capital or obtain adequate funds, we may be required to curtail significantly our research and clinical programs or may not be able to continue our research or clinical development of our product candidates. Our failure to raise additional capital, or obtain adequate funds, will have a material adverse effect on our business, prospects, financial condition, results of operations, and market price of shares of our common stock.</w:t>
      </w:r>
    </w:p>
    <w:p>
      <w:pPr>
        <w:spacing w:after="0" w:line="172" w:lineRule="exact"/>
        <w:rPr>
          <w:sz w:val="20"/>
          <w:szCs w:val="20"/>
          <w:color w:val="auto"/>
        </w:rPr>
      </w:pPr>
    </w:p>
    <w:p>
      <w:pPr>
        <w:ind w:right="8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formed in 2007 with a limited operating history. We have not yet obtained regulatory approval for any of our product candidates or generated any revenues from therapeutic product sales. Since inception, we have incurred significant net losses in each year and, as of September 30, 2026, we had an accumulated deficit of $1.6 billion. We expect to continue to incur losses for the foreseeable future as we continue to fund our ongoing and planned clinical trials of our product candidates and our other ongoing and planned research and development activities. We also expect to incur significant operating and capital expenditures as we continue our research and development of, and seek regulatory approval for, our product candidates, in-license or acquire new product candidates for development, implement additional infrastructure and internal systems, and hire additional scientific, clinical, and administrative personnel. We anticipate that our net losses for the next several years could be significant as we conduct our planned operations.</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biological, and cell therapy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trials, nonclinical studies, process development, manufacturing activities, or the research and development of any of our product candidates. The amount of our future net losses will depend, in part, on the rate of increase in our expenses, our ability to generate revenues and our ability to raise additional capital. These net losses have had, and will continue to have, an adverse effect on our stockholders’ equity and working capital.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our cash, cash equivalents, and investments and may not use them effectively.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management has broad discretion to use our cash, cash equivalents, investments and any additional funds that we may raise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or delay the development of our product candidates. We may invest our cash and cash equivalents in a manner that does not produce income or that loses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expect to continue to be, dependent on third parties to conduct some or all aspects of manufacturing of our product candidates for use in clinical trials and for commercial sale, if approved. Our business could be harmed if those third parties fail to perform satisfactorily.</w:t>
      </w:r>
    </w:p>
    <w:p>
      <w:pPr>
        <w:spacing w:after="0" w:line="15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While we currently manufacture clinical supplies of our iPSC-derived cell product candidates at our cGMP facilities located in San Diego, California, we also rely on third parties to manufacture certain components required for the manufacture of our product candidates, and we may rely on third parties to conduct some or all aspects of manufacturing of our product candidates for use in conducting later stage clinical trials and for commercial sale upon approval of any of our product candidates.</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Reliance on third parties for manufacture of our product candidates and components utilized in manufacturing our product candidates entails certain risks, including reliance on the third party for regulatory compliance and quality assurance, the possibility that the third-party manufacturer does not maintain the financial, personnel or other resources to meet its obligations, the possibility that the third party fails to manufacture such components, or our product candidates or any products we may eventually commercialize, in accordance with our specifications, misappropriation of our proprietary information, including our trade secrets and know-how, and the possibility of termination of our manufacturing relationship by the third party, based on its own business priorities, at a time that is costly or damaging to us. In addition, the FDA and other regulatory authorities require that our product candidates and any products that we may eventually commercialize be manufactured according to cGMP, cGTP and similar jurisdictional standards. These requirements include, among other things, quality control, quality assurance and the maintenance of records and documentation. The FDA or similar foreign regulatory agencies may also implement new standards at any time, or change their interpretations and enforcement of existing standards for manufacture, packaging or testing of products. We have little control over our manufacturers’ compliance with these regulations and standards.</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some cases, the technical skills required to manufacture our product candidates may be unique or proprietary to a particular CMO, and we may have difficulty, or there may be contractual restrictions prohibiting us from, transferring such skills to a back-up or alternate supplier if needed, or we may be unable to transfer such skills at all. In addition, if we are required to change contract manufacturers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produced by different manufacturers, which could require the conduct of additional clinical trials.</w:t>
      </w:r>
    </w:p>
    <w:p>
      <w:pPr>
        <w:spacing w:after="0" w:line="1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 we depend in some instances on third party suppliers, including sole source suppliers, for the provision of reagents, materials, devices and equipment that are used by us and our third-party contract manufacturers in the production of our product candidates, including certain of our iPSC-derived cell therapy product candidates. Any disruption to or loss of supply from any of these suppliers could delay our clinical development and commercialization efforts, which would adversely affect our business, prospects, results of operations and financial condition.</w:t>
      </w:r>
    </w:p>
    <w:p>
      <w:pPr>
        <w:spacing w:after="0" w:line="176" w:lineRule="exact"/>
        <w:rPr>
          <w:sz w:val="20"/>
          <w:szCs w:val="20"/>
          <w:color w:val="auto"/>
        </w:rPr>
      </w:pPr>
    </w:p>
    <w:p>
      <w:pPr>
        <w:ind w:firstLine="50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depend on strategic partnerships and collaboration arrangements for the development and commercialization of certain of our product candidates in certain indications or geographic territories, and if these arrangements are terminated or are unsuccessful, this could result in delays and other obstacles in the development, manufacture or commercialization of any of our product candidates and materially harm our results of operations.</w:t>
      </w:r>
    </w:p>
    <w:p>
      <w:pPr>
        <w:spacing w:after="0" w:line="15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Our strategy for fully developing and commercializing our product candidates is dependent upon maintaining our current arrangements and establishing new arrangements with research collaborators, corporate collaborators and other third parties. We currently have a corporate collaboration agreement with Ono. Our collaboration agreement with Ono provides for, among other things,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5" w:name="page56"/>
    <w:bookmarkEnd w:id="55"/>
    <w:p>
      <w:pPr>
        <w:ind w:right="120"/>
        <w:spacing w:after="0" w:line="282" w:lineRule="auto"/>
        <w:rPr>
          <w:sz w:val="20"/>
          <w:szCs w:val="20"/>
          <w:color w:val="auto"/>
        </w:rPr>
      </w:pPr>
      <w:r>
        <w:rPr>
          <w:rFonts w:ascii="Times New Roman" w:cs="Times New Roman" w:eastAsia="Times New Roman" w:hAnsi="Times New Roman"/>
          <w:sz w:val="18"/>
          <w:szCs w:val="18"/>
          <w:color w:val="auto"/>
        </w:rPr>
        <w:t>research funding and significant future payments should certain development, regulatory and commercial milestones be achieved. Under our arrangement with Ono and any future corporate arrangements that we may form, our corporate collaborators may be responsible for:</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to advance product candidates through nonclinical and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development and obtaining required regulatory approvals for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any resulting products.</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a result, we may not be able to conduct such corporate collaborations in the manner or on the time schedule we currently contemplate, which may negatively impact our business operations.</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lack of control over the research funding for, and the development and commercialization of, certain of our product candidates being developed under the collaboration and option agreement we entered into with Ono on September 14, 2018 (as amended to date, the Ono Agreement) and any other product candidates that we may develop under a future arrangement could cause delays or other difficulties in the development and commercialization of any of our product candidates, which may prevent completion of research and development activities and intended regulatory filings in a timely fashion, if at all. Because we expect to continue to rely on our current collaborator and to enter into new collaborations in the future, the development and commercialization of any of our product candidates could be substantially delayed, and our ability to receive future funding could be substantially impaired, if one or more of our current or future collaborators:</w:t>
      </w:r>
    </w:p>
    <w:p>
      <w:pPr>
        <w:spacing w:after="0" w:line="81" w:lineRule="exact"/>
        <w:rPr>
          <w:sz w:val="20"/>
          <w:szCs w:val="20"/>
          <w:color w:val="auto"/>
        </w:rPr>
      </w:pPr>
    </w:p>
    <w:p>
      <w:pPr>
        <w:ind w:left="1020" w:right="5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its priorities and resources away from our collaborations due to a change in business strategies, or a merger, acquisition, sale or downsizing of its company or business unit;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development in therapeutic areas which are the subject of our collaboration;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select a product candidate for advancement into nonclinical development, clinical development, or subsequent clinical development into a marketed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success criteria for a particular product candidate, thereby delaying or ceasing development of such product candidate;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delays the initiation or conduct of certain activities which could delay our receipt of milestone payments tied to such activities, thereby impacting our ability to fund our own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 product candidate that competes, either directly or indirectly, with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obtain the requisite regulatory approval of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successfully commercialize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encounters regulatory, resource or quality issues and is unable to meet demand requirements;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its rights under the agreement to terminate the collaboration, or otherwise withdraws support for, or otherwise impairs or delays development of one or more product candidates under the collaboration;</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disagrees on the research, development or commercialization of a product candidate resulting in a delay in milestones, royalty payments or termination of such product candidate;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our proprietary information or intellectual property in such a way as to jeopardize our rights in such property.</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termination of the Ono Agreement or any future strategic partnership or collaboration arrangement that we enter into may prevent us from receiving any milestone, royalty payment, sharing of profits, and other benefits under such agreement. Furthermore, disagreements with these parties could require or result in litigation or arbitration, which would be time-consuming and expensive. Any of these events could have a material adverse effect on our ability to develop and commercialize any of our product candidates and may adversely impact our business, prospects, financial condition, and results of operations.</w:t>
      </w:r>
    </w:p>
    <w:p>
      <w:pPr>
        <w:spacing w:after="0" w:line="179"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6" w:name="page57"/>
    <w:bookmarkEnd w:id="56"/>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required for the conduct of our clinical trials and the manufacture of our product candidates and do not have supply arrangements for certain of these components.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manufacturing of our product candidates requires many reagents and other specialty materials and equipment, some of which are manufactured or supplied by small companies with limited resources and experience to support commercial biologics production. To date, we and our CMOs have purchased equipment, materials and disposables used for the manufacture of our existing product candidates from third-party suppliers. Some of these suppliers may not have the capacity to support commercial products manufactured under cGMP or cGTP conditions for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and equipment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third-party for the supply of certain required components and equipment.</w:t>
      </w:r>
    </w:p>
    <w:p>
      <w:pPr>
        <w:spacing w:after="0" w:line="188" w:lineRule="exact"/>
        <w:rPr>
          <w:sz w:val="20"/>
          <w:szCs w:val="20"/>
          <w:color w:val="auto"/>
        </w:rPr>
      </w:pPr>
    </w:p>
    <w:p>
      <w:pPr>
        <w:jc w:val="both"/>
        <w:ind w:right="120" w:firstLine="509"/>
        <w:spacing w:after="0" w:line="277" w:lineRule="auto"/>
        <w:rPr>
          <w:sz w:val="20"/>
          <w:szCs w:val="20"/>
          <w:color w:val="auto"/>
        </w:rPr>
      </w:pPr>
      <w:r>
        <w:rPr>
          <w:rFonts w:ascii="Times New Roman" w:cs="Times New Roman" w:eastAsia="Times New Roman" w:hAnsi="Times New Roman"/>
          <w:sz w:val="17"/>
          <w:szCs w:val="17"/>
          <w:color w:val="auto"/>
        </w:rPr>
        <w:t>In addition, the clinical development of our product candidates depends on the availability of certain materials and agents used in our clinical trials. For example, we intend to develop certain of our product candidates as a combination therapy with other cancer therapies, such as monoclonal antibodies, requiring availability and use of these monoclonal antibodies in certain of our clinical trial protocols. Any failure or delays by us or by our clinical sites to obtain sufficient quantities of materials and agents required under our protocols, or other components and agents necessary for the conduct of our clinical trials, may delay our ability to enroll and treat patients in, or complete, our current or future clinical trials of our product candidates on time, if at all.</w:t>
      </w:r>
    </w:p>
    <w:p>
      <w:pPr>
        <w:spacing w:after="0" w:line="1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of any public health crises, natural disasters (including due to the effects of climate change), ongoing and emerging global geopolitical tensions, including wars and other armed conflicts, regulatory actions, restrictions or requirements affecting the supplier, adverse financial or other strategic developments experienced by a supplier, labor disputes or shortages, unexpected demands, or quality issues, the business and operations of our suppliers and other third parties which produce agents and materials used in our clinical trials or manufacturing of our product candidates may be disrupted or delayed, and we in turn may experience disruptions or delays in our supply chain. A delay or inability to continue to source product or materials from any of these suppliers or third parties, which could be due to the impacts of any of the events described above could adversely affect our ability to manufacture our product candidates and our ability to conduct clinical trials, which could significantly harm our business.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183"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conduct certain aspects of our research and development activities and to support and conduct clinical trials of our product candidates. If these third parties do not successfully carry out their contractual duties, meet expected deadlines, or comply with regulatory requirements, we may not be able to timely develop, manufacture, obtain regulatory approval for or commercialize our product candidates and our business could be substantially harmed.</w:t>
      </w:r>
    </w:p>
    <w:p>
      <w:pPr>
        <w:spacing w:after="0" w:line="180"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rely upon third parties, including medical institutions, clinical investigators, and clinical research organizations (CROs) for the conduct of certain research and nonclinical development activities, process development and manufacturing activities, and for the conduct, management, and supervision of clinical trials of our product candidates. We do not have direct control over the activities of these third parties, and may have limited influence over their actual performance. Our reliance on these third parties and CROs does not relieve us of our responsibilities to ensure that our clinical studies are conducted in accordance with the applicable protocol, legal and regulatory requirements and scientific standards.</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also engage, and may increasingly rely on, third-party service providers to assist with the identification and recruitment of potential participants for our clinical trials. We have limited control over the activities of these third parties, and their patient recruitment activities may be subject to applicable regulatory, privacy, IRB and other requirements. If these third parties fail to conduct recruitment activities in accordance with applicable requirements, including requirements relating to recruitment materials and practices and the collection, use and disclosure of patient information, we may be required to modify or suspend recruitment activities, take corrective action, or replace such service providers, any of which could delay enrollment in or otherwise adversely affect the conduct of our clinical trials.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7" w:name="page58"/>
    <w:bookmarkEnd w:id="57"/>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responsible for complying, and we are responsible for ensuring that our third-party service providers and CROs comply, with applicable GCP for conducting activities for all of our product candidates in clinical development, including conducting our clinical trials, and recording and reporting data from these trials. Regulatory authorities enforce these regulations through periodic inspections of trial sponsors, principal investigators and trial sites. We cannot assure that upon inspection by a given regulatory authority, such regulatory authority will determine that any of our clinical trials comply with applicable GCP requirements. In addition, our registrational clinical trials must be conducted with product produced under applicable regulatory requirements.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these third parties and CROs do not successfully carry out their contractual duties or obligations, meet expected deadlines or successfully complete activities as planned, or if the quality or accuracy of the research, nonclinical development, process development, manufacturing, or clinical data they obtain is compromised due to the failure to adhere to applicable regulatory and manufacturing requirements or for other reasons, our research, nonclinical development, process development and manufacturing activities, and clinical trials, and the development of our product candidates, may be extended, delayed or terminated, and we may not be able to obtain regulatory approval for or successfully commercialize our product candidates. Further, if our agreements with third parties or CROs are terminated for any reason, the development of our product candidates may be delayed or impaired, and we may be unable to advance our product candidates. As a result, our results of operations and the commercial prospects for our product candidates would be harmed, our costs could increase and our ability to generate revenues could be delayed or impaired.</w:t>
      </w:r>
    </w:p>
    <w:p>
      <w:pPr>
        <w:spacing w:after="0" w:line="188"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15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our collaborators’ or partners’ support for our product candidates.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our product candidates. Any of these developments could harm our product development efforts.</w:t>
      </w:r>
    </w:p>
    <w:p>
      <w:pPr>
        <w:spacing w:after="0" w:line="176" w:lineRule="exact"/>
        <w:rPr>
          <w:sz w:val="20"/>
          <w:szCs w:val="20"/>
          <w:color w:val="auto"/>
        </w:rPr>
      </w:pPr>
    </w:p>
    <w:p>
      <w:pPr>
        <w:jc w:val="both"/>
        <w:ind w:right="4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also rely on certain third-party vendors located in China or who are owned by or are associated with certain Chinese companies to assist in non-clinical or clinical trials or provide laboratory services. It is unknown how current or future geopolitical relationships with China or specific Chinese-owned or associated vendors may affect our ability to complete our non-clinical or clinical trials.</w:t>
      </w:r>
    </w:p>
    <w:p>
      <w:pPr>
        <w:spacing w:after="0" w:line="1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currently, and may in the future, do business with one or more companies located in China, or that are owned or operated by Chinese companies to provide non-clinical or clinical trial support services. The process of changing these vendors could have an adverse impact on our current clinical development programs if they were no longer permitted to provide services or products due to geopolitical pressures, including legislative activities or executive orders aimed at prohibiting certain Chinese or Chinese-owned biotechnology companies from engaging in biotechnology or biopharmaceutical research activities.</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particular, the United States government has proposed and, in certain cases, enacted legislation and policies intended to restrict or prohibit the use of biotechnology services or products provided by certain foreign entities that are owned by, controlled by, or associated with the government of China or other foreign adversaries. Such measures include the “BIOSECURE Act,” which was enacted on December 18, 2025, as well as related executive branch actions, which are intended to limit U.S. government funding or support for biotechnology activities involving specified foreign entities and to reduce perceived national security risks associated with reliance on such entities. If applied to our third-party vendors, these laws or policies could restrict our ability, or the ability of our collaborators, contract research organizations, manufacturers, or other third-party vendors, to engage or continue to engage certain Chinese or Chinese-affiliated service providers, even where such providers are currently permitted to operate under applicable law.</w:t>
      </w:r>
    </w:p>
    <w:p>
      <w:pPr>
        <w:spacing w:after="0" w:line="18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could experience delays in finding suitable replacement service providers located outside China or not otherwise owned by or associated with Chinese companies, which could have a material adverse effect on our development activities and our business. In addition, alternative vendors may be more expensive, may have longer lead times, or may lack the same technical capabilities or capacity, which could increase our costs or delay our development timelines.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unable to predict whether or when legislative or executive actions would be effective or applied to specific vendors, or the scope and timing of their potential implementation and whether such actions would materially and adversely affect our liquidity, access to capital, development timelines, or ability to conduct business. Any failure on our part to comply with changing government regulations and policies could result in the loss of our ability to manufacture and develop our product candidates. Even if we are able to comply with such requirements, compliance may require significant management attention, increased costs, and changes to our supply chain or development strategy, which could adversely affect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or obtain and maintain patent protection for our technology and product candidates, other companies could develop products based on our discoveries, which may reduce demand for our products and harm our business.</w:t>
      </w:r>
    </w:p>
    <w:p>
      <w:pPr>
        <w:spacing w:after="0" w:line="15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intellectual property protection for our product candidates, the operations used to manufacture them and the methods for using them, and also for our cell programming technology in order to prevent third parties from making, using, selling, offering to sell or importing our product candidates or otherwise exploiting our cell programming approach. The scope of patent protection in the biotechnology and pharmaceutical field involves complex legal and scientific questions and can be uncertain.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cannot be certain that we were the first to file any patent application related to our product candidates. As a result, the issuance, scope, validity, enforceability, and commercial value of our patent rights are uncertain. We own and have exclusive licenses to patent portfolios for our product candidates and cell programming technology, although we cannot be certain that our existing patents and patent applications provide adequate protection or that any additional patents will issue to us with claims that provide adequate protection of our other product candidates. Further, we cannot predict the breadth of claims that may be enforced in our patents if we attempt to enforce them or if they are challenged in court or in other proceedings. If we are unable to secure and maintain protection for our product candidates and cell programming technology, or if any patents we obtain or license are deemed invalid and unenforceable, our ability to commercialize or license our technology could be adversely affected.</w:t>
      </w:r>
    </w:p>
    <w:p>
      <w:pPr>
        <w:spacing w:after="0" w:line="19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Since patent applications in the United States and most other countries are confidential for a period of time after filing, and some remain so until issued,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 The scope, validity or enforceability of our patents or the patents of our licensors may be challenged in such proceedings in either the courts or patent offices in the United States and abroad, and our business may be harmed if the coverage of our patents or the patents of our licensors is narrowed, or if a patent of ours or our licensors is judged invalid or unenforceable, in any such proceedings.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our intellectual property rights may be subject to a reservation of rights by one or more third parties. For example, the research resulting in certain of the patent rights and technology that we own or have licensed was funded in part by the U.S. government. As a result, the government has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or to have others use the invention on its behalf. These rights may permit the government to disclose our information to third parties and to exercise march-in rights to use or allow third parties to use our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or by any third party of its reserved rights could harm our competitive position, business, financial condition, results of operations, and prospects.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licensors to prosecute and maintain patents and patent applications that are material to our business. Any failure by our licensors to effectively protect these intellectual property rights could adversely affect our business and operations.</w:t>
      </w:r>
    </w:p>
    <w:p>
      <w:pPr>
        <w:spacing w:after="0" w:line="15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Certain rights to our key technologies and product candidates, including intellectual property relating to our iPSC technology, are licensed from third parties. As a licensee of third-party intellectual property, we rely on our licensors to file and prosecute patent applications and maintain patents, and otherwise protect the licensed intellectual property under some of our license agreements. We have not had and do not have primary control over these activities for certain of our licensed patents, patent applications and other intellectual property rights, and we cannot be certain that such activities will result in valid and enforceable patents and other intellectual property rights. Additionally, our licensors may have the right to control enforcement of our licensed patents or defense of any claims asserting the invalidity of these patents and we cannot be certain that our licensors will allocate sufficient resources or prioritize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license agreements, we could lose rights to our product candidates or key technologies.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obtained rights to develop, market and sell some of our product candidates through intellectual property license agreements with third parties. These license agreements impose various diligence, milestone payment, royalty and other obligations on us. In particular, under our Amended MSKCC License with MSKCC, in the event a licensed product achieves a specified clinical milestone, MSKCC is eligible to receive from us certain milestone payments totaling up to $75.0 million based on the price of our common stock, where the amount of such payments owed to MSKCC is contingent upon certain increases in the price of our common stock following the date of achievement of such clinical milestone. If we fail to comply with our obligations under our license agreements, including any payment obligations,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184"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become involved in litigation or other proceedings relating to the enforcement or defense of patent and other intellectual property rights, which could cause us to divert our resources and could put our intellectual property at risk.</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To prevent infringement or unauthorized use of our intellectual property, we have in the past, and may in the future, need to file infringement claims. When we pursue litigation to stop another party from using the inventions claimed in any patents we own or control, that party has the right to ask the court to rule that such patents are invalid or should not be enforced against that third party. In addition to patent infringement lawsuits, we may decide to file interferences, oppositions,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 Patent and Trademark Office (the USPTO) and corresponding foreign patent offices. Litigation and other proceedings relating to intellectual property are unpredictable and expensive and may consume time and resources and divert the attention of managerial and scientific personnel. Such litigations and proceedings could substantially increase our operating losses and reduce the resources available for research, development, and other activities. We may not have sufficient financial or other resources to adequately conduct such litigation or proceedings or may be required to divert such resources from our ongoing and planned research and development activities. Some of our competitors may be able to sustain the costs of such litigation or proceedings more effectively than we can because of their greater financial resources.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9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There also is a risk that a court or patent office in such proceeding will decide that our patents or the patents of our licensors are not valid or are not enforceable, and that we do not have the right to stop the other party from using the inventions. Additionally, even if the validity of such patents is upheld, the court may refuse to stop the other party on the ground that such other party’s activities do not infringe our rights to such patents. If we are not successful in enforcing or defending our intellectual property, our competitors could develop and market products based on our discoveries and technologies, which may reduce the commercial viability of, and demand for, our product candidates and any future products.</w:t>
      </w:r>
    </w:p>
    <w:p>
      <w:pPr>
        <w:spacing w:after="0" w:line="179"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strategic partners may infringe the intellectual property rights of others, which may prevent or delay our product development efforts and stop us from commercializing, or increase the costs of commercializing, our product candidates.</w:t>
      </w:r>
    </w:p>
    <w:p>
      <w:pPr>
        <w:spacing w:after="0" w:line="15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There is a substantial amount of litigation, both within and outside the United States, involving patent and other intellectual property rights in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spacing w:after="0" w:line="258" w:lineRule="auto"/>
        <w:rPr>
          <w:sz w:val="20"/>
          <w:szCs w:val="20"/>
          <w:color w:val="auto"/>
        </w:rPr>
      </w:pPr>
      <w:r>
        <w:rPr>
          <w:rFonts w:ascii="Times New Roman" w:cs="Times New Roman" w:eastAsia="Times New Roman" w:hAnsi="Times New Roman"/>
          <w:sz w:val="18"/>
          <w:szCs w:val="18"/>
          <w:color w:val="auto"/>
        </w:rPr>
        <w:t xml:space="preserve">biotechnology and pharmaceutical industries, including patent infringement lawsuits, interferences, oppositions,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post-grant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or misappropriation of other intellectual property rights of third parties.</w:t>
      </w:r>
    </w:p>
    <w:p>
      <w:pPr>
        <w:spacing w:after="0" w:line="185"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We cannot be certain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intellectual property rights or may incorrectly predict whether a third-party’s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cannot guarantee that the manufacture, use or marketing of our existing product candidates or any other product candidates that we develop, or the use of our cell programming technology, will not infringe third-party patents. There may be third-party patents or patent applications with claims to materials, cell compositions, methods of manufacture or methods for treatment related to the use or manufacture of our product candidates. Our competitors may have filed, and may in the future file, patent applications covering products and technologies similar to ours.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Third parties asserting their patent or other intellectual property rights against us may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on a cost-effective basis or require substantial time and monetary expenditure. In that event, we would be unable to further develop and commercialize our product candidates, which could harm our business significantly. Claims that we have misappropriated the confidential information or trade secrets of third parties could have a similar negative impact on our business.</w:t>
      </w:r>
    </w:p>
    <w:p>
      <w:pPr>
        <w:spacing w:after="0" w:line="184"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15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own or license from third parties certain intellectual property rights necessary to develop and manufacture our product candidates. The growth of our business will likely depend in part on our ability to acquire or in-license additional proprietary rights, including to advance our research or allow commercialization of our product candidates. In that event, we may be required to expend considerable time and resources to develop or license replacement technology. For example, our programs may involve additional technologies or product candidates that may require the use of additional proprietary rights held by third parties. Furthermore, other pharmaceutical or biotechnology companies and academic institutions may also have filed or may be planning to file patent applications potentially relevant to our business. From time to time, in order to avoid infringing these third-party patents, we may be required to license technology from additional third parties to further develop or commercialize our product candidates. We may be unable to acquire or in-license any relevant third-party intellectual property rights, including any such intellectual property rights required to manufacture, use or sell our product candidates, that we identify as necessary or important to our business operations. We may fail to obtain any of these licenses at a reasonable cost or on reasonable terms, if at all, and as a result we may be unable to develop or commercialize the affected product candidates, which would harm our business. We may need to cease use of the compositions or methods covered by such third-party intellectual property rights, and may need to seek to develop alternative approaches or technology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1" w:name="page62"/>
    <w:bookmarkEnd w:id="61"/>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nonclinical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7"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In addition, it may be more costly for us to secure and maintain the necessary patent protection to block third parties from using our technology than to negotiate out-licenses or similar agreements with these parties to provide them with limited rights to use our technology. There can be no assurance that we will be able to successfully complete any such negotiations and ultimately acquire or maintain, on commercially viable terms, the rights to the intellectual property required for the successful development and commercialization of our product candidates.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3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patent applications, including whether the patent applications that we own or in-license will result in issued patents with claims that cover our product candidates or uses thereof in the United States or in other foreign countries;</w:t>
      </w:r>
    </w:p>
    <w:p>
      <w:pPr>
        <w:spacing w:after="0" w:line="6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any patent issuing based on our patent applications may not provide protection against competitors or any competitive advantages, or may be challenged by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enforced, a court may not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initiated, and may from time to time initiate, litigation or administrative proceedings to enforce and/or defend our patent rights which will be costly whether we win or lose;</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that covered by our patents and patent applications.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alleged trade secrets.</w:t>
      </w:r>
    </w:p>
    <w:p>
      <w:pPr>
        <w:spacing w:after="0" w:line="22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conducting our business operations, we have obtained confidential and proprietary information from third parties. In addition,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or other parties. Litigation may be necessary to defend against these claims. If we fail in defending any such claims, in addition to paying monetary damages, we could lose valuable intellectual property rights or personnel, which could adversely affect our business. Even if we are successful in defending against these claims, litigation could result in substantial costs and be a distraction to management.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If we fail in defending any such claims, we may lose valuable intellectual property rights, such as exclusive ownership of, or right to use, valuable intellectual property. We may also be subject to monetary damages, and any of these outcomes could have a material adverse impact on our business.</w:t>
      </w:r>
    </w:p>
    <w:p>
      <w:pPr>
        <w:spacing w:after="0" w:line="176" w:lineRule="exact"/>
        <w:rPr>
          <w:sz w:val="20"/>
          <w:szCs w:val="20"/>
          <w:color w:val="auto"/>
        </w:rPr>
      </w:pPr>
    </w:p>
    <w:p>
      <w:pPr>
        <w:jc w:val="both"/>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Proprietary information and invention assignment agreements with our employees and third parties may not prevent unauthorized disclosure of our trade secrets and other proprietary information.</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upon unpatented trade secrets and improvements, proprietary know-how, and continuing technological innovation to develop and maintain our competitive position, which we seek to protect, in part, through confidentiality agreements with our collaborators, employees and consultants. We also have invention or patent assignment agreements with our employees and some, but not all, of our collaborators and consultants. Because we expect to rely on third parties in the development and manufacture of our product candidates, we must, at times, share trade secrets with them, which increases the possibility that a competitor will discover them or that our trade secrets will be misappropriated or disclosed.</w:t>
      </w:r>
    </w:p>
    <w:p>
      <w:pPr>
        <w:spacing w:after="0" w:line="18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Trade secrets, however, may be difficult to protect, and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Although we use reasonable efforts to protect our trade secrets, our employees or former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right="540"/>
        <w:spacing w:after="0" w:line="282" w:lineRule="auto"/>
        <w:rPr>
          <w:sz w:val="20"/>
          <w:szCs w:val="20"/>
          <w:color w:val="auto"/>
        </w:rPr>
      </w:pPr>
      <w:r>
        <w:rPr>
          <w:rFonts w:ascii="Times New Roman" w:cs="Times New Roman" w:eastAsia="Times New Roman" w:hAnsi="Times New Roman"/>
          <w:sz w:val="18"/>
          <w:szCs w:val="18"/>
          <w:color w:val="auto"/>
        </w:rPr>
        <w:t>strong as that in the United States. These products may compete with any products that we may develop and commercialize, and our patents or other intellectual property rights may not be effective or sufficient to prevent them from competing.</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patent law in the United States could diminish the value of patents in general, thereby impairing our ability to protect our product candidates and technology.</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rights, particularly patents. Obtaining and enforcing patents in the biotechnology industry involve both technological and legal complexity, and therefore obtaining and enforcing biotechnology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term of our patents may not be sufficient to effectively protect our market position and products.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Even if we obtain patents covering our product candidates, once the patent life has expired for a product, we may be open to competition from other products. If the lives of our patents are not sufficient to effectively protect our products and business, our business and results of operations will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25"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experience marketing any product candidates and do not have a sales force or distribution capabilities, and if our products are approved, we may be unable to commercialize them successfully.</w:t>
      </w:r>
    </w:p>
    <w:p>
      <w:pPr>
        <w:spacing w:after="0" w:line="15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have no experience in marketing and selling therapeutic products, including obtaining and maintaining adequate pricing and reimbursements. If any of our product candidates are approved for marketing, we intend to establish marketing and sales capabilities internally or we may selectively seek to enter into partnerships with other entities to utilize their marketing and distribution capabilities. If we are unable to develop adequate marketing and sales capabilities on our own or effectively partner with third parties, our ability to generate product revenues will suffer.</w:t>
      </w:r>
    </w:p>
    <w:p>
      <w:pPr>
        <w:spacing w:after="0" w:line="176"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of our product candidates, the commercial success of our product candidates will depend upon the degree of market acceptance by physicians, patients, third-party payers and others in the medical community.</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commercial success of our products, if approved for marketing, will depend in part on the medical community, patients and third-party payers accepting our product candidates as effective and safe. The use of cellular immunotherapies for the potential treatment of autoimmune diseases is a recent development, and may not become widely accepted by patients, physicians, treatment centers, and third-party payors. If any of our products obtains regulatory approval but does not achieve an adequate level of acceptance, we may not generate significant product revenue and may not become profitable. For example, in January 2024, the FDA determined that new safety information related to T-cell malignancies should be included in the labeling with boxed warning language on these malignancies for all BCMA- and CD19-directed genetically modified autologous T-cell immunotherapies. FDA’s investigation into CAR T-cell therapies and other similar actions could result in increased government regulation, unfavorable public perception and publicity, potential impacts on enrollment in our clinical trials, stricter labeling requirements for those product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ind w:right="80"/>
        <w:spacing w:after="0" w:line="282" w:lineRule="auto"/>
        <w:rPr>
          <w:sz w:val="20"/>
          <w:szCs w:val="20"/>
          <w:color w:val="auto"/>
        </w:rPr>
      </w:pPr>
      <w:r>
        <w:rPr>
          <w:rFonts w:ascii="Times New Roman" w:cs="Times New Roman" w:eastAsia="Times New Roman" w:hAnsi="Times New Roman"/>
          <w:sz w:val="18"/>
          <w:szCs w:val="18"/>
          <w:color w:val="auto"/>
        </w:rPr>
        <w:t>candidates that are approved, and a decrease in demand for any such product candidates. The degree of market acceptance of our products, if approved for marketing, will depend on a number of factors, including:</w:t>
      </w:r>
    </w:p>
    <w:p>
      <w:pPr>
        <w:spacing w:after="0" w:line="5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the products, and advantages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labeling of any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any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adequate pricing and reimbursement in the United States and/or other regions of the world;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or governmental reimbursement, which may depend on our ability to provide compelling evidence that a product meaningfully improves health outcomes to support such insurance coverage or reimbursement.</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patient populations targeted by our autoimmune product candidates are also typically not at risk of near-term death, even if they may suffer life-threatening symptoms, so those patients will need to deem the benefits of cell therapy to be worth the risk of unknown potential adverse side effects. Our success in this space will depend upon physicians who specialize in the treatment of autoimmune diseases targeted by our product candidates prescribing treatments that involve the use of our product candidates in lieu of, or in addition to, existing treatments with which they are more familiar and for which greater clinical data may be available. In addition, the target populations may be relatively small, resulting in a high degree of uncertainty regarding long-term demand for our product candidates. Even if we obtain marketing approval for a product, demand for our product may not be adequate to support commercialization.</w:t>
      </w:r>
    </w:p>
    <w:p>
      <w:pPr>
        <w:spacing w:after="0" w:line="18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nonclinical studies and clinical trials, market acceptance of the product will not be known until after it is launched. Any failure to achieve market acceptance for our product candidates will harm our business, results and financial condition.</w:t>
      </w:r>
    </w:p>
    <w:p>
      <w:pPr>
        <w:spacing w:after="0" w:line="172"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any product candidates we may get approved in the future may harm our reputation in the marketplace or result in injuries that lead to costly product liability suits.</w:t>
      </w:r>
    </w:p>
    <w:p>
      <w:pPr>
        <w:spacing w:after="0" w:line="15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are approved by the FDA, we may only promote or market them in a manner consistent with their FDA-approved labeling. We will train our marketing and sales force against promoting our products for uses outside of the approved indications for use, known as “off-label uses.” We cannot, however, prevent a physician from prescribing any products for which we may obtain approval off-label, when in the physician’s independent professional medical judgment he or she deems it appropriate. Furthermore, the use of any approved products for indications other than those approved by the FDA may not effectively treat such conditions. Additionally, FDA’s Office of Prescription Drug Promotion (OPDP) actively scrutinizes promotional communications, including digital and social media; any materials that are false, misleading or promote unapproved uses can lead to enforcement actions and could necessitate corrective communications. Any such off-label use of our products approved in the future could harm our reputation in the marketplace among physicians and patients. There may also be increased risk of injury to patients if physicians attempt to use any of our products approved in the future for these uses for which they are not approved, which could lead to product liability suits that might require significant financial and management resources and that could harm our reputation. Similar requirements and considerations apply abroad. In the current administration, the FDA has increased its enforcement scrutiny over prescription drug advertising, particularly direct-to-consumer product promotion and advertising. If the FDA finds any of our promotional communications or advertising to be violative, we may receive an untitled or warning letter, requests for corrective advertising, or fines, amongst other enforcement tools available to the FDA.</w:t>
      </w:r>
    </w:p>
    <w:p>
      <w:pPr>
        <w:spacing w:after="0" w:line="183"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face uncertainty regarding the pricing of our existing product candidates and any other product candidates that we may develop. If pricing policies for our product candidates are unfavorable, our commercial success will be impaired.</w:t>
      </w:r>
    </w:p>
    <w:p>
      <w:pPr>
        <w:spacing w:after="0" w:line="15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Due to the novel nature of our cellular immunotherapy product candidates, we face significant uncertainty as to the pricing of any such products for which we may receive marketing approval. While we anticipate that pricing for any cellular immunotherapy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5" w:name="page66"/>
    <w:bookmarkEnd w:id="65"/>
    <w:p>
      <w:pPr>
        <w:ind w:right="100"/>
        <w:spacing w:after="0" w:line="256" w:lineRule="auto"/>
        <w:rPr>
          <w:sz w:val="20"/>
          <w:szCs w:val="20"/>
          <w:color w:val="auto"/>
        </w:rPr>
      </w:pPr>
      <w:r>
        <w:rPr>
          <w:rFonts w:ascii="Times New Roman" w:cs="Times New Roman" w:eastAsia="Times New Roman" w:hAnsi="Times New Roman"/>
          <w:sz w:val="18"/>
          <w:szCs w:val="18"/>
          <w:color w:val="auto"/>
        </w:rPr>
        <w:t>product candidates that we develop will be relatively high due to their anticipated use in the prevention or treatment of life-threatening diseases where therapeutic options are limited, the biopharmaceutical industry has recently experienced significant pricing pressures.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 For additional information regarding pricing pressures and healthcare regulatory changes, see “Business— Government Regulation—Healthcare Reform and Other Regulatory Changes” in our Annual Report.</w:t>
      </w:r>
    </w:p>
    <w:p>
      <w:pPr>
        <w:spacing w:after="0" w:line="183"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Failure to obtain or maintain adequate coverage and reimbursement for our product candidates could limit our product revenues.</w:t>
      </w:r>
    </w:p>
    <w:p>
      <w:pPr>
        <w:spacing w:after="0" w:line="15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of our product candidates successfully will depend in part on the availability of coverage and reimbursement for these products from third-party payors, including government health administration authorities, private health insurers, and other managed care organizations. The availability and extent of reimbursement by governmental and private payors is essential for most patients who generally rely on third-party payors to reimburse all or part of the costs of their care, including treatments such as cellular immunotherapy. Because our product candidates represent new approaches to the treatment of autoimmune diseases and cancer, there is significant uncertainty as to the insurance coverage and reimbursement status of any product candidates for which we may receive regulatory approval. In the United States, the principal decisions about reimbursement for new medicines are typically made by the Centers for Medicare &amp; Medicaid Services (CMS), an agency within the U.S. Department of Health and Human Services. CMS decides whether and to what extent a new medicine will be covered and reimbursed under Medicare, and private payors tend to follow CMS determinations to a substantial degree. If reimbursement or insurance coverage is not available for our product candidates, or is available only to limited levels, we may not be able to successfully commercialize our product candidates. Even if coverage is provided, the approved reimbursement amount may not be sufficient to allow us to establish or maintain pricing to generate income. Factors payors consider in determining reimbursement are based on whether the product is: (i) a covered benefit under its health plan; (ii) safe, effective and medically necessary; (iii) appropriate for the specific patient; (iv) cost-effective; and (v) neither experimental nor investigational. For additional information, please see “Business—Government Regulation—Coverage and Reimbursement” in our Annual Report.</w:t>
      </w:r>
    </w:p>
    <w:p>
      <w:pPr>
        <w:spacing w:after="0" w:line="19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185"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restricted or smaller than we believe they are, our revenues may be adversely affected and our business may suffer. Because the target patient populations of our product candidates may be small and variable, we must be able to successfully identify patients and capture a significant market share to achieve and maintain profitability.</w:t>
      </w:r>
    </w:p>
    <w:p>
      <w:pPr>
        <w:spacing w:after="0" w:line="1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focus our research and development on product candidates for rare diseases. The FDA often approves new therapies initially for use in patients with relapsed or refractory disease. We expect to initially seek approval of our product candidates in these settings. Subsequently, for those products that prove to be sufficiently beneficial, if any, we would expect to seek approval in earlier lines of treatment. There is no guarantee that our product candidates, even if approved, would be approved for earlier lines of therapy, and, prior to any such approvals, we will have to conduct additional clinical trials, including potentially comparative trials against approved therapies. Certain of our product candidates also target similar patient populations as autologous cell therapy product candidates, including approved autologous CAR T products. Our therapies may not be as safe and effective as approved autologous CAR T therapies and as a result, such product candidates may only be approved for patients who are ineligible for autologous CAR T therapy.</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projections of the number of people who have or will have the diseases we may be targeting, as well as the subset of patients with these cancers in a position to receive second or later lines of therapy and who have the potential to benefit from treatment with our product candidates, may prove to be incorrect. Further, new studies may change the estimated incidence or prevalence of these diseases. The number of patients in the United States, Europe and elsewhere may turn out to be lower than expected, or the potentially addressable patient population for our product candidates may be limited or may not be amenable to treatment with our product candidates, all of which would adversely affect our results of operations and our business. Additionally, because our target patient populations may be small and variable, we may never achieve profitability without capturing a significant market share or obtaining regulatory approval for additional indications for our products.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ind w:right="10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including regulations regarding the pricing, coverage and reimbursement of pharmaceutical and biological products, may have a negative impact on our business and results of operations.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Payors, whether domestic or foreign, or governmental or private, are developing increasingly sophisticated methods of controlling healthcare costs. Recent and proposed healthcare reform measures in the United States have focused in particular on prescription drug pricing, reimbursement, and manufacturer financial obligations under government healthcare programs. These measures include statutory changes, executive actions, and proposed regulations that may affect pricing, coverage, reimbursement methodologies, and market access for pharmaceutical and biological products. For a more complete discussion of healthcare reform and regulatory developments that may affect our business, see “Business – Government Regulation – Healthcare Reform and Other Regulatory Changes” in our Annual Report.</w:t>
      </w:r>
    </w:p>
    <w:p>
      <w:pPr>
        <w:spacing w:after="0" w:line="18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There has been increasing legislative, regulatory, and enforcement interest in the United States with respect to prescription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Inflation Reduction Act of 2022 (IRA), for example, includes several provisions that may impact our business to varying degrees, including provisions that reduce the 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Subsequent legislation, including the One Big Beautiful Bill Act of 2025, modified certain aspects of the IRA, including expanding the orphan drug exemption from Medicare drug price negotiation for the 2028 initial price applicability year.</w:t>
      </w:r>
    </w:p>
    <w:p>
      <w:pPr>
        <w:spacing w:after="0" w:line="18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9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Recent executive actions and proposed regulatory initiatives in the United States have sought to further reduce prescription drug prices, including through the use of most-favored-nation pricing principles, potential changes to manufacturer distribution models, and expanded governmental oversight of pricing practices. For example, in May 2025, the U.S. presidential administration issued an executive order titled, “Delivering Most-Favored-Nation Prescription Drug Pricing to American Patients,” which, among other things, directs the HHS and other agencies to communicate most-favored-nation (MFN) price targets to pharmaceutical manufacturers to bring prices for U.S. patients in line with comparably developed nations and to facilitate direct-to-consumer purchasing programs.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7" w:name="page68"/>
    <w:bookmarkEnd w:id="67"/>
    <w:p>
      <w:pPr>
        <w:ind w:right="20"/>
        <w:spacing w:after="0" w:line="252" w:lineRule="auto"/>
        <w:rPr>
          <w:sz w:val="20"/>
          <w:szCs w:val="20"/>
          <w:color w:val="auto"/>
        </w:rPr>
      </w:pPr>
      <w:r>
        <w:rPr>
          <w:rFonts w:ascii="Times New Roman" w:cs="Times New Roman" w:eastAsia="Times New Roman" w:hAnsi="Times New Roman"/>
          <w:sz w:val="18"/>
          <w:szCs w:val="18"/>
          <w:color w:val="auto"/>
        </w:rPr>
        <w:t>Since the May 2025 order, the current administration has continued to exert pressure on drug manufacturers to implement MFN pricing, including by suggesting that the administration may impose significant tariffs on pharmaceuticals if such manufacturers do not reach agreements to implement MFN pricing. On December 19, 2025, CMS released two proposed rules that would incorporate MFN pricing principles into federal reimbursement for prescription drugs: the Global Benchmark for Efficient Drug Pricing Model (GLOBE) for Medicare Part B and the Guarding U.S. Medicare Against Rising Drug Costs (GUARD) model for Medicare Part D. On October 2, 2026, CMS finalized the GLOBE regulation, effective November 30, 2026, as a mandatory CMS Innovation Center payment model under Section 1115A of the Social Security Act. As finalized, GLOBE will require manufacturers of specified single source drugs and sole source biologics, within designated therapeutic classes and that have incurred more than $100.0 million of Medicare Part B spending over a 12-month period, to pay incremental rebates based on an alternative, internationally benchmarked calculation of the existing Medicare Part B drug inflation rebate. The GLOBE model will begin on January 1, 2027 with the collection of voluntary manufacturer-submitted international drug net pricing data, and will be tested over five performance years, running from April 1, 2027 through March 31, 2032. The associated payment period will run from April 1, 2027 through March 31, 2034. GLOBE excludes orphan-only drugs, cell and gene therapy products, plasma-derived products, and drugs with an effective Medicare-negotiated maximum fair price. GUARD remains a proposed regulation that has not been finalized and, as proposed, would similarly mandate manufacturer rebates for qualifying sole source drugs where the Medicare net price exceeds an MFN benchmark derived from international reference pricing methodologies with its performance period proposed to begin in 2027. The GLOBE model and the proposed GUARD model will likely be subject to legal challenges that could delay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 See “Business—Government Regulation—Healthcare Reform and Other Regulatory Changes” in our Annual Report for more information.</w:t>
      </w:r>
    </w:p>
    <w:p>
      <w:pPr>
        <w:spacing w:after="0" w:line="19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If the GLOBE model is implemented and GUARD model is finalized and implemented as proposed under CMMI authority, we could be required to pay additional rebates on products reimbursed by Medicare for the covered populations during the applicable model periods. In addition, if MFN pricing or similar reference pricing policies are enacted or implemented in the U.S. outside of the CMMI framework and applied more broadly, we could be required to pay rebates on products utilization by a broader portion of U.S. patients to align with prices in certain reference countries. MFN pricing models in the U.S. could also affect our ability to commercialize any approved products outside of the U.S., our pricing strategy for any approved products, and future decisions on reimbursement and commercialization in certain jurisdictions. It is currently unclear whether and to what extent these measures will be implemented and what impact any such implementation would have on our business. Further, there can be no assurance that the current administration or future administrations will not pursue different or additional measures that could impact drug pricing in the U.S. political, economic and regulatory developments may further complicate developments in healthcare systems and pharmaceutical drug pricing.</w:t>
      </w:r>
    </w:p>
    <w:p>
      <w:pPr>
        <w:spacing w:after="0" w:line="18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addition, the U.S. Supreme Court’s 2024 decision in Loper Bright Enterprises v. Raimondo overruled the Chevron doctrine, which for 40 years required federal courts to defer to permissible agency interpretations of statutes that are silent or ambiguous on a particular topic. This decision may increase regulatory uncertainty and litigation risk and could delay or complicate FDA regulatory review, policymaking, or implementation of regulatory initiatives.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cannot predict the full impact of this decision, future judicial challenges brought against the FDA, or the nature or extent of government regulation that may arise from future legislation or administrative action. Any such challenges, if successful, could have an impact on our business, and any such impact could be material. In addition to potential changes to regulations and agency guidance as a result of legal challenges, these decisions may result in increased regulatory uncertainty and delays in and other impacts to the agency rulemaking process, any of which could adversely impact our business and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existing product candidates is substantially dependent on developments within the field of cellular immunotherapy, and specifically developments relating to the use of pluripotent or genome edited cells for the manufacture of cellular therapeutics, the majority of which are beyond our control.</w:t>
      </w:r>
    </w:p>
    <w:p>
      <w:pPr>
        <w:spacing w:after="0" w:line="1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product candidates are designed and are being developed as therapeutic entities for use as cellular immunotherapies, and all of our current product candidates are based on our novel iPSC product platform. Additionally, some of our product candidates utilize novel genome editing technologies. To date, there is limited clinical trial experience testing iPSC-derived therapeutic product candidates using genome edited cells. The fields of cellular and genome edited therapies are evolving, and as more therapeutic product candidates derived from pluripotent and genome edited cells are reviewed by regulatory authorities, regulatory authorities may impose additional requirements for approval that were not previously anticipated. There have also been several significant adverse events from gene therapy treatments in the past, including reported cases of leukemia and death. Additionally, in January 2024, the FDA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40"/>
        <w:spacing w:after="0" w:line="256" w:lineRule="auto"/>
        <w:rPr>
          <w:sz w:val="20"/>
          <w:szCs w:val="20"/>
          <w:color w:val="auto"/>
        </w:rPr>
      </w:pPr>
      <w:r>
        <w:rPr>
          <w:rFonts w:ascii="Times New Roman" w:cs="Times New Roman" w:eastAsia="Times New Roman" w:hAnsi="Times New Roman"/>
          <w:sz w:val="18"/>
          <w:szCs w:val="18"/>
          <w:color w:val="auto"/>
        </w:rPr>
        <w:t>determined that new safety information related to T-cell malignancies should be included in the labeling with boxed warning language on these malignancies for all BCMA- and CD19-directed genetically modified autologous T-cell immunotherapies. There can be no assurance that any product candidates developed from or related to our iPSC product platform or any of our research programs will not cause severe or undesirable side effects or result in significant delays or unanticipated costs, or that such development problems can be solved. Any adverse developments in the fields of cellular immunotherapy or genome edited therapy, such as the FDA’s investigation into CAR T-cell therapies and other similar actions, could negatively affect our ability to develop and commercialize our product candidates.</w:t>
      </w:r>
    </w:p>
    <w:p>
      <w:pPr>
        <w:spacing w:after="0" w:line="183"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an environment of rapid technological and scientific progress from other biotechnology and pharmaceutical companies that are commercializing, have developed or may develop product candidates for the treatment of the diseases that we may target, including companies developing novel therapies and platform technologies. If these companies develop product candidates or platform technologies more rapidly than we do, if their commercialized products or product candidates are more effective, more cost effective, or have fewer side effects, or if they compete in various other aspects of our business, our ability to develop and successfully commercialize product candidates and to execute on our business plans will be adversely affected.</w:t>
      </w:r>
    </w:p>
    <w:p>
      <w:pPr>
        <w:spacing w:after="0" w:line="18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characterized by rapid and significant innovation, particularly in the areas of immune-oncology and the development and commercialization of cell therapies. We compete with a variety of large pharmaceutical companies, multinational biopharmaceutical companies, other biopharmaceutical companies and specialized biotechnology companies, as well as technology and/or therapeutics being developed at universities and other research institutions. Many of our competitors have greater financial and other resources, such as larger research and development staff, more experienced manufacturing organizations and facilities and greater sales and marketing organizations. Third parties are commercializing, have developed, are developing or may develop product candidates, platform technologies and processes that compete with ours. Competitive therapeutic treatments include those that have already been approved and accepted by the medical community, as well as novel treatments that are currently in nonclinical or clinical development or may otherwise enter the market. We believe that a significant number of product candidates are currently under development, including various cellular immunotherapies as well as multifunctional targeted antibodies, such as bi-specific and tri-specific T-cell engagers, which may become commercially available in the future for the treatment of indications, including a variety of cancers, for which we are developing or may try to develop our product candidates. Additionally, several companies with experience and knowledge in the development of CAR T-cell therapies for oncology indications have now commenced the development of cell therapies for the treatment of autoimmune diseases where B cells may play a role in initiating or maintaining disease affected populations, and the product candidates these companies develop may be competitive with product candidates that we are developing for autoimmune diseases. Should one or more of these competing product candidates or other competing product candidates of which we are not aware receive regulatory approval or otherwise achieve clinical or commercial success, our regulatory strategy could be impaired, our ability to obtain regulatory approval could be delayed or prevented, or the market for our products may be reduced or eliminated, thereby harming or preventing our commercial success.</w:t>
      </w:r>
    </w:p>
    <w:p>
      <w:pPr>
        <w:spacing w:after="0" w:line="19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Even if we successfully obtain approval for any product candidate, we will face competition based on many different factors, including the relative safety and efficacy of our product candidates, the actual or perceived quality of patient life while undergoing treatment with our product candidates, the ease with which our product candidates can be administered, the timing and scope of regulatory approvals for these product candidates, the availability and cost of manufacturing, marketing and sales capabilities, pricing, reimbursement coverage and patent positions, and the relative prioritization of our product candidates by physicians and healthcare providers among available therapies. Competing products and product candidates could present superior treatment alternatives, including by being more effective, safer, less expensive or marketed and sold more effectively than any products we may develop. Competitive products and product candidates may also make any product we develop obsolete or noncompetitive before we recover the expense of developing and commercializing such product. We could also face competition from other companies for collaboration partners, employees, advisors and service providers, which could negatively impact our ability to execute our business plans.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Our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or more commercially viable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or other regulatory approval for their products more rapidly than we may obtain approval for ours and may obtain orphan product exclusivity from the FDA for indications that we are targeting, which could</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9" w:name="page70"/>
    <w:bookmarkEnd w:id="69"/>
    <w:p>
      <w:pPr>
        <w:ind w:right="120"/>
        <w:spacing w:after="0" w:line="266" w:lineRule="auto"/>
        <w:rPr>
          <w:sz w:val="20"/>
          <w:szCs w:val="20"/>
          <w:color w:val="auto"/>
        </w:rPr>
      </w:pPr>
      <w:r>
        <w:rPr>
          <w:rFonts w:ascii="Times New Roman" w:cs="Times New Roman" w:eastAsia="Times New Roman" w:hAnsi="Times New Roman"/>
          <w:sz w:val="18"/>
          <w:szCs w:val="18"/>
          <w:color w:val="auto"/>
        </w:rPr>
        <w:t>result in our competitors establishing a strong market position before we are able to enter the market. Additionally, products or technologies developed by our competitors may render our product candidates uneconomical or obsolete and we may not be successful in marketing those product candidates, once approved, against competitors.</w:t>
      </w:r>
    </w:p>
    <w:p>
      <w:pPr>
        <w:spacing w:after="0" w:line="172"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effectively with other biotechnology and pharmaceutical companies depends on our ability to distinguish our company and our product candidates from our competitors and their product candidates.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Some of our competitors may have, and new competitors or alliances may emerge that have, greater name and brand recognition, greater market share, an existing customer base, more widely adopted proprietary technologies, greater marketing expertise, larger sales forces, and/or significantly greater resources than we do and may be able to offer products that compete with any of our product candidates that receive regulatory approval at a more attractive price. Further, our current or potential competitors may be acquired by third parties with greater available resources. As a result, our competitors may be able to respond more quickly and effectively than we can to new or changing opportunities, technologies, standards or customer requirements and may have the ability to initiate or withstand substantial price competition. In addition, our competitors may in the future establish cooperative relationships with sellers of complementary products, technologies or services to increase the availability of their products in the marketplace. Our competitors could also be better positioned to serve certain segments of our market, which could create additional price pressure. In light of these factors, even if any products that we may develop are more effective than those of our competitors, potential customers may accept competitive products in lieu of purchasing our products. If we are unable to successfully compete, our business, financial condition, and results of operations could be materially and adversely affected.</w:t>
      </w:r>
    </w:p>
    <w:p>
      <w:pPr>
        <w:spacing w:after="0" w:line="190"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member of our senior management team or our inability to attract and retain key personnel and consultants could adversely affect our business.</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team and other key personnel. The loss of services of any of these individuals could delay or prevent the successful development of our product pipeline, initiation or completion of our nonclinical studies and clinical trials or the commercialization of our product candidates. Although we have executed offer letters with each member of our senior management team, these agreements are terminable at will without notice and, therefore, we may not be able to retain their services as expected. Management transitions may create uncertainty and involve a diversion of resources and management attention, be disruptive to our daily operations or impact public or market perception, any of which could negatively impact our ability to operate effectively or execute our strategies.</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on August 12, 2025, we announced a reduction in force affecting approximately 12% of our workforce. This reduction was part of a tactical operations plan intended to reduce our costs and extend funding of our operations. However, this reduction may increase our dependence on the remaining key members of our senior management and executive teams and could result in other unintended consequences, such as the loss of institutional knowledge and expertise, decreased morale or attrition among our remaining employees, and the risk that we may not achieve the anticipated benefits of the reduction in force.</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not be able to retain or attract qualified management, finance, scientific and clinical personnel and consultants due to the intense competition for a limited number of qualified personnel and consultants among biotechnology, pharmaceutical and other businesses. We may also experience difficulties in attracting or retaining personnel with sufficient experience and skills in the complex and emerging field of cellular therapeutic development and manufacture to support our ongoing and planned clinical development activities. We currently rely, and for the foreseeable future will continue to rely, in substantial part on certain independent organizations, advisors and consultants. There can be no assurance that the services of independent organizations, advisors and consultants will continue to be available to us on a timely basis when needed, or that we can find qualified replacements. We may also be subject to penalties or other liabilities if we misclassify employees as consultants.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 Further, some of the qualified personnel that we hire and recruit are not U.S. citizens. Changes to U.S. immigration policies, particularly to H-1B and other visa programs, could restrain the flow of technical and professional talent into the United States and may inhibit our ability to hire qualified personnel.</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options and restricted stock unit (RSU) awards that vest over time. The value to employees of stock options and RSU awards that vest over time has been significantly affected by movements in our stock price that are beyond our control and may at any time be insufficient to counteract more lucrative offers from other companies. A significant number of our employee options remain underwater and may not provide the intended incentive for employees to remain at our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0" w:name="page71"/>
    <w:bookmarkEnd w:id="70"/>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Many of the biotechnology and pharmaceutical companies that we compete against for qualified personnel have greater financial and other resources and different risk profiles than we do. We may be required to provide compensation in excess of historical levels in order to recruit and retain personnel in the current market. If we are not able to retain and attract necessary personnel and consultants to perform the requisite operational roles and accomplish our business objectives, we may experience constraints that will significantly impede the achievement of our development objectives, our ability to raise additional capital and our ability to implement our business strategy.</w:t>
      </w:r>
    </w:p>
    <w:p>
      <w:pPr>
        <w:spacing w:after="0" w:line="179"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an acquisition, reorganization or business combination, we will incur a variety of risks that could adversely affect our business operations or our stockholders.</w:t>
      </w:r>
    </w:p>
    <w:p>
      <w:pPr>
        <w:spacing w:after="0" w:line="15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have considered, and we will consider in the future, strategic business initiatives intended to further the expansion and development of our business. These initiatives may include acquiring businesses, technologies or products or entering into business combinations with other companies. If we pursue such a strategy, we could, among other things:</w:t>
      </w:r>
    </w:p>
    <w:p>
      <w:pPr>
        <w:spacing w:after="0" w:line="68"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that would dilute our current stockholders’ percentage ownership;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 that may place strains on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 substantial operational, financial and management resources to integrate new businesses, technologies and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substantial actual or contingent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reprioritize our development programs and even cease development and commercialization of our product candidates;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with, or otherwise enter into a business combination with, another company in which our stockholders would receive cash or shares of the other company on terms that certain of our stockholders may not deem desirable.</w:t>
      </w:r>
    </w:p>
    <w:p>
      <w:pPr>
        <w:spacing w:after="0" w:line="16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Although we intend to evaluate and consider acquisitions, reorganizations and business combinations in the future, we have no agreements or understandings with respect to any acquisition, reorganization or business combination at this time.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far in excess of our limited insurance coverage.</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exposes us to the risk of product liability claims. Product liability claims might be brought against us by participants in clinical trials, hospitals, medical centers, healthcare providers, pharmaceutical companies, and consumers, or by others selling, manufacturing or otherwise coming into contact with our product candidates. We carry product liability insurance and we believe our product liability insurance coverage is sufficient in light of our current clinical programs. In addition, if and when we obtain marketing approval for product candidates, we intend to expand our insurance coverage to include the sale of commercial products; however, we may be unable to obtain insurance coverage for any approved products on commercially reasonable terms or in sufficient amounts to protect us against losses due to liability.</w:t>
      </w:r>
    </w:p>
    <w:p>
      <w:pPr>
        <w:spacing w:after="0" w:line="189"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On occasion, large judgments have been awarded in class action lawsuits based on drugs or medical treatments that had unanticipated adverse effects. In addition, under some of our agreements with clinical trial sites, we are required to indemnify the sites and their personnel against product liability and other claims. A successful product liability claim, or a series of claims, brought against us or any third parties whom we are required to indemnify could cause our stock price to decline and, if judgments exceed our insurance coverage, could adversely affect our results of operations and business.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Patients with the diseases targeted by our product candidates are often already in severe and advanced stages of disease and have both known and unknown significant pre-existing and potentially life-threatening health risks. During the course of treatment, patients may suffer adverse events, including death, for a variety of reasons. Such events, whether or not resulting from our product candidates, could subject us to costly litigation, require us to pay substantial amounts of money to injured patients, delay, negatively affect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development and commercialization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from only some risks, which leaves us exposed to significant uninsured liabilities.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1" w:name="page72"/>
    <w:bookmarkEnd w:id="71"/>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do not carry insurance for all categories of risk to which our business is or may be exposed. Some of the policies we maintain include general liability, product liability, property, employee benefits liability, employment practices, workers’ compensation, cybersecurity, directors’ and officers’ insurance, and umbrella. We do not know, however, if we will be able to maintain insurance coverage at a reasonable cost or in sufficient amounts or scope to protect us against losses. Even if we obtain insurance, a claim could exceed the amount of our insurance coverage or it may be excluded from coverage under the terms of the policy. Any significant uninsured liability may require us to pay substantial amounts, which would adversely affect our cash position and results of operations.</w:t>
      </w:r>
    </w:p>
    <w:p>
      <w:pPr>
        <w:spacing w:after="0" w:line="183"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or third party service providers may engage in misconduct or other improper activities, including noncompliance with regulatory standards and requirements and insider trading.</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or third party service provider fraud or other misconduct. Misconduct by employees or third party service providers could include intentional failures to comply with the regulations of the FDA or foreign regulators, to provide accurate information to the FDA or foreign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Employee or third party service provider misconduct could also involve the improper use of information obtained in the course of clinical trials, which could result in regulatory sanctions and cause serious harm to our reputation. If any actions alleging such misconduct are instituted against us, and we are not successful in defending ourselves or asserting our rights, those actions could have a significant effect on our business, including the imposition of significant fines or other sanctions.</w:t>
      </w:r>
    </w:p>
    <w:p>
      <w:pPr>
        <w:spacing w:after="0" w:line="188"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of potential liability related to the privacy of personal information, including health information we utilize in the development of our products, as well as information we obtain from clinical trials sponsored by us from research institutions and directly from individuals.</w:t>
      </w:r>
    </w:p>
    <w:p>
      <w:pPr>
        <w:spacing w:after="0" w:line="15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and our partners and vendors may be subject to various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including the federal Health Insurance Portability and Accountability Act of 1996 (HIPAA) and privacy and security requirements under HIPAA, as amended by the Health Information Technology for Economic and Clinical Health Act of 2009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There is no certainty that all of our employees, agents, suppliers, manufacturers, contractors, or collaborators, or those of our affiliates, will comply with all applicable laws and regulations, particularly given the high level of complexity of these laws. Even when HIPAA does not apply, failing to take appropriate steps to keep consumers’ personal information secure may constitute a violation of the Federal Trade Commission Act. In addition, certain of the materials we use as starting material in our iPSC-derived product candidates are derived from human sources, which potentially contain sensitive identifiable personal information regarding the donor. In addition, in conducting our clinical trials, we may maintain sensitive identifiable personal information, including health information, that we receive throughout the clinical trial process, in the course of our research collaborations, and directly from individuals (or their healthcare providers) who enroll in our clinical trials. As such, we may become subject to further obligations under HIPAA. Our collection of personal information generally (e.g., of employees currently and/or of patients in the future) may subject us to state data privacy laws governing the processing of personal information and requiring notification of affected individuals and state regulators in the event of a breach of such personal information. These state laws include the California Consumer Privacy Act, as amended by the California Privacy Rights Act (the CCPA), which establishes data privacy rights for residents of the State of California, with corresponding obligations on businesses related to transparency, deletion rights, and opt-out of the selling or sharing of personal information, and grants a private right of action for individuals in the event of certain security breaches. Similar laws relating to data privacy and security have passed in numerous other states, which may have potentially conflicting requirements that would make compliance challenging, require us to expend significant resources to come into compliance, and restrict our ability to process certain personal information. Moreover, some states have advanced privacy laws focused on protecting consumer health information, such as Washington’s My Health My Data Act, and this remains a rapidly changing legislative and regulatory environment.</w:t>
      </w:r>
    </w:p>
    <w:p>
      <w:pPr>
        <w:spacing w:after="0" w:line="20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Certain state laws may be more stringent or broader in scope than the CCPA, or offer greater individual rights, with respect to confidential, sensitive and personal information than federal, international or other state laws, and such laws may differ from each other, which may complicate compliance efforts.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An increasing number of foreign data protection laws, regulations and industry standards may also apply to personal information we obtain from individuals outside of the United States. For example, the European Union’s General Data Protection Regulation (EU GDPR) and the United Kingdom’s General Data Protection Regulation (UK GDPR) impose strict requirements for processing the personal data of individuals within the EEA and UK, including health-related data, and on the transfer of personal data out of the European Economic Area (EEA) and United Kingdom (UK) to non-adequate territories such as the United States; any inability to transfer personal data from the EEA and UK to the United States in compliance with data protection laws may impede our ability to conduct trials and may adversely affect our business and financial position. Failure to comply with the requirements of the EU GDPR may result in potential fines for companies of up to the greater of €20 million (£17.5 million for the UK GDPR) or 4% of annual global revenue and other administrative penalties. In addition, under the EU GDPR and UK GDPR, companies may face private litigation related to processing of personal data brought by classes of data subjects or consumer protection organizations authorized at law to protect their interests. Although the EU GDPR and the UK GDPR currently impose substantially similar obligations, it is possible that over time the UK GDPR could become less aligned with the EU GDPR, particularly with the introduction of the new Data Reform Bill into the UK legislative process. In addition, EEA Member States have adopted national laws to supplement the EU GDPR, which may partially deviate from the EU GDPR, and the competent authorities in the EEA Member States may interpret EU GDPR obligations slightly differently from country to country, such that we do not expect to operate in a uniform legal landscape in the EEA and UK with respect to data protection regulations. The potential of the respective provisions and enforcement of the EU GDPR and UK GDPR further diverging in the future creates additional regulatory challenges and uncertainties for us. The lack of clarity on future UK laws and regulations and their interaction with EU laws and regulations could add legal risk, uncertainty, complexity and compliance cost to the handling of European personal data and our privacy and data security compliance, and could require us to amend our processes and procedures to implement different compliance measures for the UK and the EEA.</w:t>
      </w:r>
    </w:p>
    <w:p>
      <w:pPr>
        <w:spacing w:after="0" w:line="1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2024, the U.S. Department of Justice issued regulations implementing Executive Order (EO) 14117, “Preventing Access to Americans’ Bulk Sensitive Personal Data and United States Government-Related Data by Countries of Concern,” which became effective on April 8, 2025. These regulations prohibit transactions involving access to bulk sensitive data by countries of concern, such as China (including Hong Kong). In the life sciences sector, the regulations prohibit investment agreements, employment agreements, vendor agreements, and other transactions involving human genomic data and biospecimens, except where necessary for specified exempt activities. Tracking and complying with these regulations may require significant time and expense.</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likely to be required to expend significant capital and other resources to ensure ongoing compliance with applicable data privacy and security laws. Claims that we have violated individuals’ privacy rights or breached our contractual obligations, even if we are not found liable, could be expensive and time-consuming to defend, and could result in adverse publicity that could harm our business. Moreover, even if we take all necessary action to comply with legal and regulatory requirements, we could be subject to a data breach or other unauthorized access of personal information, which could subject us to fines and penalties, as well as litigation and reputational damage. If we fail to keep apprised of and comply with applicable international, federal, state, or local regulatory requirements, we could be subject to a range of regulatory actions that could affect our or any collaborators’ ability to seek to commercialize our clinical candidates. Any threatened or actual government enforcement action or litigation could also generate adverse publicity, damage our reputation, result in liabilities, fines and loss of business, and require that we devote substantial resources that could otherwise be used in other aspects of our business.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make public statements about our use and disclosure of personal information through our privacy policy information provided on our internet platform and press statements. Although we endeavor to comply with our public statements and documentation, we may at times fail to do so or be alleged to have failed to do so. Moreover, despite our efforts, we may not be successful in achieving compliance if our employees or contractual partners fail to comply with our published policies, certifications and documentation. The publication of our privacy policy and other statements that provide promises and assurances about data privacy and security can subject us to potential government or legal action if they are found to be deceptive, unfair or misrepresentative of our actual practices. Any failure, real or perceived, by us to comply with our posted privacy policies or with any legal or regulatory requirements, standards, certifications or orders or other privacy or consumer protection-related laws and regulations applicable to us could cause our prospective customers to reduce their use of our products and could materially and adversely affect our business, financial condition and results of operations. In many jurisdictions, enforcement actions and consequences for non-compliance can be significant and are rising. In addition, from time to time, concerns may be expressed about whether our products or processes compromise the privacy of customers and others. Concerns about our practices with regard to the collection, use, retention, security, disclosure, transfer and other processing of personal information or other privacy-related matters, even if unfounded, could damage our reputation and materially and adversely affect our business, financial condition and results of operations.</w:t>
      </w:r>
    </w:p>
    <w:p>
      <w:pPr>
        <w:spacing w:after="0" w:line="19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spacing w:after="0" w:line="256" w:lineRule="auto"/>
        <w:rPr>
          <w:sz w:val="20"/>
          <w:szCs w:val="20"/>
          <w:color w:val="auto"/>
        </w:rPr>
      </w:pPr>
      <w:r>
        <w:rPr>
          <w:rFonts w:ascii="Times New Roman" w:cs="Times New Roman" w:eastAsia="Times New Roman" w:hAnsi="Times New Roman"/>
          <w:sz w:val="18"/>
          <w:szCs w:val="18"/>
          <w:color w:val="auto"/>
        </w:rPr>
        <w:t>in the event of a widespread data breach is difficult and may be costly.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or security incident.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in a manner that requires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contract partners and the physician and patient community and have a material and adverse impact on our business.</w:t>
      </w:r>
    </w:p>
    <w:p>
      <w:pPr>
        <w:spacing w:after="0" w:line="188"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use of artificial intelligence-based software (including machine learning) may result in reputational harm or liability or could otherwise adversely affect our business.</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use and integrate artificial intelligence (AI) tools in our business operations. As with many developing technologies, AI tools present risks and challenges that could affect their further development, adoption, and use, and therefore our business. For example, algorithms may be flawed; data sets may be insufficient, of poor quality, or contain biased information; and inappropriate or controversial data practices by data scientists, engineers, and end-users could impair results. If the analyses that AI applications assist in producing are deficient or inaccurate, we could be subject to competitive harm, potential legal liability, and reputational harm. Furthermore, use of AI-based software may lead to the inadvertent release of confidential information which may impact our ability to realize the benefit of our intellectual property rights.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and have focused enforcement efforts on the adoption of AI, and use of such technologies in compliance with ethical standards and societal expectations. For example, the EU’s Artificial Intelligence Act (AI Act) imposes significant obligations on providers and deployers of AI systems, and encourages providers and deployers of AI systems to account for EU ethical principles in their development and use of these systems. Likewise, in the United States, several states, including Colorado and California, passed laws to regulate various uses of AI, including to make consequential decisions. In addition, various federal regulators have issued guidance and focused enforcement efforts on the use of AI in regulated sectors. The FDA, for example, issued draft guidance on the use of AI in regulatory-decision making for drug and biological products that centers on the context of use while establishing a credibility assessment framework for establishing and evaluating AI model outputs intended to support regulatory decision-making. If we develop or use AI systems governed by these laws or regulations, including as informed by regulatory guidance, we will need to apply significant resources to design, develop, test and maintain such systems in accordance with applicable law, regulation, or guidance, with the potential for significant enforcement or litigation in the event of any perceived non-compliance. We expect other jurisdictions will adopt similar laws. Uncertainty in the legal regulatory regime may require significant resources to modify and maintain business practices to comply with U.S. and non-U.S. laws, the nature of which cannot be determined at this time.</w:t>
      </w:r>
    </w:p>
    <w:p>
      <w:pPr>
        <w:spacing w:after="0" w:line="190"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use of social media platforms presents risks and challenges.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us, our programs, and the diseases our product candidates are being developed to treat. We also work with third parties, including patient advocacy organizations and patient recruitment firms, to raise awareness of our clinical trials, and these third parties often use social media to communicate with patients. Social media use in the biotechnology and biopharmaceutical industry continues to evolve, and applicable regulations and guidance are not always clear. This creates uncertainty and risk of noncompliance with laws governing marketing, communications, and clinical trial disclosures, which could result in regulatory actions, litigation, or heightened scrutiny by the FDA, SEC, and other regulators. For example, patients may use social media channels to report an alleged adverse event during a clinical trial. When such disclosures occur, we may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right="60"/>
        <w:spacing w:after="0" w:line="277" w:lineRule="auto"/>
        <w:rPr>
          <w:sz w:val="20"/>
          <w:szCs w:val="20"/>
          <w:color w:val="auto"/>
        </w:rPr>
      </w:pPr>
      <w:r>
        <w:rPr>
          <w:rFonts w:ascii="Times New Roman" w:cs="Times New Roman" w:eastAsia="Times New Roman" w:hAnsi="Times New Roman"/>
          <w:sz w:val="17"/>
          <w:szCs w:val="17"/>
          <w:color w:val="auto"/>
        </w:rPr>
        <w:t>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media website, or a risk that a post on a social media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1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our employees have been impersonated by bad actors, who are believed to have drawn on publicly available information from our social media, such as LinkedIn, to make fraudulent job offers. While these incidents have not been material to date, similar activity could occur in the future. Misinformation disseminated from fraudulent accounts impersonating our employees or our business could harm our business and reputation.</w:t>
      </w:r>
    </w:p>
    <w:p>
      <w:pPr>
        <w:spacing w:after="0" w:line="172"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vendors, and consultants may be vulnerable to damage from cybersecurity risks, including attempts to gain unauthorized access to and to harm sensitive or confidential information and networks, insider threats, and ransomware. These vulnerabilities may be heightened as a result of flexible work arrangements, including hybrid or remote work policies implemented by us and our third-party contractors, that were first adopted in response to the COVID-19 pandemic and have continued by many businesses in an effort to attract and retain talent.</w:t>
      </w:r>
    </w:p>
    <w:p>
      <w:pPr>
        <w:spacing w:after="0" w:line="183"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from time to time experienced, and will continue to experience in the future, cyberattacks on our information technology systems, including malware and computer virus attacks, despite our best efforts to prevent them. Although such incidents have been immaterial to our business to date, investigations into and remedial efforts in connection with any security incidents, even those with immaterial impact, can be costly and time-consuming, and any future incidents could be material, or cause significant disruption, to our business. Our technologies, systems, networks, or other proprietary information, and those of our vendors, suppliers and other business partners, may become the target of cyberattacks or data breaches that could result in the unauthorized release, gathering, monitoring, misuse, loss, or destruction of proprietary and other information, or could otherwise lead to the disruption of our business operations. For example, the loss of clinical trial data from completed, ongoing or future clinical trials could result in delays in our regulatory approval efforts and significantly increase our costs to recover or reproduce the data. Likewise, we rely on third parties for research and development, the manufacture and supply of drug product and drug substance and to conduct clinical trials. We depend on these third parties to implement adequate controls and safeguards to protect against and report cybersecurity incidents. If they fail to do so, we may suffer financial and other harm, including to our information, operations, performance, and reputation. To the extent that any cybersecurity incident or data breach were to result in a loss of, or damage to, our data or systems, or inappropriate disclosure of confidential or proprietary information, we may have an obligation to provide legal notifications and disclosures, and we could incur liability and the further development and commercialization of our product candidates could be delayed.</w:t>
      </w:r>
    </w:p>
    <w:p>
      <w:pPr>
        <w:spacing w:after="0" w:line="19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Cybersecurity threats, both on premises and in the cloud, are evolving and could occur and result in information theft, data corruption, operational disruption, damage to our reputation, or financial loss. Such threats include, but are not limited to: malicious software, destructive malware, ransomware attacks, denial-of-service attacks, business email compromises, viruses, wrongful intrusions, social engineering (including phishing attacks), attempts to gain unauthorized access to systems or data, data breaches, the unauthorized release of confidential, personal or otherwise protected information, data corruption, the breakdown or damage or interruption of networks or systems from, among other things, natural disasters, terrorism, war, telecommunication and electrical failures, and harm to individuals. In addition, we could be impacted by cybersecurity threats or other disruptions or vulnerabilities found in products or services we use that are provided to us by third-parties. The risk of a security breach or disruption, particularly through cyberattacks or cyber intrusion, including by computer hackers, cyber criminals, hacktivists, foreign governments, and cyber terrorists, has generally increased as the number, intensity and sophistication of attempted attacks and intrusions from around the world have increased. The techniques used by criminal elements to attack computer systems are sophisticated, change frequently and may originate from less regulated and remote areas of the world. Attempts to disrupt or gain unauthorized access to our and our third-party vendors’ information systems from malicious third parties or insider threats may be enhanced or facilitated by evolving technologies, including artificial intelligence. As a result, we may not be able to address these techniques proactively or implement adequate preventative measures. These events, if not prevented or effectively mitigated, could damage our reputation, require remedial actions and lead to loss of business, regulatory actions, potential liability and other financial losses.</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5" w:name="page76"/>
    <w:bookmarkEnd w:id="75"/>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Certain data breaches must also be reported to affected individuals and various government and/or regulatory agencies, and in some cases to the media, under provisions of HIPAA, as amended by HITECH, other U.S. federal and state law, and requirements of non-U.S. jurisdictions, including the European Union Data Protection Directive, and financial penalties may also apply.</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 In addition, such insurance may not be available to us in the future on economically reasonable terms, or at all. Further, our insurance may not cover all claims made against us and defending a suit, regardless of its merit, could be costly and divert management’s attention.</w:t>
      </w:r>
    </w:p>
    <w:p>
      <w:pPr>
        <w:spacing w:after="0" w:line="179"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Securities and Exchange Commission (SEC), the National Institutes of Health (NIH) and other government agencies, including from government shutdowns, or other disruptions to these agencies’ staffing and operations, could hinder their ability to hire, retain or deploy personnel, and substantial leadership, personnel, and policy changes or otherwise could prevent new products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of these factors. Disruptions at the FDA and other agencies, including substantial leadership departures, personnel cuts and policy changes, may also slow the time necessary for new product candidates to be reviewed and/or approved by necessary government agencies, which would adversely affect our business. Changes and cuts in FDA staffing have been reported by some in the pharmaceutical industry as creating instances of delays in the FDA’s responsiveness or in its ability to review IND submissions or applications, issue regulations or guidance, or implement or enforce regulatory requirements in a timely fashion or at all.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Additionally, disruptions at the NIH or changes to the NIH’s budget may negatively impact our operations, research and development activities and ongoing clinical trials. Further, future government shutdowns could impact our ability to access the public markets and obtain necessary capital in order to properly fund and continue our operations.</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the current U.S. presidential administration, there is substantial uncertainty as to the extent and manner in which the U.S. government will continue to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Leadership changes at the FDA in the current administration may compound this uncertainty. Additionally, the current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or may decline regardless of our operating performance.</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shares of our common stock has fluctuated in the past and could be subject to wide fluctuations in the future as a result of many risks listed in this section, and other risks beyond our control, including:</w:t>
      </w:r>
    </w:p>
    <w:p>
      <w:pPr>
        <w:spacing w:after="0" w:line="54"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initiation of, and progress in, our current and planned clinical trials and nonclinical studies;</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nonclinical studies, and the results of clinical trials and nonclinical studies by others for product candidates or indications similar to ours;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6" w:name="page77"/>
    <w:bookmarkEnd w:id="76"/>
    <w:p>
      <w:pPr>
        <w:ind w:left="1020" w:right="2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the FDA or to regulations applicable to cellular immunotherapies generally or our product candidates in particular including, but not limited to, regulatory pathways and clinical trial requirements for approvals;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 or any changes in, or termination of, any such significant arrangement or relationship, such as our announcement in January 2023 of the termination of our collaboration with Janssen;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proprietary rights including patents, litigation matters and our ability to obtain patent protection for our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research and development activities and our business prospects, including in relation to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of technological innovations or new therapeutic products by us or others in the field of immunotherapy;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equity or debt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by our insiders or our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(including changes related to stock-based compensation from performance-based awards);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periods of widespread civil unrest, including the increasingly volatile global economic conditions resulting from the ongoing global geopolitical tensions, including wars and other armed conflicts;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inflationary pressures, tariffs and stock market volatility.</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and other market and industry factors, including the effects of any future public health crises or other public health concerns, wars or other armed conflicts, changes in the regulatory landscape and governmental agency personnel in the United States or similar events resulting from the change in the U.S. presidential administration, and global economic conditions,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Changes in our stock price may also trigger financial obligations under our licensing arrangements. For example, pursuant to the terms of the Amended MSKCC License, MSKCC is eligible to receive from us certain milestone payments totaling up to $75.0 million based on the price of our common stock, where the amount of such payments owed to MSKCC is contingent upon certain increases in the price of our common stock following the date of achievement of a specified clinical milestone. In July 2021, we achieved the specified clinical milestone for a licensed product under the Amended MSKCC License and our ten-trading day trailing average common stock price exceeded the first, pre-specified threshold. Accordingly, MSKCC received the first milestone payment of $20.0 million in November 2021; however, uncertainty of the price of our common stock results in an inability to ascertain the precise timing of any remaining future milestone payments in advance.</w:t>
      </w:r>
    </w:p>
    <w:p>
      <w:pPr>
        <w:spacing w:after="0" w:line="185"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common stock is delisted from the Nasdaq Global Market, the liquidity of our common stock would be adversely affected and the market price of our common stock could decrease.</w:t>
      </w:r>
    </w:p>
    <w:p>
      <w:pPr>
        <w:spacing w:after="0" w:line="15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(Nasdaq), which has minimum requirements that a company must meet in order to remain listed on such market, including that we maintain a minimum closing bid price of $1.00 per share. If we fail to maintain such minimum requirements and a final determination is made by Nasdaq that our common stock must be delisted, our ability to raise additional funds and the liquidity of our common stock would be adversely affected, and the market price of our common stock could decrease. Our failure to be listed on Nasdaq or another national securities exchange would have a material adverse effect on the value of your investment in us.</w:t>
      </w:r>
    </w:p>
    <w:p>
      <w:pPr>
        <w:spacing w:after="0" w:line="179"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exercise significant control over our company.</w:t>
      </w:r>
    </w:p>
    <w:p>
      <w:pPr>
        <w:spacing w:after="0" w:line="15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October 30, 2026, our executive officers, directors and entities affiliated with our five percent stockholders beneficially own, in the aggregate, shares representing approximately 27.0% of our outstanding voting stock. If, in accordance with the CoD (as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7" w:name="page78"/>
    <w:bookmarkEnd w:id="77"/>
    <w:p>
      <w:pPr>
        <w:spacing w:after="0" w:line="253" w:lineRule="auto"/>
        <w:rPr>
          <w:sz w:val="20"/>
          <w:szCs w:val="20"/>
          <w:color w:val="auto"/>
        </w:rPr>
      </w:pPr>
      <w:r>
        <w:rPr>
          <w:rFonts w:ascii="Times New Roman" w:cs="Times New Roman" w:eastAsia="Times New Roman" w:hAnsi="Times New Roman"/>
          <w:sz w:val="18"/>
          <w:szCs w:val="18"/>
          <w:color w:val="auto"/>
        </w:rPr>
        <w:t>such term is defined in Note 8 of the notes to the consolidated financial statements herewith) relating to the Class A Convertible Preferred Stock, Redmile (as such term is defined in Note 8 of the notes to the consolidated financial statements herewith) elects to remove certain limitations on the percentage of our outstanding common stock that it may own such that the 2,755,086 shares of Class A Convertible Preferred Stock currently held by Redmile become fully convertible at Redmile’s option into 13,775,430 shares of common stock, the beneficial ownership of our executive officers, directors and entities affiliated with our five percent stockholders would increase to 30.9%. Although we are not aware of any voting arrangements in place among these stockholders, if these stockholders were to choose to act together, as a result of their stock ownership, they would be able to influence our management and affairs and control all matters submitted to our stockholders for approval, including the election of directors and approval of any merger, consolidation or sale of all or substantially all of our assets. This concentration of ownership may have the effect of delaying or preventing a change in control of our company that our other stockholders may believe are in their best interests, or adversely affecting the liquidity, volatility, and market price of our common stock. For example, if any of our directors, executive officers or other entities affiliated with our five percent stockholders elect to sell, transfer or otherwise dispose of a significant amount of shares of our common stock, this could result in a decrease in our stock price. Furthermore, any transferees or successors of all or a significant portion of our existing stockholders’ ownership in us will be able to exert a similar amount of control over us through their ownership position.</w:t>
      </w:r>
    </w:p>
    <w:p>
      <w:pPr>
        <w:spacing w:after="0" w:line="183"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 Issuances of common stock or rights to purchase common stock under our equity incentive plans could result in additional dilution of the percentage ownership of our stockholders and could cause our stock price to fall.</w:t>
      </w:r>
    </w:p>
    <w:p>
      <w:pPr>
        <w:spacing w:after="0" w:line="1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and we may seek additional funding through a combination of equity offerings, debt financings, state or government grants, strategic alliances, licensing and collaboration arrangements, or other third-party business arrangements. 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 Further, in November 2023, we filed a registration statement on Form S-3 pursuant to which we were initially eligible to issue and sell up to $300.0 million in common stock, preferred stock, debt securities, warrants and/or units, in one or more series or classes, including up to $100.0 million in shares of common stock that may be issued in sales deemed to be an “at the market offering” (the ATM offering) as defined by the Securities Act of 1933, as amended (the Securities Act). In March 2024, we issued and sold 14,545,454 shares of our common stock at a purchase price of $5.50 per share in an underwritten offering pursuant to the shelf registration statement for aggregate gross proceeds of approximately $80.0 million. As of September 30, 2026, we have issued and sold 2,801,602 shares of our common stock in accordance with the ATM offering program, for aggregate gross proceeds of approximately $8.0 million. On or about the date hereof, we intend to enter into a sales agreement with Leerink Partners LLC for the offer and sale of up to $100.0 million in shares of our common stock in an at-the-market offering and concurrently terminated our sales agreement with Jefferies. Our shelf registration statement reaches the third anniversary of its effectiveness on November 27, 2026, and we intend to file a new shelf registration statement on Form S-3 prior to that date. We will not be able to sell securities under the new registration statement until it is declared effective by the SEC, and there can be no assurance that it will be declared effective on a timely basis or at all. Any sale or issuance of securities pursuant to a registration statement or otherwise may result in dilution to our stockholders and may cause the market price of our stock to decline, and new investors could gain rights superior to our existing stockholders. In addition, any debt financings that we may enter into in the future may subject us to unfavorable repayment terms, including increased interest rates, impose restrictive covenants or otherwise adversely affect the holdings or the rights of our stockholders, and any additional equity financings will be dilutive to our stockholders. Furthermore, additional equity or debt financing might not be available to us on reasonable terms, if at all.</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Pursuant to our 2022 Stock Option and Incentive Plan (as amended and restated, the 2022 Plan) we are authorized to grant stock options and other equity-based awards to our employees, officers, directors and consultants. The 2022 Plan currently authorizes the issuance of up to 31.5 million shares following stockholder approval of an increase in the number of shares authorized for issuance under the 2022 Plan in June 2026. We also make equity grants to new employees joining our company pursuant to our inducement plan, and our board of directors may elect to increase the number of shares available for future grants under the inducement plan without stockholder approval. If our board of directors elects in the future to increase the number of shares available for future grant and, in the case of the 2022 Plan, if our stockholders approve of any such future increase, our stockholders may experience additional dilution, and our stock price may fall.</w:t>
      </w:r>
    </w:p>
    <w:p>
      <w:pPr>
        <w:spacing w:after="0" w:line="185"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in the near future, which could cause the market price of our common stock to drop significantly.</w:t>
      </w:r>
    </w:p>
    <w:p>
      <w:pPr>
        <w:spacing w:after="0" w:line="15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A significant portion of our outstanding shares of common stock are held by a small number of stockholders, including our directors, officers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8" w:name="page79"/>
    <w:bookmarkEnd w:id="78"/>
    <w:p>
      <w:pPr>
        <w:ind w:right="460"/>
        <w:spacing w:after="0" w:line="282" w:lineRule="auto"/>
        <w:rPr>
          <w:sz w:val="20"/>
          <w:szCs w:val="20"/>
          <w:color w:val="auto"/>
        </w:rPr>
      </w:pPr>
      <w:r>
        <w:rPr>
          <w:rFonts w:ascii="Times New Roman" w:cs="Times New Roman" w:eastAsia="Times New Roman" w:hAnsi="Times New Roman"/>
          <w:sz w:val="18"/>
          <w:szCs w:val="18"/>
          <w:color w:val="auto"/>
        </w:rPr>
        <w:t>significant stockholders. Sales by our stockholders of a substantial number of shares, or the expectation that such sales may occur, could significantly reduce the market price of our common stock.</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example, we registered all of the 5,250,000 shares of common stock issued by us in our August 2016 private placement transaction for resale on a Form S-3, which was declared effective by the SEC in September 2016. We also registered all of the 6,766,915 shares of common stock issued by us and all 14,097,745 shares of common stock issuable upon the conversion of an aggregate of 2,819,549 shares of Class A Convertible Preferred Stock issued by us in our November 2016 private placement transaction for resale on a Form S-3, which was declared effective by the SEC in January 2017. Additionally, we registered all of the 5,380,117 shares of common stock issued by us and all of the 257,310 prefunded warrants to purchase common stock in our public offering in January 2021. We registered all of the 14,545,454 shares of common stock issued by us in our underwritten offering in March 2024. In addition, we registered for resale all of the 3,636,364 shares of common stock issuable upon exercise of the pre-funded warrants sold in the concurrent private placement in March 2024.</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also registered or intend to register all shares of our common stock subject to options, restricted stock units or other equity awards issued or reserved for future issuance under our equity incentive plans. As a result, these shares will be available for sale in the public market subject to vesting arrangements and exercise of options, and restrictions under applicable securities laws. In addition, certain of our executive officers, directors, employees and affiliates have established and may in the future establish programmed selling plans under Rule 10b5-1 of the Securities Exchange Act of 1934, as amended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83"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Delaware law or our charter documents could delay or prevent an acquisition of our company, and could make it more difficult for you to change management.</w:t>
      </w:r>
    </w:p>
    <w:p>
      <w:pPr>
        <w:spacing w:after="0" w:line="15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Provisions of Delaware law,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72"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limitations on the removal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 or to call special meetings;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make, alter or repeal our amended and restated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Any provision of our amended and restated certificate of incorporation or amended and restated bylaws or Delaware law that has the effect of delaying or discouraging a potential acquisition proposal or tender offer could limit the opportunity for our stockholders to achieve liquidity for their shares of our common stock, even if the acquisition proposal or tender offer is at a premium over the then-current market price for our common stock, and could also affect the price that some investors are willing to pay for our common stock.</w:t>
      </w:r>
    </w:p>
    <w:p>
      <w:pPr>
        <w:spacing w:after="0" w:line="183"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and the U.S. federal district courts as the exclusive forum for certain litigation that may be initiated by our stockholders, which could limit our stockholders’ ability to litigate disputes with us in a different judicial forum.</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arising pursuant to any provision of the General Corporation Law of the State of Delaware, our amended and restated certificate of incorporation or our amended and restated bylaws; or (iv) any action asserting a claim governed by the internal affairs doctrine. This exclusive forum provision will not apply to any causes of action arising under the Securities Act. Unless we consent in writing to the selection of an alternate forum, the U.S. federal district courts shall be the sole and exclusive forum for resolving any complaint asserting a cause of action arising under the Securities Act. The forum selection clause in our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ind w:right="200"/>
        <w:spacing w:after="0" w:line="261" w:lineRule="auto"/>
        <w:rPr>
          <w:sz w:val="20"/>
          <w:szCs w:val="20"/>
          <w:color w:val="auto"/>
        </w:rPr>
      </w:pPr>
      <w:r>
        <w:rPr>
          <w:rFonts w:ascii="Times New Roman" w:cs="Times New Roman" w:eastAsia="Times New Roman" w:hAnsi="Times New Roman"/>
          <w:sz w:val="18"/>
          <w:szCs w:val="18"/>
          <w:color w:val="auto"/>
        </w:rPr>
        <w:t>amended and restated bylaws may limit our stockholders’ ability to litigate disputes with us in a different judicial forum. While the Delaware courts have determined that these types of forum provisions are facially valid, a stockholder may nevertheless seek to bring a claim in a venue other than those designated in the exclusive forum provisions. In such instance, we may incur significant additional costs associated with resolving the dispute in other jurisdictions, and there can be no assurance that the provisions will be enforced by a court in those other jurisdictions.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sustained decline in our stock price may result in an impairment indicator which could have an adverse impact on our results of operations.</w:t>
      </w:r>
    </w:p>
    <w:p>
      <w:pPr>
        <w:spacing w:after="0" w:line="229"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Any significant change in market conditions, including a sustained decline in our stock price, may give rise to indicators of impairment in the period that the change becomes known. For example, during the year ended December 31, 2024, we identified an indicator of impairment of our long-lived assets due to a sustained decline in the trading price of our common stock over the preceding year, resulting in our market capitalization being below our net asset value. As a result of the fair value analysis, we recorded a $13.4 million impairment charge against property and equipment and a $1.3 million impairment charge against the right-of-use asset in the statement of operations during the year ended December 31, 2024.</w:t>
      </w:r>
    </w:p>
    <w:p>
      <w:pPr>
        <w:spacing w:after="0" w:line="179"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qualify as a “smaller reporting company” and a “non-accelerated filer,” and any decision on our part to comply only with certain reduced reporting and disclosure requirements applicable to such companies could make shares of our common stock less attractive to investors.</w:t>
      </w:r>
    </w:p>
    <w:p>
      <w:pPr>
        <w:spacing w:after="0" w:line="15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qualify as a “smaller reporting company,” as defined under the Exchange Act. In addition, we are a “non-accelerated filer” as defined under the Exchange Act. For as long as we continue to be a smaller reporting company or a non-accelerated filer, we may choose to take advantage of exemptions from various reporting requirements applicable to other public companies that are not smaller reporting companies or non-accelerated filers, as applicable, including, but not limited to, an exemption from the requirement that our independent registered public accounting firm attest to the design and operating effectiveness of our internal controls over financial reporting under Section 404(b) of the Sarbanes-Oxley Act.</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we choose to rely on any of these reporting and disclosure exemptions, the information we provide stockholders will be different than the information that is available with respect to many other public companies. Moreover, if some investors find our common stock less attractive as a result of any choices to reduce future disclosure or have an independent review and attestation of our internal control over financial reporting, there may be a less active trading market for our common stock and the market price of our common stock may be more volatile.</w:t>
      </w:r>
    </w:p>
    <w:p>
      <w:pPr>
        <w:spacing w:after="0" w:line="176"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benefits may be limited and, as a result, our future tax liability may increase.</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carryforwards of $879.1 million and $773.3 million, respectively, some of which begin to expire in various amounts in 2027 and 2028, respectively. As of December 31, 2025, we also had federal and California research and development tax credit carryforwards of $48.5 million and $40.1 million, respectively. The federal research and development tax credit carryforwards will begin to expire in 2035 unless previously utilized, while the California carryforwards will carry forward indefinitely. These net operating loss and tax credit carryforwards could expire unused and be unavailable to offset future income tax liabilities. In addition, in general, under Sections 382 and 383 of the Internal Revenue Code of 1986, as amended, a corporation that undergoes an “ownership change” is subject to limitations on its ability to utilize its pre-change net operating losses (NOLs) or tax credits to offset future taxable income or taxes. Generally, a change of more than 50 percentage points in the ownership of a corporation’s stock, by value, over a three-year period constitutes an ownership change for U.S. federal income tax purposes. We have determined that we triggered an ownership change limitation in November 2009 and again in May 2015. We have determined that we do not believe there were any ownership changes from May 2015 through December 2025. We have not analyzed periods subsequent to December 2025. We may experience additional ownership changes as a result of shifts in our stock ownership in the future. Limits on our ability to use our pre-change NOLs or credits to offset U.S. federal taxable income could potentially result in increased future tax liability to us if we earn net taxable income in the future. The amount of NOLs generated in taxable periods beginning after December 31, 2017, that we are permitted to deduct in any taxable year is limited to 80% of our taxable income in such year, where taxable income is determined without regard to the NOL deduction itself. U.S. federal and certain state NOLs generated in taxable years beginning after December 31, 2017 are not subject to expiration.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and could be further subject to securities class action litigation and other types of stockholder litigation.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stock market in general, and Nasdaq and biotechnology companies in particular, have experienced extreme price and volume fluctuations that have often been unrelated or disproportionate to the operating performance of these companies. Securities class action litigation has often been instituted against companies following periods of volatility in the market price of a company’s securities. For example, in January 2023, a purported stockholder filed a lawsuit against us and certain of our officers captioned Hadian v. Fate Therapeutics, Inc. et al. in the U.S. District Court for the Southern District of California and two derivative actions were filed in the same court in June 2023 and June 2024, respectively. An additional derivative action was filed in the Court of Chancery of the State of Delaware in December 2025 (see </w:t>
      </w:r>
      <w:r>
        <w:rPr>
          <w:rFonts w:ascii="Times New Roman" w:cs="Times New Roman" w:eastAsia="Times New Roman" w:hAnsi="Times New Roman"/>
          <w:sz w:val="18"/>
          <w:szCs w:val="18"/>
          <w:i w:val="1"/>
          <w:iCs w:val="1"/>
          <w:color w:val="auto"/>
        </w:rPr>
        <w:t>“Item 3. Legal Proceedings”</w:t>
      </w:r>
      <w:r>
        <w:rPr>
          <w:rFonts w:ascii="Times New Roman" w:cs="Times New Roman" w:eastAsia="Times New Roman" w:hAnsi="Times New Roman"/>
          <w:sz w:val="18"/>
          <w:szCs w:val="18"/>
          <w:color w:val="auto"/>
        </w:rPr>
        <w:t xml:space="preserve"> for a more detailed description of these matters). We could also be subject to other types of litigation, which may involve claims of breach of fiduciary duties by our directors or officers for misuse/mismanagement of company assets/resources or conflicts of interest. Any such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88"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may subject us to disputes, claims and lawsuits, which may be costly and time-consuming and could materially and adversely impact our financial position and results of operations.</w:t>
      </w:r>
    </w:p>
    <w:p>
      <w:pPr>
        <w:spacing w:after="0" w:line="15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become involved in disputes, claims and lawsuits relating to our business operations. For example, we have in the past and we may, from time to time, face or initiate claims related to intellectual property matters, employment matters, or commercial disputes. Any dispute, claim or lawsuit may divert management’s attention away from our business, we may incur significant expenses in addressing or defending any dispute, claim or lawsuit, and we may be required to pay damage awards or settlements or become subject to equitable remedies that could adversely affect our operations and financial results. Litigation related to these disputes may be costly and time-consuming and could materially and adversely impact our financial position and results of operations if resolved against us. In addition, the uncertainty associated with litigation could lead to increased volatility in our stock price.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regulatory and other factors beyond our control, such as the rate of unemployment, rate of inflation, the number of uninsured persons in the United States, political influences and inflationary pressures, and fluctuations in costs, particularly due to changes in labor costs and material costs. For example, an overall decrease in or loss of insurance coverage among individuals in the United States due to high levels of unemployment, underemployment or the repeal of certain provisions of the ACA and changes to other federal healthcare programs may decrease the demand for healthcare services and pharmaceuticals. These changes could adversely impact our clinical trial recruitment, particularly in underserved populations. In addition, if fewer patients are seeking medical care because they do not have insurance coverage or are unable to obtain medical care for their conditions due to resource constraints on the healthcare system, we may experience difficulties in any eventual commercialization of our product candidates and our business, results of operations, financial condition and cash flows could be adversely affected. In addition, if we are unable to manage cost fluctuations and inflationary pressures, including prices of materials, costs of labor, it may adversely impact our operating performance, expenses and results.</w:t>
      </w:r>
    </w:p>
    <w:p>
      <w:pPr>
        <w:spacing w:after="0" w:line="19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 economic downturn, ongoing and emerging global geopolitical tensions, including wars or other armed conflicts, interest rate fluctuations, rising inflation rates or recession, could result in a variety of risks to our business, including a reduced ability to raise additional capital when needed on acceptable terms, if at all, and weakened demand for our product candidates. A weak or declining economy, and rising inflation could also strain our suppliers, possibly resulting in supply disruption. Any of the foregoing could harm our business and we cannot anticipate all of the ways in which ongoing wars and other armed conflicts, current economic climate and financial market conditions could adversely impact our business.</w:t>
      </w:r>
    </w:p>
    <w:p>
      <w:pPr>
        <w:spacing w:after="0" w:line="188"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regulatory developments, and other circumstances beyond our control, could have a material adverse effect on our financial condition or results of operations.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1" w:name="page82"/>
    <w:bookmarkEnd w:id="81"/>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We intend to expand our clinical operations to countries other than the U.S., and are developing products for regulatory approval and sale in countries throughout the world. Significant political, trade, or regulatory developments in the jurisdictions in which we may conduct clinical trials, develop, or sell our products, such as those stemming from the change in U.S. federal administration, are difficult to predict and may have a material adverse effect on us. Similarly, changes in U.S. federal policy that affect the geopolitical landscape, such as supply chain disruptions and delays as a result of any new tariff policies or trade restrictions, could give rise to circumstances outside our control that could have negative impacts on our business operations. For example, in early 2025, the U.S. imposed and adjusted a series of tariffs on imports from key trading partners, including Canada, Mexico, China and the European Union. Since then, tariff activity has continued to escalate, with new rounds of increases, expanded coverage to additional goods and materials, pauses, and shifting implementation timelines. In response to tariffs, other countries have implemented retaliatory tariffs on imports from the United States. Historically, tariffs have led to increased trade and political tensions.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 current U.S. presidential administration has threatened to impose additional significant tariffs on pharmaceutical products, which could lead to corresponding punitive actions by countries outside the United States. Any changes in political, trade, regulatory, and economic conditions, including U.S. trade policies, could have a material adverse effect on our financial condition or results of operations.</w:t>
      </w:r>
    </w:p>
    <w:p>
      <w:pPr>
        <w:spacing w:after="0" w:line="172"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Volatility in capital markets and lower market prices for our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1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operations consume substantial amounts of cash, and we intend to continue to make significant investments to support our business growth, respond to business challenges or opportunities, develop new product candidates, retain or expand our current levels of personnel, improve our existing products,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72"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or our existing product candidates and develop or enhance our technological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in-licenses or other strategic relationships;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25"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185"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interest rates could affect our ability to obtain working capital through borrowings such as bank credit lines and public or private sales of debt securities, which may result in lower liquidity, reduced working capital and other adverse impacts on our business.</w:t>
      </w:r>
    </w:p>
    <w:p>
      <w:pPr>
        <w:spacing w:after="0" w:line="15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To meet our liquidity needs, we have previously relied, in part, on borrowed funds, and may do so again in the future. Continued volatility in interest rates will impact the cost of new indebtedness and could materially and adversely affect our results of operations, financial condition, liquidity and cash flows.</w:t>
      </w:r>
    </w:p>
    <w:p>
      <w:pPr>
        <w:spacing w:after="0" w:line="172"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changing expectations from governments and third-parties relating to environmental, social and governance (ESG) policies and practices may cause us to incur additional costs, expose us to additional risks or impact our reputation.</w:t>
      </w:r>
    </w:p>
    <w:p>
      <w:pPr>
        <w:spacing w:after="0" w:line="15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recent years, there has been increasing public focus and scrutiny from certain investors, employees and other stakeholders concerning corporate responsibility, specifically related to ESG factors. In addition to the changing rules and regulations related to ESG matters imposed by governmental and self-regulatory organizations, a variety of third-party organizations, institutional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ind w:right="120"/>
        <w:spacing w:after="0" w:line="255" w:lineRule="auto"/>
        <w:rPr>
          <w:sz w:val="20"/>
          <w:szCs w:val="20"/>
          <w:color w:val="auto"/>
        </w:rPr>
      </w:pPr>
      <w:r>
        <w:rPr>
          <w:rFonts w:ascii="Times New Roman" w:cs="Times New Roman" w:eastAsia="Times New Roman" w:hAnsi="Times New Roman"/>
          <w:sz w:val="18"/>
          <w:szCs w:val="18"/>
          <w:color w:val="auto"/>
        </w:rPr>
        <w:t>and business partners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 Third-party providers of ESG ratings and reports on companies have increased in number, resulting in varied and, in some cases, inconsistent standards and frameworks. Topics taken into account in such assessments include, among others, our efforts and impacts with respect to climate change and the role of our board of directors in supervising various sustainability issues.</w:t>
      </w:r>
    </w:p>
    <w:p>
      <w:pPr>
        <w:spacing w:after="0" w:line="189"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current U.S. presidential administration having recently issued an executive order opposing diversity equity and inclusion (DEI) initiatives in the private sector. Such anti-ESG and anti-DEI-related policies, legislation, initiatives, litigation, legal opinions, and scrutiny could result in our facing additional compliance obligations, becoming the subject of investigations and enforcement actions, or sustaining reputational harm.</w:t>
      </w:r>
    </w:p>
    <w:p>
      <w:pPr>
        <w:spacing w:after="0" w:line="19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If our business practices do not meet evolving investor, government agency or other stakeholder expectations and standards with respect to ESG, then our reputation, our ability to attract or retain employees and the market price of our securities could be negatively impacted. New governmental regulations could result in new directives and new or more stringent forms of ESG oversight and disclosures which may lead to increased expenditures for sustainability initiatives, which in turn could have a material adverse effect on our business, financial condition, cash flows and results of operations and could cause the market value of our common stock to decline.</w:t>
      </w:r>
    </w:p>
    <w:p>
      <w:pPr>
        <w:spacing w:after="0" w:line="179" w:lineRule="exact"/>
        <w:rPr>
          <w:sz w:val="20"/>
          <w:szCs w:val="20"/>
          <w:color w:val="auto"/>
        </w:rPr>
      </w:pPr>
    </w:p>
    <w:p>
      <w:pPr>
        <w:ind w:right="4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(SVB) was closed by the California Department of Financial Protection and Innovation, which appointed the Federal Deposit Insurance Corporation (FDIC) as receiver, and other financial institutions were also swept into receivership. In some cases, borrowers under credit agreements, letters of credit and certain other financial instruments with a financial institution that was placed into receivership by the FDIC were unable to access undrawn amounts thereunder. We currently use deposit accounts to fund our operations and other financial instruments such as cash-collateralized letters of credit associated with our facilities leases. Our excess cash is invested according to a restrictive investment policy within custodial accounts at various financial institutions. If any of the financial institutions that hold our deposit accounts were to be placed into receivership, we may be unable to access the funds in those accounts, which could result in liquidity constraints or failures. In addition, if any of our collaboration partners,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spacing w:after="0" w:line="19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Additionally, there is no guarantee that the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3" w:name="page84"/>
    <w:bookmarkEnd w:id="83"/>
    <w:p>
      <w:pPr>
        <w:ind w:right="380"/>
        <w:spacing w:after="0" w:line="282" w:lineRule="auto"/>
        <w:rPr>
          <w:sz w:val="20"/>
          <w:szCs w:val="20"/>
          <w:color w:val="auto"/>
        </w:rPr>
      </w:pPr>
      <w:r>
        <w:rPr>
          <w:rFonts w:ascii="Times New Roman" w:cs="Times New Roman" w:eastAsia="Times New Roman" w:hAnsi="Times New Roman"/>
          <w:sz w:val="18"/>
          <w:szCs w:val="18"/>
          <w:color w:val="auto"/>
        </w:rPr>
        <w:t>U.S. Department of Treasury, FDIC and Federal Reserve Board will provide access to uninsured funds in the future in the event of the closure of other banks or financial institutions, or that they would do so in a timely fashion.</w:t>
      </w:r>
    </w:p>
    <w:p>
      <w:pPr>
        <w:spacing w:after="0" w:line="16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other business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 or</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or reductions in borrowings available under working capital sources and/or delays, inability or reductions in our ability to refund, roll over or extend the maturity of, or enter into new working capital resources.</w:t>
      </w:r>
    </w:p>
    <w:p>
      <w:pPr>
        <w:spacing w:after="0" w:line="162" w:lineRule="exact"/>
        <w:rPr>
          <w:sz w:val="20"/>
          <w:szCs w:val="20"/>
          <w:color w:val="auto"/>
        </w:rPr>
      </w:pPr>
    </w:p>
    <w:p>
      <w:pPr>
        <w:ind w:right="520" w:firstLine="509"/>
        <w:spacing w:after="0" w:line="258"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our collaboration partners, suppliers or other parties with whom we do business, which in turn, could have a material adverse effect on our current and/or projected business operations and results of operations and financial condition. Any bankruptcy or insolvency of a collaboration partner, supplier or other party with whom we do business, or the failure of any such party to make payments when due, or any breach or default by any such party, or the loss of any significant commercial relationships, could result in material losses to us and may have a material adverse impact on our business.</w:t>
      </w:r>
    </w:p>
    <w:p>
      <w:pPr>
        <w:spacing w:after="0" w:line="179"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risks associated with ongoing wars and armed conflicts could have an adverse impact on our business, financial condition and results of operations, including our clinical trials.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are ongoing and emerging geopolitical tensions, including wars and other armed conflicts, and although the conflicts have had little direct impact on our business to date, the uncertainty and ripple effects created by these conflicts may have unknown indirect impacts. For instance, the ongoing conflicts have resulted in significant volatility in certain equity, debt and currency markets, material increases in certain commodity prices, and economic uncertainty. Global conflicts, including ongoing hostilities with Iran, Russia’s invasion of Ukraine, conflicts in the Middle East, and heightened tensions in the Pacific region, have significantly elevated global geopolitical tensions and security concerns. It is not possible to predict the broader or longer-term consequences of these conflicts, although a prolonged conflict may result in adverse effects on microeconomic conditions including inflation; disruptions to our global technology infrastructure, including through cyberattack, ransom attack, or cybersecurity-intrusion; adverse changes in international trade policies and relations; disruptions in global supply chains; our exposure to foreign currency fluctuations; and constraints, volatility, or disruption in the capital markets, any of which could negatively impact our business, financial performance and financial condition. Tariffs and economic sanctions imposed by the United States, Canada, EU, and other countries in response to the ongoing conflicts and the potential response to such sanctions may also have an adverse impact our business, including our clinical trials and supply chain, the financial markets and the global economy.</w:t>
      </w:r>
    </w:p>
    <w:p>
      <w:pPr>
        <w:spacing w:after="0" w:line="192"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We continue to monitor any adverse impact that the outbreak of war and the subsequent institution of sanctions by the United States and other countries may have on the global economy in general, on our business and operations and on the businesses and operations of our suppliers and third parties with whom we conduct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right="30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or the third parties upon whom we depend may be adversely affected by earthquakes, wildfires, power outages, or other natural disasters, including public health crises, and our business continuity and disaster recovery plans may not adequately protect us from a serious disaster.</w:t>
      </w:r>
    </w:p>
    <w:p>
      <w:pPr>
        <w:spacing w:after="0" w:line="13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facilities are located in San Diego, California, which is a seismically active region, and historically has been subject to wildfires and electrical blackouts. Earthquakes, wildfires, power outages, or other natural disasters (including due to the effects of climate change or any public health crises) could severely disrupt our operations, or the operations of third parties upon whom we depend,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our manufacturing facilities or those of our CMOs, or that otherwise disrupted operations, it may be difficult or, in certain cases, impossible for us to continue our business for a substantial period of time. For example, clinical supplies of our NK and T-cell therapeutic product candidates, as well as the working and master cell banks from which these product candidates are manufactured, are maintained in freezers at our manufacturing facility and at third-party biorepositories. If these materials are damaged at our facility or at the facilities of our third-party repositories, including as a result of a power outage or natural disaster, clinical supply of our product candidates may be impacted and our clinical trials may be delayed. Further, any measures taken by governmental authorities or businesses in response to any public health crisis, such as quarantines, stay-at-home orders or travel restrictions, could adversely affect our business, operations, financial condition, prospects or results of operations by restricting our ability to conduct our clinical trials and research and development activities, and limiting our and our third-party manufacturers’ ability to manufacture product and forcing temporary closure of our facilities and facilities that we rely upon. The disaster recovery and business continuity plans we and our third-party biorepositories have in place currently may be limited and may not prove adequate for protecting and continuing our business in the event that our business is disrupted as a result of a public health crisis or other serious disaster or similar event. We may incur substantial expenses as a result of the limited nature of our disaster recovery and business continuity plans, which could have a material adverse effect on our business. Any insurance we maintain against such risks may not be adequate to cover losses in any particular case.</w:t>
      </w:r>
    </w:p>
    <w:p>
      <w:pPr>
        <w:spacing w:after="0" w:line="189"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procedures and internal controls, our ability to produce accurate financial statements or comply with applicable regulations could be impaired.</w:t>
      </w:r>
    </w:p>
    <w:p>
      <w:pPr>
        <w:spacing w:after="0" w:line="15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comply with the Sarbanes-Oxley Act of 2002, as amended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183"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cannot assure that we will not have material weaknesses or significant deficiencies in our internal control over financial reporting. If we are unable to successfully remediate any material weakness or significant deficiency in our internal control over financial reporting, or identify any material weaknesses or significant deficiencies that may exist, the accuracy and timing of our financial reporting may be adversely affected, we may be unable to maintain compliance with securities law requirements regarding timely filing of periodic reports in addition to applicable stock exchange listing requirements, and our stock price may decline materially as a result.</w:t>
      </w:r>
    </w:p>
    <w:p>
      <w:pPr>
        <w:spacing w:after="0" w:line="179" w:lineRule="exact"/>
        <w:rPr>
          <w:sz w:val="20"/>
          <w:szCs w:val="20"/>
          <w:color w:val="auto"/>
        </w:rPr>
      </w:pPr>
    </w:p>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including regulations governing the handling, storage or disposal of hazardous materials, we could become subject to fines or penalties or incur costs that could harm our business.</w:t>
      </w:r>
    </w:p>
    <w:p>
      <w:pPr>
        <w:spacing w:after="0" w:line="15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biological materials and infectious agents.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5" w:name="page86"/>
    <w:bookmarkEnd w:id="85"/>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changes to tax laws have been made and changes are likely to continue to occur in the future. For example, the Tax Cuts and Jobs Act was enacted in 2017 and made significant changes to corporate taxation, including the reduction of the corporate tax rate from a top marginal rate of 35% to a flat rate of 21%, the limitation of the tax deduction for net interest expense to 30% of adjusted taxable income (except for certain small businesses), the limitation of the deduction for net operating losses to 80% of current year taxable income and the elimination of net operating loss carrybacks (though any such net operating losses may be carried forward indefinitely), and the modification or repeal of many business deductions and credits. In addition, the One Big Beautiful Bill Act (OBBBA) was signed into law on July 4, 2025 and made significant changes to U.S. federal tax law. The OBBBA provides that for taxable years beginning after December 31, 2024, expenses that are incurred for research and development performed in the U.S. may, at the taxpayer’s election, be immediately deducted or capitalized and amortized. The OBBBA further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It cannot be predicted whether, when, in what form, or with what effective dates, additional new tax laws, regulations and rulings may be enacted, promulgated or issued, which could result in an increase in our or our stockholders’ tax liability or require changes in the manner in which we operate in order to minimize or mitigate any adverse effects of changes in tax law.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00" w:hanging="183"/>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10b5-1 Trading Plans</w:t>
      </w:r>
    </w:p>
    <w:p>
      <w:pPr>
        <w:spacing w:after="0" w:line="11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none of our directors or officers adopted, materially modified, or terminated any contract, instruction, or written plan for the purchase or sale of our securities that was intended to satisfy the affirmative defense conditions of Rule 10b5-1(c) under the Exchange Act or any non-Rule 10b5-1 trading arrangement.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960" w:type="dxa"/>
            <w:vAlign w:val="bottom"/>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10"/>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240" w:type="dxa"/>
            <w:vAlign w:val="bottom"/>
            <w:vMerge w:val="restart"/>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960" w:type="dxa"/>
            <w:vAlign w:val="bottom"/>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80" w:type="dxa"/>
            <w:vAlign w:val="bottom"/>
            <w:gridSpan w:val="10"/>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960" w:type="dxa"/>
            <w:vAlign w:val="bottom"/>
          </w:tcPr>
          <w:p>
            <w:pPr>
              <w:jc w:val="center"/>
              <w:ind w:right="373"/>
              <w:spacing w:after="0"/>
              <w:rPr>
                <w:sz w:val="20"/>
                <w:szCs w:val="20"/>
                <w:color w:val="auto"/>
              </w:rPr>
            </w:pPr>
            <w:r>
              <w:rPr>
                <w:rFonts w:ascii="Times New Roman" w:cs="Times New Roman" w:eastAsia="Times New Roman" w:hAnsi="Times New Roman"/>
                <w:sz w:val="18"/>
                <w:szCs w:val="18"/>
                <w:color w:val="auto"/>
                <w:w w:val="97"/>
              </w:rPr>
              <w:t>3.1</w:t>
            </w:r>
          </w:p>
        </w:tc>
        <w:tc>
          <w:tcPr>
            <w:tcW w:w="4420" w:type="dxa"/>
            <w:vAlign w:val="bottom"/>
            <w:gridSpan w:val="12"/>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Amended and Restated Certificate of Incorporation of the</w:t>
              </w:r>
            </w:hyperlink>
          </w:p>
        </w:tc>
        <w:tc>
          <w:tcPr>
            <w:tcW w:w="12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S-1/A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3.2</w:t>
            </w:r>
          </w:p>
        </w:tc>
        <w:tc>
          <w:tcPr>
            <w:tcW w:w="17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8"/>
              </w:rPr>
              <w:t>August 29, 2013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12"/>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Registrant</w:t>
              </w:r>
            </w:hyperlink>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3"/>
              <w:spacing w:after="0"/>
              <w:rPr>
                <w:sz w:val="20"/>
                <w:szCs w:val="20"/>
                <w:color w:val="auto"/>
              </w:rPr>
            </w:pPr>
            <w:r>
              <w:rPr>
                <w:rFonts w:ascii="Times New Roman" w:cs="Times New Roman" w:eastAsia="Times New Roman" w:hAnsi="Times New Roman"/>
                <w:sz w:val="18"/>
                <w:szCs w:val="18"/>
                <w:color w:val="auto"/>
                <w:w w:val="97"/>
              </w:rPr>
              <w:t>3.2</w:t>
            </w:r>
          </w:p>
        </w:tc>
        <w:tc>
          <w:tcPr>
            <w:tcW w:w="4420" w:type="dxa"/>
            <w:vAlign w:val="bottom"/>
            <w:gridSpan w:val="12"/>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Certificate of Amendment to Amended and Restated</w:t>
              </w:r>
            </w:hyperlink>
          </w:p>
        </w:tc>
        <w:tc>
          <w:tcPr>
            <w:tcW w:w="12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3.1</w:t>
            </w:r>
          </w:p>
        </w:tc>
        <w:tc>
          <w:tcPr>
            <w:tcW w:w="17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8"/>
              </w:rPr>
              <w:t>June 7, 2021</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12"/>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Certificate of Incorporation of the Registrant</w:t>
              </w:r>
            </w:hyperlink>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3"/>
              <w:spacing w:after="0"/>
              <w:rPr>
                <w:sz w:val="20"/>
                <w:szCs w:val="20"/>
                <w:color w:val="auto"/>
              </w:rPr>
            </w:pPr>
            <w:r>
              <w:rPr>
                <w:rFonts w:ascii="Times New Roman" w:cs="Times New Roman" w:eastAsia="Times New Roman" w:hAnsi="Times New Roman"/>
                <w:sz w:val="18"/>
                <w:szCs w:val="18"/>
                <w:color w:val="auto"/>
                <w:w w:val="97"/>
              </w:rPr>
              <w:t>3.3</w:t>
            </w:r>
          </w:p>
        </w:tc>
        <w:tc>
          <w:tcPr>
            <w:tcW w:w="4420" w:type="dxa"/>
            <w:vAlign w:val="bottom"/>
            <w:gridSpan w:val="12"/>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Certificate of Designation of Preferences, Rights and</w:t>
              </w:r>
            </w:hyperlink>
          </w:p>
        </w:tc>
        <w:tc>
          <w:tcPr>
            <w:tcW w:w="12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3.1</w:t>
            </w:r>
          </w:p>
        </w:tc>
        <w:tc>
          <w:tcPr>
            <w:tcW w:w="17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8"/>
              </w:rPr>
              <w:t>November 29, 2016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12"/>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Limitations of Class A Convertible Preferred Stock</w:t>
              </w:r>
            </w:hyperlink>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3"/>
              <w:spacing w:after="0"/>
              <w:rPr>
                <w:sz w:val="20"/>
                <w:szCs w:val="20"/>
                <w:color w:val="auto"/>
              </w:rPr>
            </w:pPr>
            <w:r>
              <w:rPr>
                <w:rFonts w:ascii="Times New Roman" w:cs="Times New Roman" w:eastAsia="Times New Roman" w:hAnsi="Times New Roman"/>
                <w:sz w:val="18"/>
                <w:szCs w:val="18"/>
                <w:color w:val="auto"/>
                <w:w w:val="97"/>
              </w:rPr>
              <w:t>3.4</w:t>
            </w:r>
          </w:p>
        </w:tc>
        <w:tc>
          <w:tcPr>
            <w:tcW w:w="4420" w:type="dxa"/>
            <w:vAlign w:val="bottom"/>
            <w:gridSpan w:val="12"/>
          </w:tcPr>
          <w:p>
            <w:pPr>
              <w:spacing w:after="0"/>
              <w:rPr>
                <w:rFonts w:ascii="Times New Roman" w:cs="Times New Roman" w:eastAsia="Times New Roman" w:hAnsi="Times New Roman"/>
                <w:sz w:val="18"/>
                <w:szCs w:val="18"/>
                <w:color w:val="0000FF"/>
                <w:w w:val="98"/>
              </w:rPr>
            </w:pPr>
            <w:hyperlink r:id="rId328">
              <w:r>
                <w:rPr>
                  <w:rFonts w:ascii="Times New Roman" w:cs="Times New Roman" w:eastAsia="Times New Roman" w:hAnsi="Times New Roman"/>
                  <w:sz w:val="18"/>
                  <w:szCs w:val="18"/>
                  <w:color w:val="0000FF"/>
                  <w:w w:val="98"/>
                </w:rPr>
                <w:t>Amended and Restated Bylaws of the Registrant, as currently</w:t>
              </w:r>
            </w:hyperlink>
          </w:p>
        </w:tc>
        <w:tc>
          <w:tcPr>
            <w:tcW w:w="12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3.3</w:t>
            </w:r>
          </w:p>
        </w:tc>
        <w:tc>
          <w:tcPr>
            <w:tcW w:w="17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12"/>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in effect</w:t>
              </w:r>
            </w:hyperlink>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3"/>
              <w:spacing w:after="0"/>
              <w:rPr>
                <w:sz w:val="20"/>
                <w:szCs w:val="20"/>
                <w:color w:val="auto"/>
              </w:rPr>
            </w:pPr>
            <w:r>
              <w:rPr>
                <w:rFonts w:ascii="Times New Roman" w:cs="Times New Roman" w:eastAsia="Times New Roman" w:hAnsi="Times New Roman"/>
                <w:sz w:val="18"/>
                <w:szCs w:val="18"/>
                <w:color w:val="auto"/>
                <w:w w:val="97"/>
              </w:rPr>
              <w:t>3.5</w:t>
            </w:r>
          </w:p>
        </w:tc>
        <w:tc>
          <w:tcPr>
            <w:tcW w:w="4420" w:type="dxa"/>
            <w:vAlign w:val="bottom"/>
            <w:gridSpan w:val="12"/>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Certificate of Amendment to Certificate of Designation of</w:t>
              </w:r>
            </w:hyperlink>
          </w:p>
        </w:tc>
        <w:tc>
          <w:tcPr>
            <w:tcW w:w="12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April 19, 2023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0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12"/>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Preferences, Rights and Limitation of Class A Convertible</w:t>
              </w:r>
            </w:hyperlink>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0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12"/>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Preferred Stock of Fate Therapeutics, Inc.</w:t>
              </w:r>
            </w:hyperlink>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020" w:type="dxa"/>
            <w:vAlign w:val="bottom"/>
            <w:tcBorders>
              <w:right w:val="single" w:sz="8" w:color="0000EE"/>
            </w:tcBorders>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60" w:type="dxa"/>
            <w:vAlign w:val="bottom"/>
          </w:tcPr>
          <w:p>
            <w:pPr>
              <w:jc w:val="center"/>
              <w:ind w:right="373"/>
              <w:spacing w:after="0"/>
              <w:rPr>
                <w:sz w:val="20"/>
                <w:szCs w:val="20"/>
                <w:color w:val="auto"/>
              </w:rPr>
            </w:pPr>
            <w:r>
              <w:rPr>
                <w:rFonts w:ascii="Times New Roman" w:cs="Times New Roman" w:eastAsia="Times New Roman" w:hAnsi="Times New Roman"/>
                <w:sz w:val="18"/>
                <w:szCs w:val="18"/>
                <w:color w:val="auto"/>
                <w:w w:val="97"/>
              </w:rPr>
              <w:t>3.6</w:t>
            </w:r>
          </w:p>
        </w:tc>
        <w:tc>
          <w:tcPr>
            <w:tcW w:w="4420" w:type="dxa"/>
            <w:vAlign w:val="bottom"/>
            <w:gridSpan w:val="12"/>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Certificate of Amendment to Amended and Restated</w:t>
              </w:r>
            </w:hyperlink>
          </w:p>
        </w:tc>
        <w:tc>
          <w:tcPr>
            <w:tcW w:w="12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June 10, 2024</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420" w:type="dxa"/>
            <w:vAlign w:val="bottom"/>
            <w:tcBorders>
              <w:right w:val="single" w:sz="8" w:color="0000FF"/>
            </w:tcBorders>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12"/>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Certificate of Incorporation of the Registrant</w:t>
              </w:r>
            </w:hyperlink>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3"/>
              <w:spacing w:after="0"/>
              <w:rPr>
                <w:sz w:val="20"/>
                <w:szCs w:val="20"/>
                <w:color w:val="auto"/>
              </w:rPr>
            </w:pPr>
            <w:r>
              <w:rPr>
                <w:rFonts w:ascii="Times New Roman" w:cs="Times New Roman" w:eastAsia="Times New Roman" w:hAnsi="Times New Roman"/>
                <w:sz w:val="18"/>
                <w:szCs w:val="18"/>
                <w:color w:val="auto"/>
                <w:w w:val="97"/>
              </w:rPr>
              <w:t>3.7</w:t>
            </w:r>
          </w:p>
        </w:tc>
        <w:tc>
          <w:tcPr>
            <w:tcW w:w="4420" w:type="dxa"/>
            <w:vAlign w:val="bottom"/>
            <w:gridSpan w:val="12"/>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Certificate of Amendment to Amended and Restated</w:t>
              </w:r>
            </w:hyperlink>
          </w:p>
        </w:tc>
        <w:tc>
          <w:tcPr>
            <w:tcW w:w="12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May 30, 2025</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420" w:type="dxa"/>
            <w:vAlign w:val="bottom"/>
            <w:tcBorders>
              <w:right w:val="single" w:sz="8" w:color="0000FF"/>
            </w:tcBorders>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12"/>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Certificate of Incorporation of the Registrant</w:t>
              </w:r>
            </w:hyperlink>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53"/>
              <w:spacing w:after="0"/>
              <w:rPr>
                <w:sz w:val="20"/>
                <w:szCs w:val="20"/>
                <w:color w:val="auto"/>
              </w:rPr>
            </w:pPr>
            <w:r>
              <w:rPr>
                <w:rFonts w:ascii="Times New Roman" w:cs="Times New Roman" w:eastAsia="Times New Roman" w:hAnsi="Times New Roman"/>
                <w:sz w:val="18"/>
                <w:szCs w:val="18"/>
                <w:color w:val="auto"/>
              </w:rPr>
              <w:t>31.1</w:t>
            </w:r>
          </w:p>
        </w:tc>
        <w:tc>
          <w:tcPr>
            <w:tcW w:w="4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Certification of Principal Executive Officer pursuant to Rules</w:t>
            </w:r>
          </w:p>
        </w:tc>
        <w:tc>
          <w:tcPr>
            <w:tcW w:w="124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252525"/>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7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20" w:type="dxa"/>
            <w:vAlign w:val="bottom"/>
            <w:tcBorders>
              <w:right w:val="single" w:sz="8" w:color="0000FF"/>
            </w:tcBorders>
            <w:gridSpan w:val="5"/>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13a-14 and 15d-14 promulgated pursuant to the Securities</w:t>
            </w:r>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20" w:type="dxa"/>
            <w:vAlign w:val="bottom"/>
            <w:tcBorders>
              <w:right w:val="single" w:sz="8" w:color="0000FF"/>
            </w:tcBorders>
            <w:gridSpan w:val="5"/>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amended, as adopted pursuant to</w:t>
            </w:r>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2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420" w:type="dxa"/>
            <w:vAlign w:val="bottom"/>
            <w:tcBorders>
              <w:right w:val="single" w:sz="8" w:color="0000EE"/>
            </w:tcBorders>
            <w:gridSpan w:val="5"/>
            <w:shd w:val="clear" w:color="auto" w:fill="0000FF"/>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53"/>
              <w:spacing w:after="0"/>
              <w:rPr>
                <w:sz w:val="20"/>
                <w:szCs w:val="20"/>
                <w:color w:val="auto"/>
              </w:rPr>
            </w:pPr>
            <w:r>
              <w:rPr>
                <w:rFonts w:ascii="Times New Roman" w:cs="Times New Roman" w:eastAsia="Times New Roman" w:hAnsi="Times New Roman"/>
                <w:sz w:val="18"/>
                <w:szCs w:val="18"/>
                <w:color w:val="auto"/>
              </w:rPr>
              <w:t>31.2</w:t>
            </w:r>
          </w:p>
        </w:tc>
        <w:tc>
          <w:tcPr>
            <w:tcW w:w="4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w:t>
            </w:r>
          </w:p>
        </w:tc>
        <w:tc>
          <w:tcPr>
            <w:tcW w:w="124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252525"/>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7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420" w:type="dxa"/>
            <w:vAlign w:val="bottom"/>
            <w:gridSpan w:val="1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13a-14 and 15d-14 promulgated pursuant to the Securities</w:t>
            </w:r>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20" w:type="dxa"/>
            <w:vAlign w:val="bottom"/>
            <w:gridSpan w:val="10"/>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amended, as adopted pursuant to</w:t>
            </w:r>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80" w:type="dxa"/>
            <w:vAlign w:val="bottom"/>
            <w:gridSpan w:val="11"/>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140"/>
          </w:cols>
          <w:pgMar w:left="320" w:top="981" w:right="439" w:bottom="1440" w:gutter="0" w:footer="0" w:header="0"/>
        </w:sectPr>
      </w:pPr>
    </w:p>
    <w:tbl>
      <w:tblPr>
        <w:tblLayout w:type="fixed"/>
        <w:tblInd w:w="240" w:type="dxa"/>
        <w:tblCellMar>
          <w:top w:w="0" w:type="dxa"/>
          <w:left w:w="0" w:type="dxa"/>
          <w:bottom w:w="0" w:type="dxa"/>
          <w:right w:w="0" w:type="dxa"/>
        </w:tblCellMar>
      </w:tblPr>
      <w:tr>
        <w:trPr>
          <w:trHeight w:val="207"/>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32.1*</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4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4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w:t>
            </w: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2002</w:t>
            </w:r>
          </w:p>
        </w:tc>
        <w:tc>
          <w:tcPr>
            <w:tcW w:w="37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r>
      <w:tr>
        <w:trPr>
          <w:trHeight w:val="367"/>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101.INS</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Inline XBRL Instance Document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instance document</w:t>
            </w:r>
          </w:p>
        </w:tc>
      </w:tr>
      <w:tr>
        <w:trPr>
          <w:trHeight w:val="216"/>
        </w:trPr>
        <w:tc>
          <w:tcPr>
            <w:tcW w:w="104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 XBRL</w:t>
            </w:r>
          </w:p>
        </w:tc>
      </w:tr>
      <w:tr>
        <w:trPr>
          <w:trHeight w:val="216"/>
        </w:trPr>
        <w:tc>
          <w:tcPr>
            <w:tcW w:w="104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16"/>
        </w:trPr>
        <w:tc>
          <w:tcPr>
            <w:tcW w:w="10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101.SCH</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w:t>
            </w:r>
          </w:p>
        </w:tc>
      </w:tr>
      <w:tr>
        <w:trPr>
          <w:trHeight w:val="234"/>
        </w:trPr>
        <w:tc>
          <w:tcPr>
            <w:tcW w:w="104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r>
    </w:tbl>
    <w:p>
      <w:pPr>
        <w:ind w:left="1260" w:right="160" w:hanging="820"/>
        <w:spacing w:after="0" w:line="260" w:lineRule="auto"/>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4230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200" w:val="left"/>
          <w:tab w:leader="none" w:pos="2320" w:val="left"/>
          <w:tab w:leader="none" w:pos="3220" w:val="left"/>
        </w:tabs>
        <w:rPr>
          <w:sz w:val="20"/>
          <w:szCs w:val="20"/>
          <w:color w:val="auto"/>
        </w:rPr>
      </w:pPr>
      <w:r>
        <w:rPr>
          <w:rFonts w:ascii="Times New Roman" w:cs="Times New Roman" w:eastAsia="Times New Roman" w:hAnsi="Times New Roman"/>
          <w:sz w:val="18"/>
          <w:szCs w:val="18"/>
          <w:color w:val="252525"/>
        </w:rPr>
        <w:t>—</w:t>
      </w:r>
      <w:r>
        <w:rPr>
          <w:sz w:val="20"/>
          <w:szCs w:val="20"/>
          <w:color w:val="auto"/>
        </w:rPr>
        <w:tab/>
      </w:r>
      <w:r>
        <w:rPr>
          <w:rFonts w:ascii="Times New Roman" w:cs="Times New Roman" w:eastAsia="Times New Roman" w:hAnsi="Times New Roman"/>
          <w:sz w:val="18"/>
          <w:szCs w:val="18"/>
          <w:color w:val="252525"/>
        </w:rPr>
        <w:t>—</w:t>
      </w:r>
      <w:r>
        <w:rPr>
          <w:sz w:val="20"/>
          <w:szCs w:val="20"/>
          <w:color w:val="auto"/>
        </w:rPr>
        <w:tab/>
      </w:r>
      <w:r>
        <w:rPr>
          <w:rFonts w:ascii="Times New Roman" w:cs="Times New Roman" w:eastAsia="Times New Roman" w:hAnsi="Times New Roman"/>
          <w:sz w:val="18"/>
          <w:szCs w:val="18"/>
          <w:color w:val="252525"/>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67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bl>
    <w:p>
      <w:pPr>
        <w:spacing w:after="0" w:line="432" w:lineRule="exact"/>
        <w:rPr>
          <w:sz w:val="20"/>
          <w:szCs w:val="20"/>
          <w:color w:val="auto"/>
        </w:rPr>
      </w:pPr>
    </w:p>
    <w:p>
      <w:pPr>
        <w:sectPr>
          <w:pgSz w:w="11900" w:h="16838" w:orient="portrait"/>
          <w:cols w:equalWidth="0" w:num="2">
            <w:col w:w="5760" w:space="600"/>
            <w:col w:w="4780"/>
          </w:cols>
          <w:pgMar w:left="320" w:top="981" w:right="439" w:bottom="1440" w:gutter="0" w:footer="0" w:header="0"/>
          <w:type w:val="continuous"/>
        </w:sectPr>
      </w:pPr>
    </w:p>
    <w:p>
      <w:pPr>
        <w:spacing w:after="0" w:line="49" w:lineRule="exact"/>
        <w:rPr>
          <w:sz w:val="20"/>
          <w:szCs w:val="20"/>
          <w:color w:val="auto"/>
        </w:rPr>
      </w:pPr>
    </w:p>
    <w:p>
      <w:pPr>
        <w:ind w:firstLine="8"/>
        <w:spacing w:after="0" w:line="282" w:lineRule="auto"/>
        <w:tabs>
          <w:tab w:leader="none" w:pos="1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furnished herewith and shall not be deemed “filed” for purposes of Section 18 of the Exchange Act, or otherwise subject to the liability of that section, and shall not be deemed to be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9512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type w:val="continuous"/>
        </w:sectPr>
      </w:pPr>
    </w:p>
    <w:bookmarkStart w:id="87" w:name="page88"/>
    <w:bookmarkEnd w:id="87"/>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9" w:lineRule="exact"/>
        <w:rPr>
          <w:sz w:val="20"/>
          <w:szCs w:val="20"/>
          <w:color w:val="auto"/>
        </w:rPr>
      </w:pPr>
    </w:p>
    <w:p>
      <w:pPr>
        <w:spacing w:after="0"/>
        <w:tabs>
          <w:tab w:leader="none" w:pos="6180" w:val="left"/>
          <w:tab w:leader="none" w:pos="820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ahram</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alamehr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Bahram Valamehr, Ph.D., MBA</w:t>
      </w:r>
    </w:p>
    <w:p>
      <w:pPr>
        <w:spacing w:after="0" w:line="34"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6180" w:val="left"/>
          <w:tab w:leader="none" w:pos="838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amal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Kamal Adawi, M.S., MBA</w:t>
      </w:r>
    </w:p>
    <w:p>
      <w:pPr>
        <w:spacing w:after="0" w:line="3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p>
      <w:pPr>
        <w:spacing w:after="0" w:line="2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97" w:right="77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PURSUANT TO RULE 13a-14(a) AND 15d-14(a) OF THE SECURITIES EXCHANGE ACT, 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Bahram Valamehr, certify that:</w:t>
      </w:r>
    </w:p>
    <w:p>
      <w:pPr>
        <w:spacing w:after="0" w:line="225" w:lineRule="exact"/>
        <w:rPr>
          <w:sz w:val="20"/>
          <w:szCs w:val="20"/>
          <w:color w:val="auto"/>
        </w:rPr>
      </w:pPr>
    </w:p>
    <w:p>
      <w:pPr>
        <w:ind w:left="700" w:hanging="183"/>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Fate Therapeutics,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1028"/>
        <w:spacing w:after="0" w:line="266" w:lineRule="auto"/>
        <w:tabs>
          <w:tab w:leader="none" w:pos="118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1028"/>
        <w:spacing w:after="0" w:line="266" w:lineRule="auto"/>
        <w:tabs>
          <w:tab w:leader="none" w:pos="12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028"/>
        <w:spacing w:after="0" w:line="282" w:lineRule="auto"/>
        <w:tabs>
          <w:tab w:leader="none" w:pos="118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1028"/>
        <w:spacing w:after="0" w:line="266" w:lineRule="auto"/>
        <w:tabs>
          <w:tab w:leader="none" w:pos="12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560" w:firstLine="1028"/>
        <w:spacing w:after="0" w:line="282" w:lineRule="auto"/>
        <w:tabs>
          <w:tab w:leader="none" w:pos="118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20" w:firstLine="1028"/>
        <w:spacing w:after="0" w:line="282" w:lineRule="auto"/>
        <w:tabs>
          <w:tab w:leader="none" w:pos="12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BAHRAM VALAMEHR</w:t>
            </w:r>
          </w:p>
        </w:tc>
      </w:tr>
      <w:tr>
        <w:trPr>
          <w:trHeight w:val="209"/>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Bahram Valamehr, Ph.D., MBA</w:t>
            </w:r>
          </w:p>
        </w:tc>
      </w:tr>
      <w:tr>
        <w:trPr>
          <w:trHeight w:val="230"/>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424"/>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40"/>
        <w:spacing w:after="0" w:line="275" w:lineRule="auto"/>
        <w:rPr>
          <w:sz w:val="20"/>
          <w:szCs w:val="20"/>
          <w:color w:val="auto"/>
        </w:rPr>
      </w:pPr>
      <w:r>
        <w:rPr>
          <w:rFonts w:ascii="Times New Roman" w:cs="Times New Roman" w:eastAsia="Times New Roman" w:hAnsi="Times New Roman"/>
          <w:sz w:val="18"/>
          <w:szCs w:val="18"/>
          <w:color w:val="auto"/>
        </w:rPr>
        <w:t>CERTIFICATION OF PRINCIPAL FINANCIAL AND ACCOUNTING OFFICER PURSUANT TO RULE 13a-14(a) AND 15d-14(a) OF THE SECURITIES EXCHANGE ACT, AS ADOPTED PURSUANT TO SECTION 302 OF THE SARBANES-OXLEY ACT OF 2002</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Kamal Adawi, certify that:</w:t>
      </w:r>
    </w:p>
    <w:p>
      <w:pPr>
        <w:spacing w:after="0" w:line="225" w:lineRule="exact"/>
        <w:rPr>
          <w:sz w:val="20"/>
          <w:szCs w:val="20"/>
          <w:color w:val="auto"/>
        </w:rPr>
      </w:pPr>
    </w:p>
    <w:p>
      <w:pPr>
        <w:ind w:left="700" w:hanging="183"/>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Fate Therapeutics,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1028"/>
        <w:spacing w:after="0" w:line="266" w:lineRule="auto"/>
        <w:tabs>
          <w:tab w:leader="none" w:pos="118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1028"/>
        <w:spacing w:after="0" w:line="266" w:lineRule="auto"/>
        <w:tabs>
          <w:tab w:leader="none" w:pos="12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028"/>
        <w:spacing w:after="0" w:line="282" w:lineRule="auto"/>
        <w:tabs>
          <w:tab w:leader="none" w:pos="118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1028"/>
        <w:spacing w:after="0" w:line="266" w:lineRule="auto"/>
        <w:tabs>
          <w:tab w:leader="none" w:pos="12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560" w:firstLine="1028"/>
        <w:spacing w:after="0" w:line="282" w:lineRule="auto"/>
        <w:tabs>
          <w:tab w:leader="none" w:pos="118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20" w:firstLine="1028"/>
        <w:spacing w:after="0" w:line="282" w:lineRule="auto"/>
        <w:tabs>
          <w:tab w:leader="none" w:pos="12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KAMAL ADAWI</w:t>
            </w:r>
          </w:p>
        </w:tc>
      </w:tr>
      <w:tr>
        <w:trPr>
          <w:trHeight w:val="209"/>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Kamal Adawi, M.S., MBA</w:t>
            </w:r>
          </w:p>
        </w:tc>
      </w:tr>
      <w:tr>
        <w:trPr>
          <w:trHeight w:val="230"/>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1424"/>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Fate Therapeutics, Inc. (the “Company”) on Form 10-Q for the period ended September 30, 2026 as filed with the Securities and Exchange Commission on the date hereof (the “Report”), we, Bahram Valamehr, Chief Executive Officer of the Company, and Kamal Adawi,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ahram</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alamehr</w:t>
            </w:r>
          </w:p>
        </w:tc>
      </w:tr>
      <w:tr>
        <w:trPr>
          <w:trHeight w:val="203"/>
        </w:trPr>
        <w:tc>
          <w:tcPr>
            <w:tcW w:w="676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Bahram Valamehr, Ph.D., MBA</w:t>
            </w:r>
          </w:p>
        </w:tc>
      </w:tr>
      <w:tr>
        <w:trPr>
          <w:trHeight w:val="229"/>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4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amal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dawi</w:t>
            </w:r>
          </w:p>
        </w:tc>
      </w:tr>
      <w:tr>
        <w:trPr>
          <w:trHeight w:val="203"/>
        </w:trPr>
        <w:tc>
          <w:tcPr>
            <w:tcW w:w="676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Kamal Adawi, M.S., MBA</w:t>
            </w:r>
          </w:p>
        </w:tc>
      </w:tr>
      <w:tr>
        <w:trPr>
          <w:trHeight w:val="229"/>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3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2"/>
    </w:lvl>
  </w:abstractNum>
  <w:abstractNum w:abstractNumId="6">
    <w:nsid w:val="836C40E"/>
    <w:multiLevelType w:val="hybridMultilevel"/>
    <w:lvl w:ilvl="0">
      <w:lvlJc w:val="left"/>
      <w:lvlText w:val="%1."/>
      <w:numFmt w:val="decimal"/>
      <w:start w:val="3"/>
    </w:lvl>
  </w:abstractNum>
  <w:abstractNum w:abstractNumId="7">
    <w:nsid w:val="2901D82"/>
    <w:multiLevelType w:val="hybridMultilevel"/>
    <w:lvl w:ilvl="0">
      <w:lvlJc w:val="left"/>
      <w:lvlText w:val="%1."/>
      <w:numFmt w:val="decimal"/>
      <w:start w:val="4"/>
    </w:lvl>
  </w:abstractNum>
  <w:abstractNum w:abstractNumId="8">
    <w:nsid w:val="3A95F874"/>
    <w:multiLevelType w:val="hybridMultilevel"/>
    <w:lvl w:ilvl="0">
      <w:lvlJc w:val="left"/>
      <w:lvlText w:val="%1."/>
      <w:numFmt w:val="decimal"/>
      <w:start w:val="5"/>
    </w:lvl>
  </w:abstractNum>
  <w:abstractNum w:abstractNumId="9">
    <w:nsid w:val="8138641"/>
    <w:multiLevelType w:val="hybridMultilevel"/>
    <w:lvl w:ilvl="0">
      <w:lvlJc w:val="left"/>
      <w:lvlText w:val="%1."/>
      <w:numFmt w:val="decimal"/>
      <w:start w:val="6"/>
    </w:lvl>
  </w:abstractNum>
  <w:abstractNum w:abstractNumId="10">
    <w:nsid w:val="1E7FF521"/>
    <w:multiLevelType w:val="hybridMultilevel"/>
    <w:lvl w:ilvl="0">
      <w:lvlJc w:val="left"/>
      <w:lvlText w:val="%1."/>
      <w:numFmt w:val="decimal"/>
      <w:start w:val="7"/>
    </w:lvl>
  </w:abstractNum>
  <w:abstractNum w:abstractNumId="11">
    <w:nsid w:val="7C3DBD3D"/>
    <w:multiLevelType w:val="hybridMultilevel"/>
    <w:lvl w:ilvl="0">
      <w:lvlJc w:val="left"/>
      <w:lvlText w:val="%1."/>
      <w:numFmt w:val="decimal"/>
      <w:start w:val="8"/>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lowerRoman"/>
      <w:start w:val="2"/>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104"/>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25" Type="http://schemas.openxmlformats.org/officeDocument/2006/relationships/hyperlink" Target="https://www.sec.gov/Archives/edgar/data/1434316/000119312513351036/d590580dex32.htm" TargetMode="External"/><Relationship Id="rId326" Type="http://schemas.openxmlformats.org/officeDocument/2006/relationships/hyperlink" Target="https://www.sec.gov/Archives/edgar/data/1434316/000119312521184402/d191657dex31.htm" TargetMode="External"/><Relationship Id="rId327" Type="http://schemas.openxmlformats.org/officeDocument/2006/relationships/hyperlink" Target="https://www.sec.gov/Archives/edgar/data/1434316/000119312516778378/d301639dex31.htm" TargetMode="External"/><Relationship Id="rId328" Type="http://schemas.openxmlformats.org/officeDocument/2006/relationships/hyperlink" Target="https://www.sec.gov/Archives/edgar/data/1434316/000156459021008086/fate-ex33_493.htm" TargetMode="External"/><Relationship Id="rId329" Type="http://schemas.openxmlformats.org/officeDocument/2006/relationships/hyperlink" Target="https://www.sec.gov/Archives/edgar/data/1434316/000095017023013471/fate-ex3_1.htm" TargetMode="External"/><Relationship Id="rId330" Type="http://schemas.openxmlformats.org/officeDocument/2006/relationships/hyperlink" Target="https://www.sec.gov/Archives/edgar/data/1434316/000119312524158374/d764437dex31.htm" TargetMode="External"/><Relationship Id="rId331" Type="http://schemas.openxmlformats.org/officeDocument/2006/relationships/hyperlink" Target="https://www.sec.gov/Archives/edgar/data/1434316/000119312525132301/d4237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2026-11-05T06:19:45Z</dcterms:created>
  <dcterms:modified xsi:type="dcterms:W3CDTF">2026-11-05T06:19:45Z</dcterms:modified>
</cp:coreProperties>
</file>